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Министерство Образования и Науки РФ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Уральский Государственный Экономический Университет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Кафедра Машин и Аппаратов Пищевых Производств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Отчет по лабораторной работе №2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по дисциплине</w:t>
      </w:r>
      <w:r w:rsidR="009C2A6C" w:rsidRPr="009C2A6C">
        <w:rPr>
          <w:sz w:val="28"/>
          <w:szCs w:val="28"/>
        </w:rPr>
        <w:t>:</w:t>
      </w:r>
      <w:r w:rsidRPr="009C2A6C">
        <w:rPr>
          <w:sz w:val="28"/>
          <w:szCs w:val="28"/>
        </w:rPr>
        <w:t xml:space="preserve"> БЖД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>Противопожарная безопасность на производстве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Руководитель: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Легкий В.И.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Екатеринбург</w:t>
      </w:r>
    </w:p>
    <w:p w:rsidR="00A27DE9" w:rsidRPr="009C2A6C" w:rsidRDefault="00A27DE9" w:rsidP="009C2A6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9C2A6C">
        <w:rPr>
          <w:sz w:val="28"/>
          <w:szCs w:val="28"/>
        </w:rPr>
        <w:t>2008</w:t>
      </w:r>
    </w:p>
    <w:p w:rsidR="0091078E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br w:type="page"/>
        <w:t>1. Теоретическая часть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27DE9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b/>
          <w:i/>
          <w:sz w:val="28"/>
          <w:szCs w:val="28"/>
        </w:rPr>
        <w:t>Цель работы</w:t>
      </w:r>
      <w:r w:rsidRPr="009C2A6C">
        <w:rPr>
          <w:b/>
          <w:sz w:val="28"/>
          <w:szCs w:val="28"/>
        </w:rPr>
        <w:t xml:space="preserve">: </w:t>
      </w:r>
      <w:r w:rsidRPr="009C2A6C">
        <w:rPr>
          <w:sz w:val="28"/>
          <w:szCs w:val="28"/>
        </w:rPr>
        <w:t>изучить основы пожарной безопасности на производстве и исследовать работу автоматической системы оповещения о пожаре.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27DE9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 xml:space="preserve">1.1 </w:t>
      </w:r>
      <w:r w:rsidR="00A27DE9" w:rsidRPr="009C2A6C">
        <w:rPr>
          <w:b/>
          <w:sz w:val="28"/>
          <w:szCs w:val="28"/>
        </w:rPr>
        <w:t>Основы горения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1C20" w:rsidRPr="009C2A6C" w:rsidRDefault="00A27DE9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Для возникновения процесса горения необходимо присутствие, как правило, горючего материала, окислителя и источника возгорания переходит в экзотермическое окислительное взаимодействие горючего вещества с окислителем (не только с кислородом, но и соединение ряда веществ с хлором</w:t>
      </w:r>
      <w:r w:rsidR="00346FA9" w:rsidRPr="009C2A6C">
        <w:rPr>
          <w:sz w:val="28"/>
          <w:szCs w:val="28"/>
        </w:rPr>
        <w:t>, фтором, оксидов натрия и бария с диоксидом углерода, разложение взрывчатых веществ и т.д. сопровождающиеся интенсивным выделением тепла и свечением.)</w:t>
      </w:r>
      <w:r w:rsidR="0058161C">
        <w:rPr>
          <w:sz w:val="28"/>
          <w:szCs w:val="28"/>
        </w:rPr>
        <w:t>.</w:t>
      </w:r>
      <w:r w:rsidR="00346FA9" w:rsidRPr="009C2A6C">
        <w:rPr>
          <w:sz w:val="28"/>
          <w:szCs w:val="28"/>
        </w:rPr>
        <w:t xml:space="preserve"> Согласно тепловой теории горение переходит в стадию пожара при условии, когда скорость выделения теплоты химической реакции превышает скорость отвода теплоты в окружающую среду. Если это условие обеспечивается, то происходит саморазогрев</w:t>
      </w:r>
      <w:r w:rsidR="009C2A6C">
        <w:rPr>
          <w:sz w:val="28"/>
          <w:szCs w:val="28"/>
        </w:rPr>
        <w:t xml:space="preserve"> </w:t>
      </w:r>
      <w:r w:rsidR="00346FA9" w:rsidRPr="009C2A6C">
        <w:rPr>
          <w:sz w:val="28"/>
          <w:szCs w:val="28"/>
        </w:rPr>
        <w:t>горючей смеси (материала)</w:t>
      </w:r>
      <w:r w:rsidR="00421C20" w:rsidRPr="009C2A6C">
        <w:rPr>
          <w:sz w:val="28"/>
          <w:szCs w:val="28"/>
        </w:rPr>
        <w:t xml:space="preserve"> и скорость реакции увеличивается. Происходит самоускорение реакции окисления, т.е. переход в неконтролируемое горение вне специального очага, нанося материальный ущерб. И наоборот, превышение скорости отвода теплоты над скоростью ее выделения приводит к затуханию процесса горения.</w:t>
      </w:r>
    </w:p>
    <w:p w:rsidR="000C6703" w:rsidRPr="009C2A6C" w:rsidRDefault="00863A12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Указанные закономерности являются основой решения задачи – выбора эффективного метода борьбы с пожаром, так как горение различных веществ имеет особенности. Горение газов</w:t>
      </w:r>
      <w:r w:rsidR="009C2A6C">
        <w:rPr>
          <w:sz w:val="28"/>
          <w:szCs w:val="28"/>
        </w:rPr>
        <w:t xml:space="preserve"> </w:t>
      </w:r>
      <w:r w:rsidRPr="009C2A6C">
        <w:rPr>
          <w:sz w:val="28"/>
          <w:szCs w:val="28"/>
        </w:rPr>
        <w:t>является гомогенным и может носить характер взрывного или детонационного</w:t>
      </w:r>
      <w:r w:rsidR="009C2A6C">
        <w:rPr>
          <w:sz w:val="28"/>
          <w:szCs w:val="28"/>
        </w:rPr>
        <w:t xml:space="preserve"> </w:t>
      </w:r>
      <w:r w:rsidRPr="009C2A6C">
        <w:rPr>
          <w:sz w:val="28"/>
          <w:szCs w:val="28"/>
        </w:rPr>
        <w:t xml:space="preserve">горения. При горение жидкости происходит ее испарение и сгорание паровоздушной смеси над поверхностью жидкости. Определяющим при этом является процесс испарения жидкости, который зависит от ее физико-химический свойств, теплового процесса в ней и т.п. Горение твердых веществ – гетерогеннодиффузное. Как правило, оно сопровождается выделением газо- и парообразных продуктов, которые образуют с воздухом </w:t>
      </w:r>
      <w:r w:rsidR="000C6703" w:rsidRPr="009C2A6C">
        <w:rPr>
          <w:sz w:val="28"/>
          <w:szCs w:val="28"/>
        </w:rPr>
        <w:t>горючую смесь. Повышенную горючую опасность имеет пыль. Причем с увеличением дисперсии (степень измельчения) пыли возрастает ее химическая активность, снижается температура самовоспламенения, приближая процесс горения пыли к взрывоопасному. Взрывоопасной является не только взвешенная, но и осевшая пыль, так как при воспламенении она переходит во взвешенное состояние, что приводит к вторичным взрывам.</w:t>
      </w:r>
    </w:p>
    <w:p w:rsidR="00491E38" w:rsidRPr="009C2A6C" w:rsidRDefault="000C6703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Эффективность мероприятий пожарной профилактики</w:t>
      </w:r>
      <w:r w:rsidR="009C2A6C">
        <w:rPr>
          <w:sz w:val="28"/>
          <w:szCs w:val="28"/>
        </w:rPr>
        <w:t xml:space="preserve"> </w:t>
      </w:r>
      <w:r w:rsidRPr="009C2A6C">
        <w:rPr>
          <w:sz w:val="28"/>
          <w:szCs w:val="28"/>
        </w:rPr>
        <w:t>в значительн</w:t>
      </w:r>
      <w:r w:rsidR="00491E38" w:rsidRPr="009C2A6C">
        <w:rPr>
          <w:sz w:val="28"/>
          <w:szCs w:val="28"/>
        </w:rPr>
        <w:t>ой степени зависит от правильности оценки пожарных характеристик веществ, используемых в производстве. При оценке пожарной опасности вещества нужно рассматривать, кроме</w:t>
      </w:r>
      <w:r w:rsidR="009C2A6C">
        <w:rPr>
          <w:sz w:val="28"/>
          <w:szCs w:val="28"/>
        </w:rPr>
        <w:t xml:space="preserve"> </w:t>
      </w:r>
      <w:r w:rsidR="00491E38" w:rsidRPr="009C2A6C">
        <w:rPr>
          <w:sz w:val="28"/>
          <w:szCs w:val="28"/>
        </w:rPr>
        <w:t>того, возможность изменения ее с течением времени (хранение, нагрев, взаимодействие с другими веществами и т.д.)</w:t>
      </w:r>
    </w:p>
    <w:p w:rsidR="00491E38" w:rsidRPr="009C2A6C" w:rsidRDefault="00491E3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По способности веществ и материалов к горению они подразделяются на три группы:</w:t>
      </w:r>
    </w:p>
    <w:p w:rsidR="00491E38" w:rsidRPr="009C2A6C" w:rsidRDefault="00491E3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Негорючие (несгораемые) – вещества, не способные к горению в воздухе;</w:t>
      </w:r>
    </w:p>
    <w:p w:rsidR="00491E38" w:rsidRPr="009C2A6C" w:rsidRDefault="00491E3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Трудногорючие (трудносгораемые) – вещества и материалы, способные гореть в воздухе в присутствии источника зажигания, но не способные самостоятельно гореть после его удаления;</w:t>
      </w:r>
    </w:p>
    <w:p w:rsidR="00491E38" w:rsidRPr="009C2A6C" w:rsidRDefault="00491E3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Горючие (сгораемые) – вещества и материала, способные самовозгораться, а так же возгораться при воздействия источника зажигания и самостоятельно гореть после его удаления.</w:t>
      </w:r>
    </w:p>
    <w:p w:rsidR="00863A12" w:rsidRPr="009C2A6C" w:rsidRDefault="00491E3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Результаты оценки группы горючести материалов служат основой для определения</w:t>
      </w:r>
      <w:r w:rsidR="00A1116A" w:rsidRPr="009C2A6C">
        <w:rPr>
          <w:sz w:val="28"/>
          <w:szCs w:val="28"/>
        </w:rPr>
        <w:t xml:space="preserve"> категории помещения по пожарной опасности и выбора материалов при проектировании для обеспечения его огнестойкости.</w:t>
      </w:r>
      <w:r w:rsidR="00863A12" w:rsidRPr="009C2A6C">
        <w:rPr>
          <w:sz w:val="28"/>
          <w:szCs w:val="28"/>
        </w:rPr>
        <w:t xml:space="preserve"> 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 xml:space="preserve"> </w:t>
      </w:r>
    </w:p>
    <w:p w:rsidR="00C175B6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C2A6C">
        <w:rPr>
          <w:b/>
          <w:sz w:val="28"/>
          <w:szCs w:val="28"/>
        </w:rPr>
        <w:t xml:space="preserve">1.2 </w:t>
      </w:r>
      <w:r w:rsidR="00C175B6" w:rsidRPr="009C2A6C">
        <w:rPr>
          <w:b/>
          <w:sz w:val="28"/>
          <w:szCs w:val="28"/>
        </w:rPr>
        <w:t>Классификация материалов и помещений по пожарной опасности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Ущерб, наносимый пожарами, в значительной степени определяется разрушением зданий под действием огня. В свою очередь, строительные материалы и конструкции реагируют на повышение температуры при пожаре по-разному: одни быстро поддаются воздействию огня, а другие – длительное время сохраняют несущую способность. По способности строительных материалов сопротивляться воздействию высокой температуры и сохранять при этом свои эксплутационные функции определяется огнестойкость помещения. В соответствии с нормами технологического проектирования (НПБ-105-95) все производственные и складские помещения подразделяются на категории А (высшая), Б, В, Г, Д.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Ниже (табл.1) приведена категория помещений и характеристика материалов, определяющих эту категорию.</w:t>
      </w:r>
    </w:p>
    <w:p w:rsid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17BA7" w:rsidRPr="009C2A6C" w:rsidRDefault="00D17BA7" w:rsidP="009C2A6C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C2A6C">
        <w:rPr>
          <w:sz w:val="28"/>
        </w:rPr>
        <w:t>Таблица 1</w:t>
      </w:r>
    </w:p>
    <w:p w:rsidR="00D17BA7" w:rsidRPr="009C2A6C" w:rsidRDefault="00D17BA7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 xml:space="preserve">Категория помещений </w:t>
      </w:r>
    </w:p>
    <w:tbl>
      <w:tblPr>
        <w:tblW w:w="897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90"/>
      </w:tblGrid>
      <w:tr w:rsidR="00314980" w:rsidRPr="009C2A6C" w:rsidTr="009C2A6C">
        <w:tc>
          <w:tcPr>
            <w:tcW w:w="1680" w:type="dxa"/>
          </w:tcPr>
          <w:p w:rsidR="00314980" w:rsidRPr="009C2A6C" w:rsidRDefault="00314980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Категория помещения</w:t>
            </w:r>
          </w:p>
        </w:tc>
        <w:tc>
          <w:tcPr>
            <w:tcW w:w="7290" w:type="dxa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Характеристика помещения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</w:t>
            </w:r>
          </w:p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Взрыво- и пожароопасная</w:t>
            </w:r>
          </w:p>
        </w:tc>
        <w:tc>
          <w:tcPr>
            <w:tcW w:w="7290" w:type="dxa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Горючие газы, легковоспламеняющиеся жидкости (</w:t>
            </w:r>
            <w:r w:rsidRPr="009C2A6C">
              <w:rPr>
                <w:sz w:val="20"/>
                <w:szCs w:val="20"/>
                <w:lang w:val="en-US"/>
              </w:rPr>
              <w:t>t</w:t>
            </w:r>
            <w:r w:rsidRPr="009C2A6C">
              <w:rPr>
                <w:sz w:val="20"/>
                <w:szCs w:val="20"/>
              </w:rPr>
              <w:t xml:space="preserve"> вспышки не более 28ºC), вещества, способные гореть при взаимодействии с водой, кислородом воздуха или друг с другом. Помещения, в которых может находиться одновременно более 50 человек.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</w:t>
            </w:r>
          </w:p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Взрыво- и пожароопасная</w:t>
            </w:r>
          </w:p>
        </w:tc>
        <w:tc>
          <w:tcPr>
            <w:tcW w:w="7290" w:type="dxa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Горючие пыли или волокна, воспламеняющиеся жидкости с </w:t>
            </w:r>
            <w:r w:rsidRPr="009C2A6C">
              <w:rPr>
                <w:sz w:val="20"/>
                <w:szCs w:val="20"/>
                <w:lang w:val="en-US"/>
              </w:rPr>
              <w:t>t</w:t>
            </w:r>
            <w:r w:rsidRPr="009C2A6C">
              <w:rPr>
                <w:sz w:val="20"/>
                <w:szCs w:val="20"/>
              </w:rPr>
              <w:t xml:space="preserve"> вспышки выше 28ºC, не дающие при взрыве в помещении избыточного давления более 5 кПа. Большое количество электрооборудования. 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В1</w:t>
            </w:r>
          </w:p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Пожароопасная</w:t>
            </w:r>
          </w:p>
        </w:tc>
        <w:tc>
          <w:tcPr>
            <w:tcW w:w="7290" w:type="dxa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Горючие и трудногорючие жидкости, твердые горючие материалы, способные при взаимодействии с кислородом гореть и образовывать продукты горения. Общественные здания повышенной этажности (более 5), гостиницы, имеющие более 100 номеров, административные здания.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В2</w:t>
            </w:r>
          </w:p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Пожароопасная</w:t>
            </w:r>
          </w:p>
        </w:tc>
        <w:tc>
          <w:tcPr>
            <w:tcW w:w="7290" w:type="dxa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Общественные здания построенные более 50 лет назад, жилые многоквартирн</w:t>
            </w:r>
            <w:r w:rsidR="00E317C1" w:rsidRPr="009C2A6C">
              <w:rPr>
                <w:sz w:val="20"/>
                <w:szCs w:val="20"/>
              </w:rPr>
              <w:t xml:space="preserve">ые дома, вычислительные центры, </w:t>
            </w:r>
            <w:r w:rsidRPr="009C2A6C">
              <w:rPr>
                <w:sz w:val="20"/>
                <w:szCs w:val="20"/>
              </w:rPr>
              <w:t>банки и другие общественные</w:t>
            </w:r>
            <w:r w:rsidR="00E317C1" w:rsidRPr="009C2A6C">
              <w:rPr>
                <w:sz w:val="20"/>
                <w:szCs w:val="20"/>
              </w:rPr>
              <w:t xml:space="preserve"> помещения, в которых может находиться одновременно не менее 25 человек (магазины, офисы, почта и другое), помещения с большим количеством мебели. 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В3</w:t>
            </w:r>
          </w:p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Пожароопасная</w:t>
            </w:r>
          </w:p>
        </w:tc>
        <w:tc>
          <w:tcPr>
            <w:tcW w:w="7290" w:type="dxa"/>
          </w:tcPr>
          <w:p w:rsidR="00314980" w:rsidRPr="009C2A6C" w:rsidRDefault="00E317C1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Жилые многоквартирные дома, имеющие 2-3 этажа, конференц-залы, учебные аудитории площадью до 150м2, больницы, офисы и другие помещения с числом присутствующих одновременно людей менее 25 человек. Горючие твердые материалы, малое количество электрооборудования, деревянные постройки. 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</w:t>
            </w:r>
          </w:p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Пожаробезопасная</w:t>
            </w:r>
          </w:p>
        </w:tc>
        <w:tc>
          <w:tcPr>
            <w:tcW w:w="7290" w:type="dxa"/>
          </w:tcPr>
          <w:p w:rsidR="00314980" w:rsidRPr="009C2A6C" w:rsidRDefault="00E317C1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Негорючие материалы, при обработке которых выделяется лучистое тепло, искры, пламя. Площадь помещения менее 50м2</w:t>
            </w:r>
            <w:r w:rsidR="00A27C8F" w:rsidRPr="009C2A6C">
              <w:rPr>
                <w:sz w:val="20"/>
                <w:szCs w:val="20"/>
              </w:rPr>
              <w:t>. Отдельно стоящие одноэтажные помещения.</w:t>
            </w:r>
          </w:p>
        </w:tc>
      </w:tr>
      <w:tr w:rsidR="00314980" w:rsidRPr="009C2A6C" w:rsidTr="009C2A6C">
        <w:tc>
          <w:tcPr>
            <w:tcW w:w="1680" w:type="dxa"/>
            <w:vAlign w:val="center"/>
          </w:tcPr>
          <w:p w:rsidR="00314980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Д</w:t>
            </w:r>
          </w:p>
          <w:p w:rsidR="006E77EE" w:rsidRPr="009C2A6C" w:rsidRDefault="006E77EE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Пожаробезопасная</w:t>
            </w:r>
          </w:p>
        </w:tc>
        <w:tc>
          <w:tcPr>
            <w:tcW w:w="7290" w:type="dxa"/>
          </w:tcPr>
          <w:p w:rsidR="00314980" w:rsidRPr="009C2A6C" w:rsidRDefault="00A27C8F" w:rsidP="009C2A6C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Негорючие материалы в холодном состоянии.</w:t>
            </w:r>
          </w:p>
        </w:tc>
      </w:tr>
    </w:tbl>
    <w:p w:rsidR="00314980" w:rsidRPr="009C2A6C" w:rsidRDefault="00314980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В</w:t>
      </w:r>
      <w:r w:rsidR="009C2A6C">
        <w:rPr>
          <w:sz w:val="28"/>
          <w:szCs w:val="28"/>
        </w:rPr>
        <w:t xml:space="preserve"> </w:t>
      </w:r>
      <w:r w:rsidRPr="009C2A6C">
        <w:rPr>
          <w:sz w:val="28"/>
          <w:szCs w:val="28"/>
        </w:rPr>
        <w:t>соответствии с НПБ-105-95 противопожарные стены должны иметь минимальные пределы огнестойкости не менее 2,5 ч, противопожарные перекрытия – 1ч, а противопожарные перегородки не менее 0,75 ч. Более подробно степень огнестойкости строительных конструкций внутри помещения в зависимости от огнестойкости здания приведены в приложениях 1,2.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175B6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 xml:space="preserve">1.3 </w:t>
      </w:r>
      <w:r w:rsidR="00C175B6" w:rsidRPr="009C2A6C">
        <w:rPr>
          <w:b/>
          <w:sz w:val="28"/>
          <w:szCs w:val="28"/>
        </w:rPr>
        <w:t>Причины возникновения пожара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По статистическим данным наиболее частыми причинами возникновения пожаров могут быть следующие: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нарушение правил внутреннего распорядка;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нарушение правил эксплуатации и неисправность электрооборудования, электропроводки, розеток, выключателей;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перезагрузка электросетей;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близкое расположение светильников, электронагревательных приборов и сгораемых конструкций;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проведение сварочных работ без должной подготовки;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- неаккуратное обращение с огнём и несоблюдение мер пожарной безопасности.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175B6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C2A6C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="00C175B6" w:rsidRPr="009C2A6C">
        <w:rPr>
          <w:b/>
          <w:sz w:val="28"/>
          <w:szCs w:val="28"/>
        </w:rPr>
        <w:t>Тушение пожаров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Для прекращения горения применять следующие способы: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изоляция очага горения от кислорода воздуха;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охлаждение зоны горения до температуры ниже температуры воспламенения горящего вещества;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Разбавление реагирующих веществ негорючими веществами;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механическое сбивание пламени с очага горения;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создание огнепреграждения на пути распространения пламени;</w:t>
      </w:r>
    </w:p>
    <w:p w:rsidR="00C175B6" w:rsidRPr="009C2A6C" w:rsidRDefault="00C175B6" w:rsidP="009C2A6C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изоляция горючего вещества от зоны горения.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К огнетушащим составам и средствам относят воду, подаваемую в очаг горения сплошной струёй или в распылённом состоянии и обеспечивающую охлаждающий эффект; химическую пену, оказывающую в основном изолирующее действие; инертные газы, оказывающие разбавляющее действие; порошковые составы, обладающие универсальными огнетушащими свойствами; водогалогеноуглеродные эмульсии.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Выбор средств пожаротушения зависит от технологии производства, от условий протекания процесса горения и технических возможностей для тушения пожара.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Из перечисленных средств пожаротушения наиболее распространённым и универсальным является вода. Она обладает высокой теплоёмкостью, повышенной термической стойкостью, значительным увеличением объёма при парообразовании.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Воду подают в очаг горения в виде сплошных или распылённых струй. Сплошные струи сбивают пламя, одновременно охлаждая поверхность. Сплошные струи применяют для подачи воды при больших очагах пожара, не дающих возможности доставить близко к очагу горения ствол для пожаротушения.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Тушение пожара распылённой струёй во многих случаях более эффективно, чем сплошной, вследствие создания наилучших условий для испарения воды, и, следовательно, для энергичного охлаждения и разбавления горючей среды.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Учитывая высокую электропроводимость воды, её не применяют для тушения горящих приборов, установок и оборудования, находящихся под напряжением. Резко снижается эффект тушения водой нефтепродуктов, а также других, всплывающих в воде, горючих жидкостей и материалов. Повышение эффективности пожаротушения водой в последнем случае обеспечивается добавлением в воду галогенированных углеводородов, обеспечивающих одновременное охлаждающее действие воды и ингибирующее действие галогенированных углеводородов в парогазовой фазе.</w:t>
      </w:r>
    </w:p>
    <w:p w:rsidR="00C175B6" w:rsidRPr="009C2A6C" w:rsidRDefault="00C175B6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 xml:space="preserve">Для подачи воды при тушении пожара используют стационарные и передвижные установки. Передвижными установками являются пожарные автомобили, а к стационарным системам относят внутренний и внешний противопожарный водопровод; сплинклерные и дренчерные установки. На производстве и в служебных помещениях наиболее </w:t>
      </w:r>
      <w:r w:rsidR="004F77E3" w:rsidRPr="009C2A6C">
        <w:rPr>
          <w:sz w:val="28"/>
          <w:szCs w:val="28"/>
        </w:rPr>
        <w:t>широко используется пожарные стволы или оросители, которые подключаются через гидранты к пожарным системам водопровода или к пожарным автомобилям. Сплинклерные и дренчерные установки служат для автоматического</w:t>
      </w:r>
      <w:r w:rsidR="009C2A6C">
        <w:rPr>
          <w:sz w:val="28"/>
          <w:szCs w:val="28"/>
        </w:rPr>
        <w:t xml:space="preserve"> </w:t>
      </w:r>
      <w:r w:rsidR="004F77E3" w:rsidRPr="009C2A6C">
        <w:rPr>
          <w:sz w:val="28"/>
          <w:szCs w:val="28"/>
        </w:rPr>
        <w:t>включения системы пожаротушения или локализации зоны горения при повышении температуры среды внутри помещения до определённого предела. Эти установки представляют собой разветвлённые трубопроводы, размещённые под потолком помещения, а датчиками этих систем</w:t>
      </w:r>
      <w:r w:rsidR="007244DD" w:rsidRPr="009C2A6C">
        <w:rPr>
          <w:sz w:val="28"/>
          <w:szCs w:val="28"/>
        </w:rPr>
        <w:t xml:space="preserve"> являются сплинклеры, лёгкоплавкий замок которых открывается при повышении температуры, или пожарные извещатели. </w:t>
      </w:r>
    </w:p>
    <w:p w:rsidR="007244DD" w:rsidRPr="009C2A6C" w:rsidRDefault="007244DD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Для тушения и локализации небольших очагов горения используют огнетушители с газовыми огнетушащими составами (тип ОУ-2 огнетушитель углекислотный объёмом 2л), пенные (тип ОХП-10, ОВП-10 огнетушитель химический пенный</w:t>
      </w:r>
      <w:r w:rsidR="009C2A6C">
        <w:rPr>
          <w:sz w:val="28"/>
          <w:szCs w:val="28"/>
        </w:rPr>
        <w:t xml:space="preserve"> </w:t>
      </w:r>
      <w:r w:rsidRPr="009C2A6C">
        <w:rPr>
          <w:sz w:val="28"/>
          <w:szCs w:val="28"/>
        </w:rPr>
        <w:t>объёмом 10л). Нормы оснащения первичными средствами пожаротушения помещений различных отраслей приведены в приложениях 3,4, а расход воды на пожаротушение в зависимости от объёма помещения – в приложении 5.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244DD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 xml:space="preserve">1.5 </w:t>
      </w:r>
      <w:r w:rsidR="007244DD" w:rsidRPr="009C2A6C">
        <w:rPr>
          <w:b/>
          <w:sz w:val="28"/>
          <w:szCs w:val="28"/>
        </w:rPr>
        <w:t>Организационные и технические меры по предотвращению пожаров</w:t>
      </w:r>
    </w:p>
    <w:p w:rsidR="009C2A6C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44DD" w:rsidRPr="009C2A6C" w:rsidRDefault="00D751B4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Совокупность организационных и технических мер призвана обеспечивать такую пожарную безопасность объекта, при которой с большой вероятностью предотвращается возникновение пожара, а в случае его возникновения обеспечивается эффективная защита людей и спасение материальных ценностей.</w:t>
      </w:r>
    </w:p>
    <w:p w:rsidR="00D751B4" w:rsidRPr="009C2A6C" w:rsidRDefault="00D751B4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Технические мероприятия должны обеспечивать пожарную безопасность на всех стадиях эксплуатации помещения: установка оборудования, организация технологического процесса, монтаж электрооборудования, устройство вентиляции и т.п., а также противопожарное содержание территории. К организационным мероприятиям относится обучение производственного персонала противопожарным правилам, издание необходимых инструкций и плакатов, соблюдение режимных мероприятий по применению открытого огня в пожароопасных местах, курению, выполнению электро- и газосварочных работ и т.п.</w:t>
      </w:r>
    </w:p>
    <w:p w:rsidR="00925EAF" w:rsidRPr="009C2A6C" w:rsidRDefault="00D751B4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Руководитель предприятия, являясь лицом ответственным</w:t>
      </w:r>
      <w:r w:rsidR="00925EAF" w:rsidRPr="009C2A6C">
        <w:rPr>
          <w:sz w:val="28"/>
          <w:szCs w:val="28"/>
        </w:rPr>
        <w:t xml:space="preserve"> за все стороны деятельности, несёт ответственность и за обеспечение пожарной безопасности, организует работу по предотвращению пожара.</w:t>
      </w:r>
    </w:p>
    <w:p w:rsidR="00925EAF" w:rsidRPr="009C2A6C" w:rsidRDefault="00925EAF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При возникновении возгорания или пожара на любом участке предприятия необходимо немедленно объявить пожарную тревогу и сообщить о нём в пожарную охрану, даже если в подразделении есть автоматическая пожарная сигнализация.</w:t>
      </w:r>
    </w:p>
    <w:p w:rsidR="00D751B4" w:rsidRPr="009C2A6C" w:rsidRDefault="00925EAF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Существенную роль в предотвращению пожаров обеспечивает разработка и внедрение систем предотвращения пожаров и систем пожарной сигнализации, позволяющие ещё на стадии возгорания предотвратить более серьёзные последствия.</w:t>
      </w:r>
    </w:p>
    <w:p w:rsidR="00A27DE9" w:rsidRPr="009C2A6C" w:rsidRDefault="009C2A6C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7C8F" w:rsidRPr="009C2A6C" w:rsidRDefault="00A27C8F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</w:rPr>
        <w:br w:type="page"/>
      </w:r>
      <w:r w:rsidR="009C2A6C" w:rsidRPr="009C2A6C">
        <w:rPr>
          <w:b/>
          <w:sz w:val="28"/>
          <w:szCs w:val="28"/>
        </w:rPr>
        <w:t>2. Практическая часть</w:t>
      </w:r>
    </w:p>
    <w:p w:rsidR="00A27C8F" w:rsidRPr="009C2A6C" w:rsidRDefault="00A27C8F" w:rsidP="009C2A6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27DE9" w:rsidRPr="009C2A6C" w:rsidRDefault="00A27C8F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b/>
          <w:i/>
          <w:sz w:val="28"/>
          <w:szCs w:val="28"/>
        </w:rPr>
        <w:t>Исходные данные</w:t>
      </w:r>
      <w:r w:rsidR="009C2A6C" w:rsidRPr="009C2A6C">
        <w:rPr>
          <w:b/>
          <w:i/>
          <w:sz w:val="28"/>
          <w:szCs w:val="28"/>
        </w:rPr>
        <w:t>:</w:t>
      </w:r>
      <w:r w:rsidRPr="009C2A6C">
        <w:rPr>
          <w:sz w:val="28"/>
          <w:szCs w:val="28"/>
        </w:rPr>
        <w:t xml:space="preserve"> Определить категорию по пожарной опасности общественного здания, имеющего общую площадь 2000м</w:t>
      </w:r>
      <w:r w:rsidRPr="009C2A6C">
        <w:rPr>
          <w:sz w:val="28"/>
          <w:szCs w:val="28"/>
          <w:vertAlign w:val="superscript"/>
        </w:rPr>
        <w:t>2</w:t>
      </w:r>
      <w:r w:rsidRPr="009C2A6C">
        <w:rPr>
          <w:sz w:val="28"/>
          <w:szCs w:val="28"/>
        </w:rPr>
        <w:t>. Количество сотрудников в каждой комнате от 5 до 7 человек при объеме рабочего пространства на каждого работающего по стандартным нормам 20м</w:t>
      </w:r>
      <w:r w:rsidRPr="009C2A6C">
        <w:rPr>
          <w:sz w:val="28"/>
          <w:szCs w:val="28"/>
          <w:vertAlign w:val="superscript"/>
        </w:rPr>
        <w:t>3</w:t>
      </w:r>
      <w:r w:rsidRPr="009C2A6C">
        <w:rPr>
          <w:sz w:val="28"/>
          <w:szCs w:val="28"/>
        </w:rPr>
        <w:t>.</w:t>
      </w:r>
    </w:p>
    <w:p w:rsidR="00A27C8F" w:rsidRPr="009C2A6C" w:rsidRDefault="00A27C8F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Определить степень огнестойкости несущих стен здания, лестничных площадок и внутренних перегородок.</w:t>
      </w:r>
    </w:p>
    <w:p w:rsidR="00A27C8F" w:rsidRPr="009C2A6C" w:rsidRDefault="00A27C8F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Определить необходимое количество воды на пожаротушение здания.</w:t>
      </w:r>
    </w:p>
    <w:p w:rsidR="00A27C8F" w:rsidRPr="009C2A6C" w:rsidRDefault="00D17BA7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Из исходных данных по таблице 1 было установлено, что данное помещение относится</w:t>
      </w:r>
      <w:r w:rsidR="00BF63E8" w:rsidRPr="009C2A6C">
        <w:rPr>
          <w:sz w:val="28"/>
          <w:szCs w:val="28"/>
        </w:rPr>
        <w:t xml:space="preserve"> к категории В</w:t>
      </w:r>
      <w:r w:rsidR="00BF63E8" w:rsidRPr="009C2A6C">
        <w:rPr>
          <w:sz w:val="28"/>
          <w:szCs w:val="28"/>
          <w:vertAlign w:val="subscript"/>
        </w:rPr>
        <w:t>2</w:t>
      </w:r>
      <w:r w:rsidR="00BF63E8" w:rsidRPr="009C2A6C">
        <w:rPr>
          <w:sz w:val="28"/>
          <w:szCs w:val="28"/>
        </w:rPr>
        <w:t xml:space="preserve"> по взрывной и пожарной опасности.</w:t>
      </w:r>
      <w:r w:rsidR="007A4837" w:rsidRPr="009C2A6C">
        <w:rPr>
          <w:sz w:val="28"/>
          <w:szCs w:val="28"/>
        </w:rPr>
        <w:t xml:space="preserve"> По таблице П1 в приложении,</w:t>
      </w:r>
      <w:r w:rsidR="009C2A6C">
        <w:rPr>
          <w:sz w:val="28"/>
          <w:szCs w:val="28"/>
        </w:rPr>
        <w:t xml:space="preserve"> </w:t>
      </w:r>
      <w:r w:rsidR="007A4837" w:rsidRPr="009C2A6C">
        <w:rPr>
          <w:sz w:val="28"/>
          <w:szCs w:val="28"/>
        </w:rPr>
        <w:t xml:space="preserve">было установлено, что </w:t>
      </w:r>
      <w:r w:rsidR="00F92690" w:rsidRPr="009C2A6C">
        <w:rPr>
          <w:sz w:val="28"/>
          <w:szCs w:val="28"/>
        </w:rPr>
        <w:t xml:space="preserve">многоэтажное общественное здание имеет </w:t>
      </w:r>
      <w:r w:rsidR="00F92690" w:rsidRPr="009C2A6C">
        <w:rPr>
          <w:sz w:val="28"/>
          <w:szCs w:val="28"/>
          <w:lang w:val="en-US"/>
        </w:rPr>
        <w:t>I</w:t>
      </w:r>
      <w:r w:rsidR="00F92690" w:rsidRPr="009C2A6C">
        <w:rPr>
          <w:sz w:val="28"/>
          <w:szCs w:val="28"/>
        </w:rPr>
        <w:t xml:space="preserve"> степень огнестойкости. По таблице</w:t>
      </w:r>
      <w:r w:rsidR="009C2A6C">
        <w:rPr>
          <w:sz w:val="28"/>
          <w:szCs w:val="28"/>
        </w:rPr>
        <w:t xml:space="preserve"> </w:t>
      </w:r>
      <w:r w:rsidR="00F92690" w:rsidRPr="009C2A6C">
        <w:rPr>
          <w:sz w:val="28"/>
          <w:szCs w:val="28"/>
        </w:rPr>
        <w:t xml:space="preserve">П2 </w:t>
      </w:r>
      <w:r w:rsidR="001468A6" w:rsidRPr="009C2A6C">
        <w:rPr>
          <w:sz w:val="28"/>
          <w:szCs w:val="28"/>
        </w:rPr>
        <w:t xml:space="preserve">в приложении </w:t>
      </w:r>
      <w:r w:rsidR="00F92690" w:rsidRPr="009C2A6C">
        <w:rPr>
          <w:sz w:val="28"/>
          <w:szCs w:val="28"/>
        </w:rPr>
        <w:t>по степени огнестойкости здания были определены: минимальный предел огнестойкости несущих стен равен 2,5, минимальный предел огнестойкости лестничных площадок равен 1, минимальный предел огнестойкости внутренних перегородок равен 0,5.</w:t>
      </w:r>
      <w:r w:rsidR="001468A6" w:rsidRPr="009C2A6C">
        <w:rPr>
          <w:sz w:val="28"/>
          <w:szCs w:val="28"/>
        </w:rPr>
        <w:t xml:space="preserve"> По таблице</w:t>
      </w:r>
      <w:r w:rsidR="009C2A6C">
        <w:rPr>
          <w:sz w:val="28"/>
          <w:szCs w:val="28"/>
        </w:rPr>
        <w:t xml:space="preserve"> </w:t>
      </w:r>
      <w:r w:rsidR="001468A6" w:rsidRPr="009C2A6C">
        <w:rPr>
          <w:sz w:val="28"/>
          <w:szCs w:val="28"/>
        </w:rPr>
        <w:t>П3 в приложении были рассчитаны нормы первичных средств пожаротушения для общественных зданий на 200м</w:t>
      </w:r>
      <w:r w:rsidR="001468A6" w:rsidRPr="009C2A6C">
        <w:rPr>
          <w:sz w:val="28"/>
          <w:szCs w:val="28"/>
          <w:vertAlign w:val="superscript"/>
        </w:rPr>
        <w:t>2</w:t>
      </w:r>
      <w:r w:rsidR="001468A6" w:rsidRPr="009C2A6C">
        <w:rPr>
          <w:sz w:val="28"/>
          <w:szCs w:val="28"/>
        </w:rPr>
        <w:t xml:space="preserve"> одно углекислотное ручное средство пожаротушения ОУ-2, два химических пенных средства пожаротушения ОХП-10, а на данное общественное здание площадью 2000м</w:t>
      </w:r>
      <w:r w:rsidR="001468A6" w:rsidRPr="009C2A6C">
        <w:rPr>
          <w:sz w:val="28"/>
          <w:szCs w:val="28"/>
          <w:vertAlign w:val="superscript"/>
        </w:rPr>
        <w:t>2</w:t>
      </w:r>
      <w:r w:rsidR="001468A6" w:rsidRPr="009C2A6C">
        <w:rPr>
          <w:sz w:val="28"/>
          <w:szCs w:val="28"/>
        </w:rPr>
        <w:t xml:space="preserve"> необходимо 10 углекислотных ручных средств пожаротушения ОУ-2, 20 химических пенных средств пожаротушения ОХП-10. По таблице</w:t>
      </w:r>
      <w:r w:rsidR="009C2A6C">
        <w:rPr>
          <w:sz w:val="28"/>
          <w:szCs w:val="28"/>
        </w:rPr>
        <w:t xml:space="preserve"> </w:t>
      </w:r>
      <w:r w:rsidR="001468A6" w:rsidRPr="009C2A6C">
        <w:rPr>
          <w:sz w:val="28"/>
          <w:szCs w:val="28"/>
        </w:rPr>
        <w:t>П4 в приложении был рассчитан объем воды на пожаротушение</w:t>
      </w:r>
    </w:p>
    <w:p w:rsidR="008A1B58" w:rsidRPr="009C2A6C" w:rsidRDefault="008A1B58" w:rsidP="009C2A6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A1B58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br w:type="page"/>
      </w:r>
      <w:r w:rsidR="008A1B58" w:rsidRPr="009C2A6C">
        <w:rPr>
          <w:b/>
          <w:sz w:val="28"/>
          <w:szCs w:val="28"/>
        </w:rPr>
        <w:t>Приложение</w:t>
      </w:r>
    </w:p>
    <w:p w:rsid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</w:p>
    <w:p w:rsidR="008A1B58" w:rsidRPr="009C2A6C" w:rsidRDefault="008A1B58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  <w:r w:rsidRPr="009C2A6C">
        <w:rPr>
          <w:sz w:val="28"/>
        </w:rPr>
        <w:t>Таблица П1</w:t>
      </w:r>
    </w:p>
    <w:p w:rsidR="007C033C" w:rsidRPr="009C2A6C" w:rsidRDefault="007C033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>Степень огнестойкости зданий, допустимое число этажей и площадь этажа здания в пределах пожарного отсека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560"/>
        <w:gridCol w:w="1458"/>
        <w:gridCol w:w="1520"/>
        <w:gridCol w:w="944"/>
        <w:gridCol w:w="1099"/>
      </w:tblGrid>
      <w:tr w:rsidR="004C62DB" w:rsidRPr="009C2A6C" w:rsidTr="007D48E1">
        <w:trPr>
          <w:trHeight w:val="803"/>
        </w:trPr>
        <w:tc>
          <w:tcPr>
            <w:tcW w:w="1980" w:type="dxa"/>
            <w:vMerge w:val="restart"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Категория помещения</w:t>
            </w:r>
          </w:p>
        </w:tc>
        <w:tc>
          <w:tcPr>
            <w:tcW w:w="1560" w:type="dxa"/>
            <w:vMerge w:val="restart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Число этажей (подчеркнуто – допустимое)</w:t>
            </w:r>
          </w:p>
        </w:tc>
        <w:tc>
          <w:tcPr>
            <w:tcW w:w="1458" w:type="dxa"/>
            <w:vMerge w:val="restart"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Степень огнестойкости здания</w:t>
            </w:r>
          </w:p>
        </w:tc>
        <w:tc>
          <w:tcPr>
            <w:tcW w:w="3563" w:type="dxa"/>
            <w:gridSpan w:val="3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Площадь этажа в пределах пожарного отсека, м</w:t>
            </w:r>
            <w:r w:rsidRPr="009C2A6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C62DB" w:rsidRPr="009C2A6C" w:rsidTr="007D48E1">
        <w:trPr>
          <w:trHeight w:val="398"/>
        </w:trPr>
        <w:tc>
          <w:tcPr>
            <w:tcW w:w="1980" w:type="dxa"/>
            <w:vMerge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4C62DB" w:rsidRPr="009C2A6C" w:rsidRDefault="007D48E1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</w:t>
            </w:r>
            <w:r w:rsidR="004C62DB" w:rsidRPr="009C2A6C">
              <w:rPr>
                <w:sz w:val="20"/>
                <w:szCs w:val="20"/>
              </w:rPr>
              <w:t>этажного</w:t>
            </w:r>
          </w:p>
        </w:tc>
        <w:tc>
          <w:tcPr>
            <w:tcW w:w="2043" w:type="dxa"/>
            <w:gridSpan w:val="2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многоэтажного</w:t>
            </w:r>
          </w:p>
        </w:tc>
      </w:tr>
      <w:tr w:rsidR="004C62DB" w:rsidRPr="009C2A6C" w:rsidTr="007D48E1">
        <w:trPr>
          <w:trHeight w:val="397"/>
        </w:trPr>
        <w:tc>
          <w:tcPr>
            <w:tcW w:w="1980" w:type="dxa"/>
            <w:vMerge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2-3 этажа</w:t>
            </w:r>
          </w:p>
        </w:tc>
        <w:tc>
          <w:tcPr>
            <w:tcW w:w="1099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Более 3 этажей</w:t>
            </w:r>
          </w:p>
        </w:tc>
      </w:tr>
      <w:tr w:rsidR="004C62DB" w:rsidRPr="009C2A6C" w:rsidTr="007D48E1">
        <w:tc>
          <w:tcPr>
            <w:tcW w:w="1980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А,Б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Здания нефте -химической, газовой, химической промышленности</w:t>
            </w:r>
          </w:p>
        </w:tc>
        <w:tc>
          <w:tcPr>
            <w:tcW w:w="1560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9C2A6C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1458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63" w:type="dxa"/>
            <w:gridSpan w:val="3"/>
            <w:vAlign w:val="center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ограничивается</w:t>
            </w:r>
          </w:p>
        </w:tc>
      </w:tr>
      <w:tr w:rsidR="004C62DB" w:rsidRPr="009C2A6C" w:rsidTr="007D48E1">
        <w:tc>
          <w:tcPr>
            <w:tcW w:w="1980" w:type="dxa"/>
          </w:tcPr>
          <w:p w:rsidR="008A1B58" w:rsidRPr="009C2A6C" w:rsidRDefault="008A1B58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</w:t>
            </w:r>
          </w:p>
        </w:tc>
        <w:tc>
          <w:tcPr>
            <w:tcW w:w="156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u w:val="single"/>
              </w:rPr>
              <w:t>6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2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-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5200</w:t>
            </w:r>
          </w:p>
        </w:tc>
        <w:tc>
          <w:tcPr>
            <w:tcW w:w="944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-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5200</w:t>
            </w:r>
          </w:p>
        </w:tc>
        <w:tc>
          <w:tcPr>
            <w:tcW w:w="1099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-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-</w:t>
            </w:r>
          </w:p>
        </w:tc>
      </w:tr>
      <w:tr w:rsidR="004C62DB" w:rsidRPr="009C2A6C" w:rsidTr="007D48E1">
        <w:tc>
          <w:tcPr>
            <w:tcW w:w="1980" w:type="dxa"/>
          </w:tcPr>
          <w:p w:rsidR="008A1B58" w:rsidRPr="009C2A6C" w:rsidRDefault="008A1B58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u w:val="single"/>
              </w:rPr>
              <w:t>6</w:t>
            </w:r>
          </w:p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IIIa</w:t>
            </w:r>
          </w:p>
        </w:tc>
        <w:tc>
          <w:tcPr>
            <w:tcW w:w="152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огр.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lang w:val="en-US"/>
              </w:rPr>
              <w:t>3500</w:t>
            </w:r>
          </w:p>
        </w:tc>
        <w:tc>
          <w:tcPr>
            <w:tcW w:w="944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10500</w:t>
            </w:r>
          </w:p>
        </w:tc>
        <w:tc>
          <w:tcPr>
            <w:tcW w:w="1099" w:type="dxa"/>
          </w:tcPr>
          <w:p w:rsidR="008A1B58" w:rsidRPr="009C2A6C" w:rsidRDefault="008A1B58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7800</w:t>
            </w:r>
          </w:p>
        </w:tc>
      </w:tr>
      <w:tr w:rsidR="004C62DB" w:rsidRPr="009C2A6C" w:rsidTr="007D48E1">
        <w:trPr>
          <w:trHeight w:val="480"/>
        </w:trPr>
        <w:tc>
          <w:tcPr>
            <w:tcW w:w="1980" w:type="dxa"/>
            <w:vMerge w:val="restart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</w:t>
            </w:r>
            <w:r w:rsidRPr="009C2A6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0" w:type="dxa"/>
            <w:vMerge w:val="restart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u w:val="single"/>
              </w:rPr>
              <w:t>8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3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vMerge w:val="restart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I,II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63" w:type="dxa"/>
            <w:gridSpan w:val="3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ограничивается</w:t>
            </w:r>
          </w:p>
        </w:tc>
      </w:tr>
      <w:tr w:rsidR="004C62DB" w:rsidRPr="009C2A6C" w:rsidTr="007D48E1">
        <w:trPr>
          <w:trHeight w:val="480"/>
        </w:trPr>
        <w:tc>
          <w:tcPr>
            <w:tcW w:w="1980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58" w:type="dxa"/>
            <w:vMerge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5200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15000</w:t>
            </w:r>
          </w:p>
        </w:tc>
        <w:tc>
          <w:tcPr>
            <w:tcW w:w="944" w:type="dxa"/>
          </w:tcPr>
          <w:p w:rsidR="004C62DB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3500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4C62DB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2500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</w:tc>
      </w:tr>
      <w:tr w:rsidR="004C62DB" w:rsidRPr="009C2A6C" w:rsidTr="007D48E1">
        <w:tc>
          <w:tcPr>
            <w:tcW w:w="1980" w:type="dxa"/>
          </w:tcPr>
          <w:p w:rsidR="008A1B58" w:rsidRPr="009C2A6C" w:rsidRDefault="008A1B58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</w:t>
            </w:r>
            <w:r w:rsidRPr="009C2A6C">
              <w:rPr>
                <w:sz w:val="20"/>
                <w:szCs w:val="20"/>
                <w:vertAlign w:val="subscript"/>
              </w:rPr>
              <w:t>2</w:t>
            </w:r>
            <w:r w:rsidR="004C62DB" w:rsidRPr="009C2A6C">
              <w:rPr>
                <w:sz w:val="20"/>
                <w:szCs w:val="20"/>
              </w:rPr>
              <w:t>, В</w:t>
            </w:r>
            <w:r w:rsidR="004C62DB" w:rsidRPr="009C2A6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6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  <w:u w:val="single"/>
              </w:rPr>
              <w:t>2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IV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52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2600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1200</w:t>
            </w:r>
          </w:p>
        </w:tc>
        <w:tc>
          <w:tcPr>
            <w:tcW w:w="944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2000</w:t>
            </w:r>
          </w:p>
        </w:tc>
        <w:tc>
          <w:tcPr>
            <w:tcW w:w="1099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</w:tc>
      </w:tr>
      <w:tr w:rsidR="004C62DB" w:rsidRPr="009C2A6C" w:rsidTr="007D48E1">
        <w:tc>
          <w:tcPr>
            <w:tcW w:w="198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C2A6C">
              <w:rPr>
                <w:sz w:val="20"/>
                <w:szCs w:val="20"/>
              </w:rPr>
              <w:t>Г</w:t>
            </w:r>
          </w:p>
        </w:tc>
        <w:tc>
          <w:tcPr>
            <w:tcW w:w="156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9C2A6C">
              <w:rPr>
                <w:sz w:val="20"/>
                <w:szCs w:val="20"/>
                <w:u w:val="single"/>
              </w:rPr>
              <w:t>10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9C2A6C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458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I,II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2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6500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3500</w:t>
            </w:r>
          </w:p>
        </w:tc>
        <w:tc>
          <w:tcPr>
            <w:tcW w:w="944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5200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2600</w:t>
            </w:r>
          </w:p>
        </w:tc>
        <w:tc>
          <w:tcPr>
            <w:tcW w:w="1099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3500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</w:tc>
      </w:tr>
      <w:tr w:rsidR="004C62DB" w:rsidRPr="009C2A6C" w:rsidTr="007D48E1">
        <w:trPr>
          <w:trHeight w:val="158"/>
        </w:trPr>
        <w:tc>
          <w:tcPr>
            <w:tcW w:w="198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Общественные</w:t>
            </w:r>
            <w:r w:rsidR="009C2A6C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здания</w:t>
            </w:r>
          </w:p>
        </w:tc>
        <w:tc>
          <w:tcPr>
            <w:tcW w:w="156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9C2A6C">
              <w:rPr>
                <w:sz w:val="20"/>
                <w:szCs w:val="20"/>
                <w:u w:val="single"/>
              </w:rPr>
              <w:t>5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720"/>
                <w:tab w:val="center" w:pos="809"/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A6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20" w:type="dxa"/>
          </w:tcPr>
          <w:p w:rsidR="008A1B58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5200</w:t>
            </w:r>
          </w:p>
          <w:p w:rsidR="004C62DB" w:rsidRPr="009C2A6C" w:rsidRDefault="004C62DB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5200</w:t>
            </w:r>
          </w:p>
        </w:tc>
        <w:tc>
          <w:tcPr>
            <w:tcW w:w="944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5200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3500</w:t>
            </w:r>
          </w:p>
        </w:tc>
        <w:tc>
          <w:tcPr>
            <w:tcW w:w="1099" w:type="dxa"/>
          </w:tcPr>
          <w:p w:rsidR="008A1B58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-</w:t>
            </w:r>
          </w:p>
        </w:tc>
      </w:tr>
    </w:tbl>
    <w:p w:rsidR="008A1B58" w:rsidRPr="009C2A6C" w:rsidRDefault="008A1B58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</w:p>
    <w:p w:rsidR="007C033C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033C" w:rsidRPr="009C2A6C">
        <w:rPr>
          <w:sz w:val="28"/>
        </w:rPr>
        <w:t>Таблица П2</w:t>
      </w:r>
    </w:p>
    <w:p w:rsidR="007C033C" w:rsidRPr="009C2A6C" w:rsidRDefault="007C033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>Минимальный пределы огнестойкости основных строительных конструкций, ч, в зависимости от степени огнестойкости здания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2"/>
        <w:gridCol w:w="1262"/>
        <w:gridCol w:w="1152"/>
        <w:gridCol w:w="1186"/>
        <w:gridCol w:w="1560"/>
        <w:gridCol w:w="1320"/>
      </w:tblGrid>
      <w:tr w:rsidR="002F0E6A" w:rsidRPr="009C2A6C" w:rsidTr="007D48E1">
        <w:tc>
          <w:tcPr>
            <w:tcW w:w="1008" w:type="dxa"/>
            <w:vMerge w:val="restart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Сте</w:t>
            </w:r>
            <w:r w:rsidR="002F0E6A" w:rsidRPr="009C2A6C">
              <w:rPr>
                <w:sz w:val="20"/>
                <w:szCs w:val="20"/>
              </w:rPr>
              <w:t>пень огне</w:t>
            </w:r>
            <w:r w:rsidRPr="009C2A6C">
              <w:rPr>
                <w:sz w:val="20"/>
                <w:szCs w:val="20"/>
              </w:rPr>
              <w:t>стой</w:t>
            </w:r>
            <w:r w:rsidR="002F0E6A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кос</w:t>
            </w:r>
            <w:r w:rsidR="002F0E6A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ти</w:t>
            </w:r>
            <w:r w:rsid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 xml:space="preserve">здания </w:t>
            </w:r>
          </w:p>
        </w:tc>
        <w:tc>
          <w:tcPr>
            <w:tcW w:w="7872" w:type="dxa"/>
            <w:gridSpan w:val="6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Основные строительные конструкции</w:t>
            </w:r>
          </w:p>
        </w:tc>
      </w:tr>
      <w:tr w:rsidR="002F0E6A" w:rsidRPr="009C2A6C" w:rsidTr="007D48E1">
        <w:tc>
          <w:tcPr>
            <w:tcW w:w="1008" w:type="dxa"/>
            <w:vMerge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Несущие стены, стены лестичных клеток, колонны</w:t>
            </w:r>
          </w:p>
        </w:tc>
        <w:tc>
          <w:tcPr>
            <w:tcW w:w="1262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Лестничные площадки, ступеньки, балки</w:t>
            </w:r>
          </w:p>
        </w:tc>
        <w:tc>
          <w:tcPr>
            <w:tcW w:w="1152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Наружные стены из навесных панелей</w:t>
            </w:r>
          </w:p>
        </w:tc>
        <w:tc>
          <w:tcPr>
            <w:tcW w:w="1186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Внутренние несущие стены (перегородки)</w:t>
            </w:r>
          </w:p>
        </w:tc>
        <w:tc>
          <w:tcPr>
            <w:tcW w:w="1560" w:type="dxa"/>
          </w:tcPr>
          <w:p w:rsidR="007C033C" w:rsidRPr="009C2A6C" w:rsidRDefault="007C033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Плиты, </w:t>
            </w:r>
            <w:r w:rsidR="002F0E6A" w:rsidRPr="009C2A6C">
              <w:rPr>
                <w:sz w:val="20"/>
                <w:szCs w:val="20"/>
              </w:rPr>
              <w:t xml:space="preserve">настилы и др. несущие конст рукции между этажных </w:t>
            </w:r>
            <w:r w:rsidR="009C2A6C">
              <w:rPr>
                <w:sz w:val="20"/>
                <w:szCs w:val="20"/>
              </w:rPr>
              <w:t>пере</w:t>
            </w:r>
            <w:r w:rsidR="002F0E6A" w:rsidRPr="009C2A6C">
              <w:rPr>
                <w:sz w:val="20"/>
                <w:szCs w:val="20"/>
              </w:rPr>
              <w:t>крытий</w:t>
            </w:r>
          </w:p>
        </w:tc>
        <w:tc>
          <w:tcPr>
            <w:tcW w:w="1320" w:type="dxa"/>
          </w:tcPr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Внут</w:t>
            </w:r>
            <w:r w:rsidR="009C2A6C">
              <w:rPr>
                <w:sz w:val="20"/>
                <w:szCs w:val="20"/>
              </w:rPr>
              <w:t>рен</w:t>
            </w:r>
            <w:r w:rsidRPr="009C2A6C">
              <w:rPr>
                <w:sz w:val="20"/>
                <w:szCs w:val="20"/>
              </w:rPr>
              <w:t>ние перегородки</w:t>
            </w:r>
          </w:p>
        </w:tc>
      </w:tr>
      <w:tr w:rsidR="002F0E6A" w:rsidRPr="009C2A6C" w:rsidTr="007D48E1">
        <w:tc>
          <w:tcPr>
            <w:tcW w:w="1008" w:type="dxa"/>
          </w:tcPr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I</w:t>
            </w:r>
            <w:r w:rsidR="009C2A6C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II</w:t>
            </w:r>
            <w:r w:rsidR="009C2A6C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III</w:t>
            </w:r>
            <w:r w:rsidR="009C2A6C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IV</w:t>
            </w:r>
            <w:r w:rsidR="009C2A6C" w:rsidRPr="009C2A6C">
              <w:rPr>
                <w:sz w:val="20"/>
                <w:szCs w:val="20"/>
              </w:rPr>
              <w:t xml:space="preserve"> </w:t>
            </w:r>
            <w:r w:rsidRPr="009C2A6C">
              <w:rPr>
                <w:sz w:val="20"/>
                <w:szCs w:val="20"/>
              </w:rPr>
              <w:t>V</w:t>
            </w:r>
          </w:p>
        </w:tc>
        <w:tc>
          <w:tcPr>
            <w:tcW w:w="1392" w:type="dxa"/>
          </w:tcPr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2,5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 Не норми-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  <w:tc>
          <w:tcPr>
            <w:tcW w:w="1262" w:type="dxa"/>
          </w:tcPr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норми-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  <w:tc>
          <w:tcPr>
            <w:tcW w:w="1152" w:type="dxa"/>
          </w:tcPr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норми-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  <w:tc>
          <w:tcPr>
            <w:tcW w:w="1186" w:type="dxa"/>
          </w:tcPr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норми-</w:t>
            </w:r>
          </w:p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  <w:tc>
          <w:tcPr>
            <w:tcW w:w="1560" w:type="dxa"/>
          </w:tcPr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0,15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0,15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норми-</w:t>
            </w:r>
          </w:p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  <w:tc>
          <w:tcPr>
            <w:tcW w:w="1320" w:type="dxa"/>
          </w:tcPr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0,25</w:t>
            </w:r>
          </w:p>
          <w:p w:rsidR="002F0E6A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Не норми-</w:t>
            </w:r>
          </w:p>
          <w:p w:rsidR="007C033C" w:rsidRPr="009C2A6C" w:rsidRDefault="002F0E6A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руется</w:t>
            </w:r>
          </w:p>
        </w:tc>
      </w:tr>
    </w:tbl>
    <w:p w:rsidR="007C033C" w:rsidRPr="009C2A6C" w:rsidRDefault="007C033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</w:p>
    <w:p w:rsidR="00995B50" w:rsidRPr="009C2A6C" w:rsidRDefault="00995B50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  <w:r w:rsidRPr="009C2A6C">
        <w:rPr>
          <w:sz w:val="28"/>
        </w:rPr>
        <w:t>Таблица П3</w:t>
      </w:r>
    </w:p>
    <w:p w:rsidR="00995B50" w:rsidRPr="009C2A6C" w:rsidRDefault="00995B50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2A6C">
        <w:rPr>
          <w:b/>
          <w:sz w:val="28"/>
          <w:szCs w:val="28"/>
        </w:rPr>
        <w:t>Нормы первичных средств пожаротушения для предприятий различных отраслей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206"/>
        <w:gridCol w:w="600"/>
        <w:gridCol w:w="600"/>
        <w:gridCol w:w="600"/>
        <w:gridCol w:w="600"/>
        <w:gridCol w:w="600"/>
        <w:gridCol w:w="600"/>
        <w:gridCol w:w="720"/>
      </w:tblGrid>
      <w:tr w:rsidR="00995B50" w:rsidRPr="009C2A6C" w:rsidTr="009C2A6C">
        <w:tc>
          <w:tcPr>
            <w:tcW w:w="2382" w:type="dxa"/>
            <w:vMerge w:val="restart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Наименование помещений, сооружений, установок</w:t>
            </w:r>
          </w:p>
        </w:tc>
        <w:tc>
          <w:tcPr>
            <w:tcW w:w="1206" w:type="dxa"/>
            <w:vMerge w:val="restart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400" w:type="dxa"/>
            <w:gridSpan w:val="4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Огнетушители</w:t>
            </w:r>
          </w:p>
        </w:tc>
        <w:tc>
          <w:tcPr>
            <w:tcW w:w="1920" w:type="dxa"/>
            <w:gridSpan w:val="3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Прочие средства</w:t>
            </w:r>
          </w:p>
        </w:tc>
      </w:tr>
      <w:tr w:rsidR="00995B50" w:rsidRPr="009C2A6C" w:rsidTr="009C2A6C">
        <w:tc>
          <w:tcPr>
            <w:tcW w:w="2382" w:type="dxa"/>
            <w:vMerge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</w:t>
            </w: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</w:t>
            </w: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</w:t>
            </w: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</w:t>
            </w: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д</w:t>
            </w:r>
          </w:p>
        </w:tc>
        <w:tc>
          <w:tcPr>
            <w:tcW w:w="60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е</w:t>
            </w:r>
          </w:p>
        </w:tc>
        <w:tc>
          <w:tcPr>
            <w:tcW w:w="720" w:type="dxa"/>
            <w:vAlign w:val="center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ж</w:t>
            </w: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Бензоколонки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Колонка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Машиновычислительные станции, вычислительные центры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Авторемонтные гаражи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Столярные мастерские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Лаборатории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Операторские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помещение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Склады с горючими материалами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5B50" w:rsidRPr="009C2A6C" w:rsidTr="009C2A6C">
        <w:tc>
          <w:tcPr>
            <w:tcW w:w="2382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1206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200м2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5B50" w:rsidRPr="009C2A6C" w:rsidRDefault="00995B50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417" w:rsidRPr="009C2A6C" w:rsidRDefault="00995B50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sz w:val="28"/>
          <w:szCs w:val="28"/>
        </w:rPr>
        <w:t>Обозначение столбцов: а – углекислотные ручные ОУ-2, б – углекислотные передвижные ОУ-40, в – химические пенные ОВП-100, д – ящик с песком, е –войлок,</w:t>
      </w:r>
      <w:r w:rsidR="00C60417" w:rsidRPr="009C2A6C">
        <w:rPr>
          <w:sz w:val="28"/>
          <w:szCs w:val="28"/>
        </w:rPr>
        <w:t xml:space="preserve"> кошма, асбест (2*1,5)м, ж – бочка с водой </w:t>
      </w:r>
      <w:r w:rsidR="00C60417" w:rsidRPr="009C2A6C">
        <w:rPr>
          <w:sz w:val="28"/>
          <w:szCs w:val="28"/>
          <w:lang w:val="en-US"/>
        </w:rPr>
        <w:t>V</w:t>
      </w:r>
      <w:r w:rsidR="00C60417" w:rsidRPr="009C2A6C">
        <w:rPr>
          <w:sz w:val="28"/>
          <w:szCs w:val="28"/>
        </w:rPr>
        <w:t xml:space="preserve"> = 0,2м</w:t>
      </w:r>
      <w:r w:rsidR="00C60417" w:rsidRPr="009C2A6C">
        <w:rPr>
          <w:sz w:val="28"/>
          <w:szCs w:val="28"/>
          <w:vertAlign w:val="superscript"/>
        </w:rPr>
        <w:t>2</w:t>
      </w:r>
      <w:r w:rsidR="00C60417" w:rsidRPr="009C2A6C">
        <w:rPr>
          <w:sz w:val="28"/>
          <w:szCs w:val="28"/>
        </w:rPr>
        <w:t>, ведро.</w:t>
      </w:r>
    </w:p>
    <w:p w:rsidR="009C2A6C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</w:p>
    <w:p w:rsidR="009C2A6C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</w:rPr>
      </w:pPr>
      <w:r w:rsidRPr="009C2A6C">
        <w:rPr>
          <w:sz w:val="28"/>
        </w:rPr>
        <w:t>Таблица П4</w:t>
      </w:r>
    </w:p>
    <w:p w:rsidR="009C2A6C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  <w:r w:rsidRPr="009C2A6C">
        <w:rPr>
          <w:b/>
          <w:sz w:val="28"/>
          <w:szCs w:val="28"/>
        </w:rPr>
        <w:t>Расход воды на пожаротушение</w:t>
      </w:r>
    </w:p>
    <w:p w:rsidR="009C2A6C" w:rsidRPr="009C2A6C" w:rsidRDefault="009C2A6C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95"/>
        <w:gridCol w:w="1165"/>
        <w:gridCol w:w="1320"/>
        <w:gridCol w:w="1320"/>
        <w:gridCol w:w="1596"/>
      </w:tblGrid>
      <w:tr w:rsidR="009C2A6C" w:rsidRPr="009C2A6C" w:rsidTr="009C2A6C">
        <w:tc>
          <w:tcPr>
            <w:tcW w:w="1188" w:type="dxa"/>
            <w:vMerge w:val="restart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Степень огнестой-</w:t>
            </w:r>
          </w:p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кости</w:t>
            </w:r>
          </w:p>
        </w:tc>
        <w:tc>
          <w:tcPr>
            <w:tcW w:w="1595" w:type="dxa"/>
            <w:vMerge w:val="restart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Категория</w:t>
            </w:r>
          </w:p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здания по пожарной опасности </w:t>
            </w:r>
          </w:p>
        </w:tc>
        <w:tc>
          <w:tcPr>
            <w:tcW w:w="5401" w:type="dxa"/>
            <w:gridSpan w:val="4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Расход воды на пожаротушение л/с, при объеме здания, тыс.м3</w:t>
            </w:r>
          </w:p>
        </w:tc>
      </w:tr>
      <w:tr w:rsidR="009C2A6C" w:rsidRPr="009C2A6C" w:rsidTr="009C2A6C">
        <w:tc>
          <w:tcPr>
            <w:tcW w:w="1188" w:type="dxa"/>
            <w:vMerge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До 2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 xml:space="preserve">От 2 до 5 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От 5 до 20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От 20 до 50</w:t>
            </w:r>
          </w:p>
        </w:tc>
      </w:tr>
      <w:tr w:rsidR="009C2A6C" w:rsidRPr="009C2A6C" w:rsidTr="009C2A6C">
        <w:tc>
          <w:tcPr>
            <w:tcW w:w="1188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I</w:t>
            </w:r>
          </w:p>
        </w:tc>
        <w:tc>
          <w:tcPr>
            <w:tcW w:w="159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А,Б</w:t>
            </w: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25</w:t>
            </w:r>
          </w:p>
        </w:tc>
      </w:tr>
      <w:tr w:rsidR="009C2A6C" w:rsidRPr="009C2A6C" w:rsidTr="009C2A6C">
        <w:tc>
          <w:tcPr>
            <w:tcW w:w="1188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II</w:t>
            </w:r>
          </w:p>
        </w:tc>
        <w:tc>
          <w:tcPr>
            <w:tcW w:w="159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Б</w:t>
            </w: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15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20</w:t>
            </w:r>
          </w:p>
        </w:tc>
      </w:tr>
      <w:tr w:rsidR="009C2A6C" w:rsidRPr="009C2A6C" w:rsidTr="009C2A6C">
        <w:tc>
          <w:tcPr>
            <w:tcW w:w="1188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III</w:t>
            </w:r>
          </w:p>
        </w:tc>
        <w:tc>
          <w:tcPr>
            <w:tcW w:w="159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В,Г,Д</w:t>
            </w: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</w:tr>
      <w:tr w:rsidR="009C2A6C" w:rsidRPr="009C2A6C" w:rsidTr="009C2A6C">
        <w:tc>
          <w:tcPr>
            <w:tcW w:w="1188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IV</w:t>
            </w:r>
          </w:p>
        </w:tc>
        <w:tc>
          <w:tcPr>
            <w:tcW w:w="159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Г,Д</w:t>
            </w: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</w:tr>
      <w:tr w:rsidR="009C2A6C" w:rsidRPr="009C2A6C" w:rsidTr="009C2A6C">
        <w:tc>
          <w:tcPr>
            <w:tcW w:w="1188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V</w:t>
            </w:r>
          </w:p>
        </w:tc>
        <w:tc>
          <w:tcPr>
            <w:tcW w:w="159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Г,Д</w:t>
            </w:r>
          </w:p>
        </w:tc>
        <w:tc>
          <w:tcPr>
            <w:tcW w:w="1165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  <w:tc>
          <w:tcPr>
            <w:tcW w:w="1596" w:type="dxa"/>
          </w:tcPr>
          <w:p w:rsidR="009C2A6C" w:rsidRPr="009C2A6C" w:rsidRDefault="009C2A6C" w:rsidP="009C2A6C">
            <w:pPr>
              <w:shd w:val="clear" w:color="000000" w:fill="auto"/>
              <w:tabs>
                <w:tab w:val="left" w:pos="64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A6C">
              <w:rPr>
                <w:sz w:val="20"/>
                <w:szCs w:val="20"/>
              </w:rPr>
              <w:t>10</w:t>
            </w:r>
          </w:p>
        </w:tc>
      </w:tr>
    </w:tbl>
    <w:p w:rsidR="00C60417" w:rsidRPr="009C2A6C" w:rsidRDefault="00C60417" w:rsidP="009C2A6C">
      <w:pPr>
        <w:shd w:val="clear" w:color="000000" w:fill="auto"/>
        <w:tabs>
          <w:tab w:val="left" w:pos="6495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C60417" w:rsidRPr="009C2A6C" w:rsidSect="009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7" w:rsidRDefault="002D56F7">
      <w:r>
        <w:separator/>
      </w:r>
    </w:p>
  </w:endnote>
  <w:endnote w:type="continuationSeparator" w:id="0">
    <w:p w:rsidR="002D56F7" w:rsidRDefault="002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17" w:rsidRDefault="00C60417" w:rsidP="009C2A6C">
    <w:pPr>
      <w:pStyle w:val="a4"/>
      <w:framePr w:wrap="around" w:vAnchor="text" w:hAnchor="margin" w:xAlign="right" w:y="1"/>
      <w:rPr>
        <w:rStyle w:val="a6"/>
      </w:rPr>
    </w:pPr>
  </w:p>
  <w:p w:rsidR="00C60417" w:rsidRDefault="00C60417" w:rsidP="009C2A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17" w:rsidRDefault="00CA26B9" w:rsidP="009C2A6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60417" w:rsidRDefault="00C60417" w:rsidP="009C2A6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6C" w:rsidRDefault="009C2A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7" w:rsidRDefault="002D56F7">
      <w:r>
        <w:separator/>
      </w:r>
    </w:p>
  </w:footnote>
  <w:footnote w:type="continuationSeparator" w:id="0">
    <w:p w:rsidR="002D56F7" w:rsidRDefault="002D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6C" w:rsidRDefault="009C2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6C" w:rsidRDefault="009C2A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6C" w:rsidRDefault="009C2A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06C54"/>
    <w:multiLevelType w:val="hybridMultilevel"/>
    <w:tmpl w:val="0172DB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DE9"/>
    <w:rsid w:val="0001143F"/>
    <w:rsid w:val="000C6703"/>
    <w:rsid w:val="001468A6"/>
    <w:rsid w:val="002D56F7"/>
    <w:rsid w:val="002F0E6A"/>
    <w:rsid w:val="00314980"/>
    <w:rsid w:val="00346FA9"/>
    <w:rsid w:val="00421C20"/>
    <w:rsid w:val="00491E38"/>
    <w:rsid w:val="004C62DB"/>
    <w:rsid w:val="004F77E3"/>
    <w:rsid w:val="0058161C"/>
    <w:rsid w:val="006E77EE"/>
    <w:rsid w:val="007244DD"/>
    <w:rsid w:val="007A4837"/>
    <w:rsid w:val="007C033C"/>
    <w:rsid w:val="007D48E1"/>
    <w:rsid w:val="00863A12"/>
    <w:rsid w:val="008A1B58"/>
    <w:rsid w:val="008A68E3"/>
    <w:rsid w:val="0091078E"/>
    <w:rsid w:val="00925EAF"/>
    <w:rsid w:val="00995B50"/>
    <w:rsid w:val="009C2A6C"/>
    <w:rsid w:val="00A1116A"/>
    <w:rsid w:val="00A27C8F"/>
    <w:rsid w:val="00A27DE9"/>
    <w:rsid w:val="00AB51BC"/>
    <w:rsid w:val="00B85C0F"/>
    <w:rsid w:val="00BE5ECD"/>
    <w:rsid w:val="00BF63E8"/>
    <w:rsid w:val="00C175B6"/>
    <w:rsid w:val="00C60417"/>
    <w:rsid w:val="00CA26B9"/>
    <w:rsid w:val="00D17BA7"/>
    <w:rsid w:val="00D751B4"/>
    <w:rsid w:val="00E317C1"/>
    <w:rsid w:val="00F311D7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B63E28-8DAE-4047-981F-A424C06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04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60417"/>
    <w:rPr>
      <w:rFonts w:cs="Times New Roman"/>
    </w:rPr>
  </w:style>
  <w:style w:type="paragraph" w:styleId="a7">
    <w:name w:val="header"/>
    <w:basedOn w:val="a"/>
    <w:link w:val="a8"/>
    <w:uiPriority w:val="99"/>
    <w:rsid w:val="009C2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СКРУ-1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.</dc:creator>
  <cp:keywords/>
  <dc:description/>
  <cp:lastModifiedBy>admin</cp:lastModifiedBy>
  <cp:revision>2</cp:revision>
  <dcterms:created xsi:type="dcterms:W3CDTF">2014-03-02T10:12:00Z</dcterms:created>
  <dcterms:modified xsi:type="dcterms:W3CDTF">2014-03-02T10:12:00Z</dcterms:modified>
</cp:coreProperties>
</file>