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92" w:rsidRDefault="00FA517B" w:rsidP="00D37288">
      <w:pPr>
        <w:pStyle w:val="2"/>
      </w:pPr>
      <w:r w:rsidRPr="001D4E92">
        <w:t>Медико-социальные аспекты язвенных кровотечений</w:t>
      </w:r>
    </w:p>
    <w:p w:rsidR="00D37288" w:rsidRPr="00D37288" w:rsidRDefault="00D37288" w:rsidP="00D37288"/>
    <w:p w:rsidR="001D4E92" w:rsidRPr="001D4E92" w:rsidRDefault="00FA517B" w:rsidP="001D4E92">
      <w:pPr>
        <w:widowControl w:val="0"/>
        <w:autoSpaceDE w:val="0"/>
        <w:autoSpaceDN w:val="0"/>
        <w:adjustRightInd w:val="0"/>
        <w:ind w:firstLine="709"/>
      </w:pPr>
      <w:r w:rsidRPr="001D4E92">
        <w:t>В нашей стране проблема язвенных кровоте</w:t>
      </w:r>
      <w:r w:rsidR="00C0346B" w:rsidRPr="001D4E92">
        <w:t>чений имеет особую актуальность</w:t>
      </w:r>
      <w:r w:rsidRPr="001D4E92">
        <w:t xml:space="preserve"> так как</w:t>
      </w:r>
      <w:r w:rsidR="004653D8" w:rsidRPr="001D4E92">
        <w:t>,</w:t>
      </w:r>
      <w:r w:rsidRPr="001D4E92">
        <w:t xml:space="preserve"> несмотря на успехи консервативного лечения язвенной болезни (ЯБ</w:t>
      </w:r>
      <w:r w:rsidR="001D4E92" w:rsidRPr="001D4E92">
        <w:t>),</w:t>
      </w:r>
      <w:r w:rsidRPr="001D4E92">
        <w:t xml:space="preserve"> количество </w:t>
      </w:r>
      <w:r w:rsidR="00AB507E" w:rsidRPr="001D4E92">
        <w:t>больных с этим осложнением не становится меньше, а напротив</w:t>
      </w:r>
      <w:r w:rsidR="001D4E92" w:rsidRPr="001D4E92">
        <w:t xml:space="preserve"> - </w:t>
      </w:r>
      <w:r w:rsidR="00AB507E" w:rsidRPr="001D4E92">
        <w:t>увеличивается</w:t>
      </w:r>
      <w:r w:rsidR="001D4E92" w:rsidRPr="001D4E92">
        <w:t xml:space="preserve">. </w:t>
      </w:r>
      <w:r w:rsidR="00AB507E" w:rsidRPr="001D4E92">
        <w:t>Кровотечения из гастродуоденальных язв являются самым частым и опасным осложнением заболевания и основной причиной смерти данного контингента больных</w:t>
      </w:r>
      <w:r w:rsidR="001D4E92" w:rsidRPr="001D4E92">
        <w:t xml:space="preserve">. </w:t>
      </w:r>
      <w:r w:rsidR="00AB507E" w:rsidRPr="001D4E92">
        <w:t>Риск развития кровотечения на протяжении жизни больного ЯБ составляет не менее 15-25%</w:t>
      </w:r>
      <w:r w:rsidR="001D4E92" w:rsidRPr="001D4E92">
        <w:t xml:space="preserve">. </w:t>
      </w:r>
      <w:r w:rsidR="00AB507E" w:rsidRPr="001D4E92">
        <w:t>У 40% больных после первого эпизода кровотечения рано или поздно возникает повторное</w:t>
      </w:r>
      <w:r w:rsidR="001D4E92" w:rsidRPr="001D4E92">
        <w:t xml:space="preserve">. </w:t>
      </w:r>
      <w:r w:rsidR="00AB507E" w:rsidRPr="001D4E92">
        <w:t xml:space="preserve">В большинстве случаев кровотечения развиваются на фоне клинического обострения </w:t>
      </w:r>
      <w:r w:rsidR="00C0346B" w:rsidRPr="001D4E92">
        <w:t>ЯБ</w:t>
      </w:r>
      <w:r w:rsidR="00AB507E" w:rsidRPr="001D4E92">
        <w:t>, но у части больных</w:t>
      </w:r>
      <w:r w:rsidR="001D4E92" w:rsidRPr="001D4E92">
        <w:t xml:space="preserve"> - </w:t>
      </w:r>
      <w:r w:rsidR="00AB507E" w:rsidRPr="001D4E92">
        <w:t>мо</w:t>
      </w:r>
      <w:r w:rsidR="00977163" w:rsidRPr="001D4E92">
        <w:t>гут</w:t>
      </w:r>
      <w:r w:rsidR="00AB507E" w:rsidRPr="001D4E92">
        <w:t xml:space="preserve"> быть первым проявлением рецидива или дебюта язвообразования</w:t>
      </w:r>
      <w:r w:rsidR="001D4E92" w:rsidRPr="001D4E92">
        <w:t xml:space="preserve">. </w:t>
      </w:r>
      <w:r w:rsidR="00AB507E" w:rsidRPr="001D4E92">
        <w:t>Около 60-75% язвенных кровотечений приходятся на дуоденальную локализацию</w:t>
      </w:r>
      <w:r w:rsidR="001D4E92" w:rsidRPr="001D4E92">
        <w:t xml:space="preserve">. </w:t>
      </w:r>
      <w:r w:rsidR="00AB507E" w:rsidRPr="001D4E92">
        <w:t>Провоцирующими факторами могут являться прием алкоголя, физическая перегрузка, психо-эмоциональный стресс, гипертонический криз, прием препаратов с побочным ульцерогенным эффектом (нестероидных противовоспалительных препаратов</w:t>
      </w:r>
      <w:r w:rsidR="001D4E92" w:rsidRPr="001D4E92">
        <w:t xml:space="preserve"> - </w:t>
      </w:r>
      <w:r w:rsidR="00AB507E" w:rsidRPr="001D4E92">
        <w:t>НПВП</w:t>
      </w:r>
      <w:r w:rsidR="00977163" w:rsidRPr="001D4E92">
        <w:t xml:space="preserve">, кортикостероиды и </w:t>
      </w:r>
      <w:r w:rsidR="001D4E92">
        <w:t>др.)</w:t>
      </w:r>
      <w:r w:rsidR="001D4E92" w:rsidRPr="001D4E92">
        <w:t>,</w:t>
      </w:r>
      <w:r w:rsidR="00AB507E" w:rsidRPr="001D4E92">
        <w:t xml:space="preserve"> тупая травма живота, переедание</w:t>
      </w:r>
      <w:r w:rsidR="001D4E92" w:rsidRPr="001D4E92">
        <w:t xml:space="preserve">. </w:t>
      </w:r>
    </w:p>
    <w:p w:rsidR="001D4E92" w:rsidRPr="001D4E92" w:rsidRDefault="00664E0E" w:rsidP="001D4E92">
      <w:pPr>
        <w:widowControl w:val="0"/>
        <w:autoSpaceDE w:val="0"/>
        <w:autoSpaceDN w:val="0"/>
        <w:adjustRightInd w:val="0"/>
        <w:ind w:firstLine="709"/>
      </w:pPr>
      <w:r w:rsidRPr="001D4E92">
        <w:t>В экономически развитых странах с кровотечениями из верхнего отдела пищеварительного тракта</w:t>
      </w:r>
      <w:r w:rsidR="001D4E92" w:rsidRPr="001D4E92">
        <w:t xml:space="preserve"> </w:t>
      </w:r>
      <w:r w:rsidRPr="001D4E92">
        <w:t>ежегодно госпитализируются около 100 человек на 100 тыс</w:t>
      </w:r>
      <w:r w:rsidR="001D4E92" w:rsidRPr="001D4E92">
        <w:t xml:space="preserve">. </w:t>
      </w:r>
      <w:r w:rsidRPr="001D4E92">
        <w:t>населения</w:t>
      </w:r>
      <w:r w:rsidR="001D4E92" w:rsidRPr="001D4E92">
        <w:t xml:space="preserve">. </w:t>
      </w:r>
      <w:r w:rsidRPr="001D4E92">
        <w:t>Более 60% этих кровотечений имеют язвенную этиологию</w:t>
      </w:r>
      <w:r w:rsidR="001D4E92" w:rsidRPr="001D4E92">
        <w:t xml:space="preserve">. </w:t>
      </w:r>
      <w:r w:rsidR="00155632" w:rsidRPr="001D4E92">
        <w:t>В России с язвенными кровотечениями в 1990 г</w:t>
      </w:r>
      <w:r w:rsidR="001D4E92" w:rsidRPr="001D4E92">
        <w:t xml:space="preserve">. </w:t>
      </w:r>
      <w:r w:rsidR="00155632" w:rsidRPr="001D4E92">
        <w:t>всего было пролечено около 29 тысяч больных, спустя 30 лет, в 2001 г</w:t>
      </w:r>
      <w:r w:rsidR="001D4E92" w:rsidRPr="001D4E92">
        <w:t xml:space="preserve">. - </w:t>
      </w:r>
      <w:r w:rsidR="00155632" w:rsidRPr="001D4E92">
        <w:t>уже более 66 тысяч</w:t>
      </w:r>
      <w:r w:rsidR="001D4E92" w:rsidRPr="001D4E92">
        <w:t xml:space="preserve">. </w:t>
      </w:r>
      <w:r w:rsidR="00155632" w:rsidRPr="001D4E92">
        <w:t>Причем послеоперационная летальность (при хирургической активности около 25%</w:t>
      </w:r>
      <w:r w:rsidR="001D4E92" w:rsidRPr="001D4E92">
        <w:t xml:space="preserve">) </w:t>
      </w:r>
      <w:r w:rsidR="00155632" w:rsidRPr="001D4E92">
        <w:t>не изменилась, состав</w:t>
      </w:r>
      <w:r w:rsidR="004653D8" w:rsidRPr="001D4E92">
        <w:t>ляя</w:t>
      </w:r>
      <w:r w:rsidR="00155632" w:rsidRPr="001D4E92">
        <w:t xml:space="preserve"> в среднем 13%</w:t>
      </w:r>
      <w:r w:rsidR="001D4E92" w:rsidRPr="001D4E92">
        <w:t xml:space="preserve">. </w:t>
      </w:r>
      <w:r w:rsidRPr="001D4E92">
        <w:t>По данным многолетних когортных исследований, проведенных в Западных странах, летальность при язвенных кровотечениях за последние 30-50 лет остается стабильной и у тяжелых больных достигает</w:t>
      </w:r>
      <w:r w:rsidR="001D4E92" w:rsidRPr="001D4E92">
        <w:t xml:space="preserve"> </w:t>
      </w:r>
      <w:r w:rsidRPr="001D4E92">
        <w:t>25-30% и более</w:t>
      </w:r>
      <w:r w:rsidR="001D4E92" w:rsidRPr="001D4E92">
        <w:t xml:space="preserve">. </w:t>
      </w:r>
      <w:r w:rsidRPr="001D4E92">
        <w:t>В индустриальных странах основной контингент таких пациентов</w:t>
      </w:r>
      <w:r w:rsidR="001D4E92" w:rsidRPr="001D4E92">
        <w:t xml:space="preserve"> - </w:t>
      </w:r>
      <w:r w:rsidRPr="001D4E92">
        <w:t>лица пожилого и старческого возраста</w:t>
      </w:r>
      <w:r w:rsidR="001D4E92" w:rsidRPr="001D4E92">
        <w:t xml:space="preserve">. </w:t>
      </w:r>
      <w:r w:rsidRPr="001D4E92">
        <w:t>Не менее 20-40% из них принимают НПВП или другие медикаменты с ульцерогенным эффектом по поводу ИБС, дегенеративных или ревматоидных заболеваний суставов, позвоночника</w:t>
      </w:r>
      <w:r w:rsidR="001D4E92" w:rsidRPr="001D4E92">
        <w:t xml:space="preserve">. </w:t>
      </w:r>
      <w:r w:rsidR="00155632" w:rsidRPr="001D4E92">
        <w:t>Все это подчеркивает высокую социальную значимость проблему язвенных кровотечений</w:t>
      </w:r>
      <w:r w:rsidR="001D4E92" w:rsidRPr="001D4E92">
        <w:t xml:space="preserve">. </w:t>
      </w:r>
    </w:p>
    <w:p w:rsidR="001D4E92" w:rsidRPr="001D4E92" w:rsidRDefault="00735366" w:rsidP="001D4E92">
      <w:pPr>
        <w:widowControl w:val="0"/>
        <w:autoSpaceDE w:val="0"/>
        <w:autoSpaceDN w:val="0"/>
        <w:adjustRightInd w:val="0"/>
        <w:ind w:firstLine="709"/>
      </w:pPr>
      <w:r w:rsidRPr="001D4E92">
        <w:t>Хирургические методы лечения больных с кровоточащими гастро-дуоденальными язвами достаточно широко освещены в медицинской литературе</w:t>
      </w:r>
      <w:r w:rsidR="001D4E92" w:rsidRPr="001D4E92">
        <w:t xml:space="preserve">. </w:t>
      </w:r>
      <w:r w:rsidR="00654516" w:rsidRPr="001D4E92">
        <w:t>О динамик</w:t>
      </w:r>
      <w:r w:rsidR="001B4225" w:rsidRPr="001D4E92">
        <w:t>е</w:t>
      </w:r>
      <w:r w:rsidR="00654516" w:rsidRPr="001D4E92">
        <w:t xml:space="preserve"> </w:t>
      </w:r>
      <w:r w:rsidR="001B4225" w:rsidRPr="001D4E92">
        <w:t xml:space="preserve">абсолютного </w:t>
      </w:r>
      <w:r w:rsidR="00AA107C" w:rsidRPr="001D4E92">
        <w:t>числа</w:t>
      </w:r>
      <w:r w:rsidR="00654516" w:rsidRPr="001D4E92">
        <w:t xml:space="preserve"> и частоты неотложных операций при этом осложнении ЯБ в Гомельской области </w:t>
      </w:r>
      <w:r w:rsidR="00AA107C" w:rsidRPr="001D4E92">
        <w:t>с 1980 г</w:t>
      </w:r>
      <w:r w:rsidR="001D4E92" w:rsidRPr="001D4E92">
        <w:t xml:space="preserve">. </w:t>
      </w:r>
      <w:r w:rsidR="00654516" w:rsidRPr="001D4E92">
        <w:t>и Беларуси за 1990-200</w:t>
      </w:r>
      <w:r w:rsidR="00AA107C" w:rsidRPr="001D4E92">
        <w:t>5</w:t>
      </w:r>
      <w:r w:rsidR="00654516" w:rsidRPr="001D4E92">
        <w:t xml:space="preserve"> гг</w:t>
      </w:r>
      <w:r w:rsidR="001D4E92" w:rsidRPr="001D4E92">
        <w:t xml:space="preserve">. </w:t>
      </w:r>
      <w:r w:rsidR="00654516" w:rsidRPr="001D4E92">
        <w:t>можно судить по данным, представленным в таблиц</w:t>
      </w:r>
      <w:r w:rsidR="00AA107C" w:rsidRPr="001D4E92">
        <w:t>ах 1 и 2</w:t>
      </w:r>
      <w:r w:rsidR="001D4E92" w:rsidRPr="001D4E92">
        <w:t xml:space="preserve">. </w:t>
      </w:r>
    </w:p>
    <w:p w:rsidR="00D37288" w:rsidRDefault="00D37288" w:rsidP="001D4E92">
      <w:pPr>
        <w:widowControl w:val="0"/>
        <w:autoSpaceDE w:val="0"/>
        <w:autoSpaceDN w:val="0"/>
        <w:adjustRightInd w:val="0"/>
        <w:ind w:firstLine="709"/>
      </w:pPr>
    </w:p>
    <w:p w:rsidR="001D4E92" w:rsidRPr="001D4E92" w:rsidRDefault="003663AA" w:rsidP="001D4E92">
      <w:pPr>
        <w:widowControl w:val="0"/>
        <w:autoSpaceDE w:val="0"/>
        <w:autoSpaceDN w:val="0"/>
        <w:adjustRightInd w:val="0"/>
        <w:ind w:firstLine="709"/>
      </w:pPr>
      <w:r w:rsidRPr="001D4E92">
        <w:t>Таблица 1</w:t>
      </w:r>
    </w:p>
    <w:tbl>
      <w:tblPr>
        <w:tblW w:w="47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052"/>
        <w:gridCol w:w="2074"/>
        <w:gridCol w:w="836"/>
        <w:gridCol w:w="1449"/>
        <w:gridCol w:w="1774"/>
      </w:tblGrid>
      <w:tr w:rsidR="001D4E92" w:rsidRPr="001D4E92" w:rsidTr="00FB2FB7">
        <w:trPr>
          <w:trHeight w:val="526"/>
          <w:jc w:val="center"/>
        </w:trPr>
        <w:tc>
          <w:tcPr>
            <w:tcW w:w="465" w:type="pct"/>
            <w:noWrap/>
            <w:vAlign w:val="bottom"/>
          </w:tcPr>
          <w:p w:rsidR="00EF3F34" w:rsidRPr="001D4E92" w:rsidRDefault="00EF3F34" w:rsidP="00D37288">
            <w:pPr>
              <w:pStyle w:val="af9"/>
            </w:pPr>
          </w:p>
        </w:tc>
        <w:tc>
          <w:tcPr>
            <w:tcW w:w="2286" w:type="pct"/>
            <w:gridSpan w:val="2"/>
            <w:noWrap/>
            <w:vAlign w:val="bottom"/>
          </w:tcPr>
          <w:p w:rsidR="00EF3F34" w:rsidRPr="001D4E92" w:rsidRDefault="00EF3F34" w:rsidP="00D37288">
            <w:pPr>
              <w:pStyle w:val="af9"/>
            </w:pPr>
            <w:r w:rsidRPr="001D4E92">
              <w:t>Гомельская область</w:t>
            </w:r>
          </w:p>
        </w:tc>
        <w:tc>
          <w:tcPr>
            <w:tcW w:w="463" w:type="pct"/>
            <w:noWrap/>
            <w:vAlign w:val="bottom"/>
          </w:tcPr>
          <w:p w:rsidR="00EF3F34" w:rsidRPr="001D4E92" w:rsidRDefault="00EF3F34" w:rsidP="00D37288">
            <w:pPr>
              <w:pStyle w:val="af9"/>
            </w:pPr>
          </w:p>
        </w:tc>
        <w:tc>
          <w:tcPr>
            <w:tcW w:w="803" w:type="pct"/>
            <w:noWrap/>
            <w:vAlign w:val="bottom"/>
          </w:tcPr>
          <w:p w:rsidR="00EF3F34" w:rsidRPr="001D4E92" w:rsidRDefault="00D32052" w:rsidP="00D37288">
            <w:pPr>
              <w:pStyle w:val="af9"/>
            </w:pPr>
            <w:r w:rsidRPr="001D4E92">
              <w:t>Гомельская область</w:t>
            </w:r>
          </w:p>
        </w:tc>
        <w:tc>
          <w:tcPr>
            <w:tcW w:w="984" w:type="pct"/>
            <w:noWrap/>
            <w:vAlign w:val="bottom"/>
          </w:tcPr>
          <w:p w:rsidR="00EF3F34" w:rsidRPr="001D4E92" w:rsidRDefault="00EF3F34" w:rsidP="00D37288">
            <w:pPr>
              <w:pStyle w:val="af9"/>
            </w:pPr>
          </w:p>
        </w:tc>
      </w:tr>
      <w:tr w:rsidR="001D4E92" w:rsidRPr="001D4E92" w:rsidTr="00FB2FB7">
        <w:trPr>
          <w:trHeight w:val="526"/>
          <w:jc w:val="center"/>
        </w:trPr>
        <w:tc>
          <w:tcPr>
            <w:tcW w:w="465" w:type="pct"/>
            <w:noWrap/>
            <w:vAlign w:val="bottom"/>
          </w:tcPr>
          <w:p w:rsidR="00EF3F34" w:rsidRPr="001D4E92" w:rsidRDefault="00A61DB5" w:rsidP="00D37288">
            <w:pPr>
              <w:pStyle w:val="af9"/>
            </w:pPr>
            <w:r w:rsidRPr="001D4E92">
              <w:t>ГОДЫ</w:t>
            </w:r>
            <w:r w:rsidR="00EF3F34" w:rsidRPr="001D4E92">
              <w:t> </w:t>
            </w:r>
          </w:p>
        </w:tc>
        <w:tc>
          <w:tcPr>
            <w:tcW w:w="1137" w:type="pct"/>
            <w:noWrap/>
            <w:vAlign w:val="bottom"/>
          </w:tcPr>
          <w:p w:rsidR="00EF3F34" w:rsidRPr="001D4E92" w:rsidRDefault="00EF3F34" w:rsidP="00D37288">
            <w:pPr>
              <w:pStyle w:val="af9"/>
            </w:pPr>
            <w:r w:rsidRPr="001D4E92">
              <w:t> Абс</w:t>
            </w:r>
            <w:r w:rsidR="001D4E92" w:rsidRPr="001D4E92">
              <w:t xml:space="preserve">. </w:t>
            </w:r>
            <w:r w:rsidRPr="001D4E92">
              <w:t>число операций</w:t>
            </w:r>
          </w:p>
        </w:tc>
        <w:tc>
          <w:tcPr>
            <w:tcW w:w="1148" w:type="pct"/>
            <w:noWrap/>
            <w:vAlign w:val="bottom"/>
          </w:tcPr>
          <w:p w:rsidR="00EF3F34" w:rsidRPr="001D4E92" w:rsidRDefault="00D32052" w:rsidP="00D37288">
            <w:pPr>
              <w:pStyle w:val="af9"/>
            </w:pPr>
            <w:r w:rsidRPr="001D4E92">
              <w:t>О</w:t>
            </w:r>
            <w:r w:rsidR="00EF3F34" w:rsidRPr="001D4E92">
              <w:t>пер</w:t>
            </w:r>
            <w:r w:rsidRPr="001D4E92">
              <w:t>аций</w:t>
            </w:r>
            <w:r w:rsidR="001D4E92" w:rsidRPr="001D4E92">
              <w:t xml:space="preserve"> </w:t>
            </w:r>
            <w:r w:rsidR="00EF3F34" w:rsidRPr="001D4E92">
              <w:t>на 100 тыс</w:t>
            </w:r>
            <w:r w:rsidR="001D4E92" w:rsidRPr="001D4E92">
              <w:t xml:space="preserve">. </w:t>
            </w:r>
          </w:p>
        </w:tc>
        <w:tc>
          <w:tcPr>
            <w:tcW w:w="463" w:type="pct"/>
            <w:noWrap/>
            <w:vAlign w:val="bottom"/>
          </w:tcPr>
          <w:p w:rsidR="00EF3F34" w:rsidRPr="001D4E92" w:rsidRDefault="00EF3F34" w:rsidP="00D37288">
            <w:pPr>
              <w:pStyle w:val="af9"/>
            </w:pPr>
            <w:r w:rsidRPr="001D4E92">
              <w:t> </w:t>
            </w:r>
            <w:r w:rsidR="00A61DB5" w:rsidRPr="001D4E92">
              <w:t>ГОДЫ</w:t>
            </w:r>
          </w:p>
        </w:tc>
        <w:tc>
          <w:tcPr>
            <w:tcW w:w="803" w:type="pct"/>
            <w:noWrap/>
            <w:vAlign w:val="bottom"/>
          </w:tcPr>
          <w:p w:rsidR="00EF3F34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EF3F34" w:rsidRPr="001D4E92">
              <w:t>Абс</w:t>
            </w:r>
            <w:r w:rsidRPr="001D4E92">
              <w:t xml:space="preserve">. </w:t>
            </w:r>
            <w:r w:rsidR="00EF3F34" w:rsidRPr="001D4E92">
              <w:t>число операций</w:t>
            </w:r>
          </w:p>
        </w:tc>
        <w:tc>
          <w:tcPr>
            <w:tcW w:w="984" w:type="pct"/>
            <w:noWrap/>
            <w:vAlign w:val="bottom"/>
          </w:tcPr>
          <w:p w:rsidR="00EF3F34" w:rsidRPr="001D4E92" w:rsidRDefault="00EF3F34" w:rsidP="00D37288">
            <w:pPr>
              <w:pStyle w:val="af9"/>
            </w:pPr>
            <w:r w:rsidRPr="001D4E92">
              <w:t> </w:t>
            </w:r>
            <w:r w:rsidR="00D32052" w:rsidRPr="001D4E92">
              <w:t>Операций</w:t>
            </w:r>
            <w:r w:rsidR="001D4E92" w:rsidRPr="001D4E92">
              <w:t xml:space="preserve"> </w:t>
            </w:r>
            <w:r w:rsidR="00D32052" w:rsidRPr="001D4E92">
              <w:t>на 100 тыс</w:t>
            </w:r>
            <w:r w:rsidR="001D4E92" w:rsidRPr="001D4E92">
              <w:t xml:space="preserve">. </w:t>
            </w:r>
          </w:p>
        </w:tc>
      </w:tr>
      <w:tr w:rsidR="001D4E92" w:rsidRPr="001D4E92" w:rsidTr="00FB2FB7">
        <w:trPr>
          <w:trHeight w:val="497"/>
          <w:jc w:val="center"/>
        </w:trPr>
        <w:tc>
          <w:tcPr>
            <w:tcW w:w="465" w:type="pct"/>
            <w:noWrap/>
            <w:vAlign w:val="bottom"/>
          </w:tcPr>
          <w:p w:rsidR="00EF3F34" w:rsidRPr="001D4E92" w:rsidRDefault="00EF3F34" w:rsidP="00D37288">
            <w:pPr>
              <w:pStyle w:val="af9"/>
            </w:pPr>
            <w:r w:rsidRPr="001D4E92">
              <w:t>198</w:t>
            </w:r>
            <w:r w:rsidR="00256E44" w:rsidRPr="001D4E92">
              <w:t>0</w:t>
            </w:r>
          </w:p>
        </w:tc>
        <w:tc>
          <w:tcPr>
            <w:tcW w:w="1137" w:type="pct"/>
            <w:noWrap/>
            <w:vAlign w:val="bottom"/>
          </w:tcPr>
          <w:p w:rsidR="00EF3F34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56E44" w:rsidRPr="001D4E92">
              <w:t>78</w:t>
            </w:r>
          </w:p>
        </w:tc>
        <w:tc>
          <w:tcPr>
            <w:tcW w:w="1148" w:type="pct"/>
            <w:noWrap/>
            <w:vAlign w:val="bottom"/>
          </w:tcPr>
          <w:p w:rsidR="00EF3F34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56E44" w:rsidRPr="001D4E92">
              <w:t>4,8</w:t>
            </w:r>
          </w:p>
        </w:tc>
        <w:tc>
          <w:tcPr>
            <w:tcW w:w="463" w:type="pct"/>
            <w:noWrap/>
            <w:vAlign w:val="bottom"/>
          </w:tcPr>
          <w:p w:rsidR="00EF3F34" w:rsidRPr="001D4E92" w:rsidRDefault="00EF3F34" w:rsidP="00D37288">
            <w:pPr>
              <w:pStyle w:val="af9"/>
            </w:pPr>
            <w:r w:rsidRPr="001D4E92">
              <w:t>1985</w:t>
            </w:r>
          </w:p>
        </w:tc>
        <w:tc>
          <w:tcPr>
            <w:tcW w:w="803" w:type="pct"/>
            <w:noWrap/>
            <w:vAlign w:val="bottom"/>
          </w:tcPr>
          <w:p w:rsidR="00EF3F34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56E44" w:rsidRPr="001D4E92">
              <w:t>97</w:t>
            </w:r>
          </w:p>
        </w:tc>
        <w:tc>
          <w:tcPr>
            <w:tcW w:w="984" w:type="pct"/>
            <w:noWrap/>
            <w:vAlign w:val="bottom"/>
          </w:tcPr>
          <w:p w:rsidR="00EF3F34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56E44" w:rsidRPr="001D4E92">
              <w:t>5,8</w:t>
            </w:r>
          </w:p>
        </w:tc>
      </w:tr>
      <w:tr w:rsidR="001D4E92" w:rsidRPr="001D4E92" w:rsidTr="00FB2FB7">
        <w:trPr>
          <w:trHeight w:val="497"/>
          <w:jc w:val="center"/>
        </w:trPr>
        <w:tc>
          <w:tcPr>
            <w:tcW w:w="465" w:type="pct"/>
            <w:noWrap/>
            <w:vAlign w:val="bottom"/>
          </w:tcPr>
          <w:p w:rsidR="00EF3F34" w:rsidRPr="001D4E92" w:rsidRDefault="00EF3F34" w:rsidP="00D37288">
            <w:pPr>
              <w:pStyle w:val="af9"/>
            </w:pPr>
            <w:r w:rsidRPr="001D4E92">
              <w:t>1981</w:t>
            </w:r>
          </w:p>
        </w:tc>
        <w:tc>
          <w:tcPr>
            <w:tcW w:w="1137" w:type="pct"/>
            <w:noWrap/>
            <w:vAlign w:val="bottom"/>
          </w:tcPr>
          <w:p w:rsidR="00EF3F34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56E44" w:rsidRPr="001D4E92">
              <w:t>88</w:t>
            </w:r>
          </w:p>
        </w:tc>
        <w:tc>
          <w:tcPr>
            <w:tcW w:w="1148" w:type="pct"/>
            <w:noWrap/>
            <w:vAlign w:val="bottom"/>
          </w:tcPr>
          <w:p w:rsidR="00EF3F34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56E44" w:rsidRPr="001D4E92">
              <w:t>5,4</w:t>
            </w:r>
          </w:p>
        </w:tc>
        <w:tc>
          <w:tcPr>
            <w:tcW w:w="463" w:type="pct"/>
            <w:noWrap/>
            <w:vAlign w:val="bottom"/>
          </w:tcPr>
          <w:p w:rsidR="00EF3F34" w:rsidRPr="001D4E92" w:rsidRDefault="00EF3F34" w:rsidP="00D37288">
            <w:pPr>
              <w:pStyle w:val="af9"/>
            </w:pPr>
            <w:r w:rsidRPr="001D4E92">
              <w:t>1986</w:t>
            </w:r>
          </w:p>
        </w:tc>
        <w:tc>
          <w:tcPr>
            <w:tcW w:w="803" w:type="pct"/>
            <w:noWrap/>
            <w:vAlign w:val="bottom"/>
          </w:tcPr>
          <w:p w:rsidR="00EF3F34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56E44" w:rsidRPr="001D4E92">
              <w:t>131</w:t>
            </w:r>
          </w:p>
        </w:tc>
        <w:tc>
          <w:tcPr>
            <w:tcW w:w="984" w:type="pct"/>
            <w:noWrap/>
            <w:vAlign w:val="bottom"/>
          </w:tcPr>
          <w:p w:rsidR="00EF3F34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56E44" w:rsidRPr="001D4E92">
              <w:t>7,8</w:t>
            </w:r>
          </w:p>
        </w:tc>
      </w:tr>
      <w:tr w:rsidR="001D4E92" w:rsidRPr="001D4E92" w:rsidTr="00FB2FB7">
        <w:trPr>
          <w:trHeight w:val="497"/>
          <w:jc w:val="center"/>
        </w:trPr>
        <w:tc>
          <w:tcPr>
            <w:tcW w:w="465" w:type="pct"/>
            <w:noWrap/>
            <w:vAlign w:val="bottom"/>
          </w:tcPr>
          <w:p w:rsidR="00EF3F34" w:rsidRPr="001D4E92" w:rsidRDefault="00EF3F34" w:rsidP="00D37288">
            <w:pPr>
              <w:pStyle w:val="af9"/>
            </w:pPr>
            <w:r w:rsidRPr="001D4E92">
              <w:t>1982</w:t>
            </w:r>
          </w:p>
        </w:tc>
        <w:tc>
          <w:tcPr>
            <w:tcW w:w="1137" w:type="pct"/>
            <w:noWrap/>
            <w:vAlign w:val="bottom"/>
          </w:tcPr>
          <w:p w:rsidR="00EF3F34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56E44" w:rsidRPr="001D4E92">
              <w:t>94</w:t>
            </w:r>
          </w:p>
        </w:tc>
        <w:tc>
          <w:tcPr>
            <w:tcW w:w="1148" w:type="pct"/>
            <w:noWrap/>
            <w:vAlign w:val="bottom"/>
          </w:tcPr>
          <w:p w:rsidR="00EF3F34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56E44" w:rsidRPr="001D4E92">
              <w:t>5,7</w:t>
            </w:r>
          </w:p>
        </w:tc>
        <w:tc>
          <w:tcPr>
            <w:tcW w:w="463" w:type="pct"/>
            <w:noWrap/>
            <w:vAlign w:val="bottom"/>
          </w:tcPr>
          <w:p w:rsidR="00EF3F34" w:rsidRPr="001D4E92" w:rsidRDefault="00EF3F34" w:rsidP="00D37288">
            <w:pPr>
              <w:pStyle w:val="af9"/>
            </w:pPr>
            <w:r w:rsidRPr="001D4E92">
              <w:t>1987</w:t>
            </w:r>
          </w:p>
        </w:tc>
        <w:tc>
          <w:tcPr>
            <w:tcW w:w="803" w:type="pct"/>
            <w:noWrap/>
            <w:vAlign w:val="bottom"/>
          </w:tcPr>
          <w:p w:rsidR="00EF3F34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56E44" w:rsidRPr="001D4E92">
              <w:t>134</w:t>
            </w:r>
          </w:p>
        </w:tc>
        <w:tc>
          <w:tcPr>
            <w:tcW w:w="984" w:type="pct"/>
            <w:noWrap/>
            <w:vAlign w:val="bottom"/>
          </w:tcPr>
          <w:p w:rsidR="00EF3F34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56E44" w:rsidRPr="001D4E92">
              <w:t>8,0</w:t>
            </w:r>
          </w:p>
        </w:tc>
      </w:tr>
      <w:tr w:rsidR="001D4E92" w:rsidRPr="001D4E92" w:rsidTr="00FB2FB7">
        <w:trPr>
          <w:trHeight w:val="497"/>
          <w:jc w:val="center"/>
        </w:trPr>
        <w:tc>
          <w:tcPr>
            <w:tcW w:w="465" w:type="pct"/>
            <w:noWrap/>
            <w:vAlign w:val="bottom"/>
          </w:tcPr>
          <w:p w:rsidR="00EF3F34" w:rsidRPr="001D4E92" w:rsidRDefault="00EF3F34" w:rsidP="00D37288">
            <w:pPr>
              <w:pStyle w:val="af9"/>
            </w:pPr>
            <w:r w:rsidRPr="001D4E92">
              <w:t>1983</w:t>
            </w:r>
          </w:p>
        </w:tc>
        <w:tc>
          <w:tcPr>
            <w:tcW w:w="1137" w:type="pct"/>
            <w:noWrap/>
            <w:vAlign w:val="bottom"/>
          </w:tcPr>
          <w:p w:rsidR="00EF3F34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56E44" w:rsidRPr="001D4E92">
              <w:t>99</w:t>
            </w:r>
          </w:p>
        </w:tc>
        <w:tc>
          <w:tcPr>
            <w:tcW w:w="1148" w:type="pct"/>
            <w:noWrap/>
            <w:vAlign w:val="bottom"/>
          </w:tcPr>
          <w:p w:rsidR="00EF3F34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56E44" w:rsidRPr="001D4E92">
              <w:t>6,0</w:t>
            </w:r>
          </w:p>
        </w:tc>
        <w:tc>
          <w:tcPr>
            <w:tcW w:w="463" w:type="pct"/>
            <w:noWrap/>
            <w:vAlign w:val="bottom"/>
          </w:tcPr>
          <w:p w:rsidR="00EF3F34" w:rsidRPr="001D4E92" w:rsidRDefault="00EF3F34" w:rsidP="00D37288">
            <w:pPr>
              <w:pStyle w:val="af9"/>
            </w:pPr>
            <w:r w:rsidRPr="001D4E92">
              <w:t>1988</w:t>
            </w:r>
          </w:p>
        </w:tc>
        <w:tc>
          <w:tcPr>
            <w:tcW w:w="803" w:type="pct"/>
            <w:noWrap/>
            <w:vAlign w:val="bottom"/>
          </w:tcPr>
          <w:p w:rsidR="00EF3F34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56E44" w:rsidRPr="001D4E92">
              <w:t>108</w:t>
            </w:r>
          </w:p>
        </w:tc>
        <w:tc>
          <w:tcPr>
            <w:tcW w:w="984" w:type="pct"/>
            <w:noWrap/>
            <w:vAlign w:val="bottom"/>
          </w:tcPr>
          <w:p w:rsidR="00EF3F34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56E44" w:rsidRPr="001D4E92">
              <w:t>6,5</w:t>
            </w:r>
          </w:p>
        </w:tc>
      </w:tr>
      <w:tr w:rsidR="001D4E92" w:rsidRPr="001D4E92" w:rsidTr="00FB2FB7">
        <w:trPr>
          <w:trHeight w:val="526"/>
          <w:jc w:val="center"/>
        </w:trPr>
        <w:tc>
          <w:tcPr>
            <w:tcW w:w="465" w:type="pct"/>
            <w:noWrap/>
            <w:vAlign w:val="bottom"/>
          </w:tcPr>
          <w:p w:rsidR="00EF3F34" w:rsidRPr="001D4E92" w:rsidRDefault="00EF3F34" w:rsidP="00D37288">
            <w:pPr>
              <w:pStyle w:val="af9"/>
            </w:pPr>
            <w:r w:rsidRPr="001D4E92">
              <w:t>1984</w:t>
            </w:r>
          </w:p>
        </w:tc>
        <w:tc>
          <w:tcPr>
            <w:tcW w:w="1137" w:type="pct"/>
            <w:noWrap/>
            <w:vAlign w:val="bottom"/>
          </w:tcPr>
          <w:p w:rsidR="00EF3F34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56E44" w:rsidRPr="001D4E92">
              <w:t>86</w:t>
            </w:r>
          </w:p>
        </w:tc>
        <w:tc>
          <w:tcPr>
            <w:tcW w:w="1148" w:type="pct"/>
            <w:noWrap/>
            <w:vAlign w:val="bottom"/>
          </w:tcPr>
          <w:p w:rsidR="00EF3F34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56E44" w:rsidRPr="001D4E92">
              <w:t>5,2</w:t>
            </w:r>
          </w:p>
        </w:tc>
        <w:tc>
          <w:tcPr>
            <w:tcW w:w="463" w:type="pct"/>
            <w:noWrap/>
            <w:vAlign w:val="bottom"/>
          </w:tcPr>
          <w:p w:rsidR="00EF3F34" w:rsidRPr="001D4E92" w:rsidRDefault="00EF3F34" w:rsidP="00D37288">
            <w:pPr>
              <w:pStyle w:val="af9"/>
            </w:pPr>
            <w:r w:rsidRPr="001D4E92">
              <w:t>1989</w:t>
            </w:r>
          </w:p>
        </w:tc>
        <w:tc>
          <w:tcPr>
            <w:tcW w:w="803" w:type="pct"/>
            <w:noWrap/>
            <w:vAlign w:val="bottom"/>
          </w:tcPr>
          <w:p w:rsidR="00EF3F34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56E44" w:rsidRPr="001D4E92">
              <w:t>123</w:t>
            </w:r>
          </w:p>
        </w:tc>
        <w:tc>
          <w:tcPr>
            <w:tcW w:w="984" w:type="pct"/>
            <w:noWrap/>
            <w:vAlign w:val="bottom"/>
          </w:tcPr>
          <w:p w:rsidR="00EF3F34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56E44" w:rsidRPr="001D4E92">
              <w:t>7,4</w:t>
            </w:r>
          </w:p>
        </w:tc>
      </w:tr>
    </w:tbl>
    <w:p w:rsidR="001D4E92" w:rsidRPr="001D4E92" w:rsidRDefault="001D4E92" w:rsidP="00FB2FB7"/>
    <w:p w:rsidR="00654516" w:rsidRPr="001D4E92" w:rsidRDefault="00654516" w:rsidP="00FB2FB7">
      <w:r w:rsidRPr="001D4E92">
        <w:t>Таблица</w:t>
      </w:r>
      <w:r w:rsidR="003663AA" w:rsidRPr="001D4E92">
        <w:t xml:space="preserve"> 2</w:t>
      </w:r>
    </w:p>
    <w:tbl>
      <w:tblPr>
        <w:tblW w:w="8820" w:type="dxa"/>
        <w:tblInd w:w="388" w:type="dxa"/>
        <w:tblLook w:val="0000" w:firstRow="0" w:lastRow="0" w:firstColumn="0" w:lastColumn="0" w:noHBand="0" w:noVBand="0"/>
      </w:tblPr>
      <w:tblGrid>
        <w:gridCol w:w="1357"/>
        <w:gridCol w:w="2114"/>
        <w:gridCol w:w="1799"/>
        <w:gridCol w:w="1730"/>
        <w:gridCol w:w="1820"/>
      </w:tblGrid>
      <w:tr w:rsidR="001F3A55" w:rsidRPr="001D4E92" w:rsidTr="00FB2FB7">
        <w:trPr>
          <w:trHeight w:val="392"/>
        </w:trPr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F3A55" w:rsidP="00D37288">
            <w:pPr>
              <w:pStyle w:val="af9"/>
            </w:pPr>
            <w:r w:rsidRPr="001D4E92">
              <w:t>ГОДЫ</w:t>
            </w:r>
          </w:p>
        </w:tc>
        <w:tc>
          <w:tcPr>
            <w:tcW w:w="39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1F3A55" w:rsidRPr="001D4E92" w:rsidRDefault="001F3A55" w:rsidP="00D37288">
            <w:pPr>
              <w:pStyle w:val="af9"/>
            </w:pPr>
            <w:r w:rsidRPr="001D4E92">
              <w:t>Гомельская область</w:t>
            </w:r>
          </w:p>
        </w:tc>
        <w:tc>
          <w:tcPr>
            <w:tcW w:w="35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1F3A55" w:rsidRPr="001D4E92" w:rsidRDefault="00234AA4" w:rsidP="00D37288">
            <w:pPr>
              <w:pStyle w:val="af9"/>
            </w:pPr>
            <w:r w:rsidRPr="001D4E92">
              <w:t>Республика</w:t>
            </w:r>
            <w:r w:rsidR="001D4E92" w:rsidRPr="001D4E92">
              <w:t xml:space="preserve"> </w:t>
            </w:r>
            <w:r w:rsidR="001F3A55" w:rsidRPr="001D4E92">
              <w:t>Беларусь</w:t>
            </w:r>
          </w:p>
        </w:tc>
      </w:tr>
      <w:tr w:rsidR="001F3A55" w:rsidRPr="001D4E92" w:rsidTr="00FB2FB7">
        <w:trPr>
          <w:trHeight w:val="392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F3A55" w:rsidRPr="001D4E92" w:rsidRDefault="001F3A55" w:rsidP="00D37288">
            <w:pPr>
              <w:pStyle w:val="af9"/>
            </w:pPr>
            <w:r w:rsidRPr="001D4E92">
              <w:t> 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F3A55" w:rsidRPr="001D4E92" w:rsidRDefault="001F3A55" w:rsidP="00D37288">
            <w:pPr>
              <w:pStyle w:val="af9"/>
            </w:pPr>
            <w:r w:rsidRPr="001D4E92">
              <w:t>Абс</w:t>
            </w:r>
            <w:r w:rsidR="00234AA4" w:rsidRPr="001D4E92">
              <w:t>олютное число операций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F3A55" w:rsidRPr="001D4E92" w:rsidRDefault="001F3A55" w:rsidP="00D37288">
            <w:pPr>
              <w:pStyle w:val="af9"/>
            </w:pPr>
            <w:r w:rsidRPr="001D4E92">
              <w:t>Част</w:t>
            </w:r>
            <w:r w:rsidR="00234AA4" w:rsidRPr="001D4E92">
              <w:t>ота опер</w:t>
            </w:r>
            <w:r w:rsidR="001D4E92" w:rsidRPr="001D4E92">
              <w:t xml:space="preserve">. </w:t>
            </w:r>
            <w:r w:rsidR="00234AA4" w:rsidRPr="001D4E92">
              <w:t>на 100 тыс</w:t>
            </w:r>
            <w:r w:rsidR="001D4E92" w:rsidRPr="001D4E92">
              <w:t xml:space="preserve">. </w:t>
            </w:r>
            <w:r w:rsidR="00234AA4" w:rsidRPr="001D4E92">
              <w:t>населения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F3A55" w:rsidRPr="001D4E92" w:rsidRDefault="001F3A55" w:rsidP="00D37288">
            <w:pPr>
              <w:pStyle w:val="af9"/>
            </w:pPr>
            <w:r w:rsidRPr="001D4E92">
              <w:t>Абс</w:t>
            </w:r>
            <w:r w:rsidR="00234AA4" w:rsidRPr="001D4E92">
              <w:t>олютное число операций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F3A55" w:rsidRPr="001D4E92" w:rsidRDefault="00234AA4" w:rsidP="00D37288">
            <w:pPr>
              <w:pStyle w:val="af9"/>
            </w:pPr>
            <w:r w:rsidRPr="001D4E92">
              <w:t>Частота опер</w:t>
            </w:r>
            <w:r w:rsidR="001D4E92" w:rsidRPr="001D4E92">
              <w:t xml:space="preserve">. </w:t>
            </w:r>
            <w:r w:rsidRPr="001D4E92">
              <w:t>на 100 тыс</w:t>
            </w:r>
            <w:r w:rsidR="001D4E92" w:rsidRPr="001D4E92">
              <w:t xml:space="preserve">. </w:t>
            </w:r>
            <w:r w:rsidRPr="001D4E92">
              <w:t>населения</w:t>
            </w:r>
          </w:p>
        </w:tc>
      </w:tr>
      <w:tr w:rsidR="001F3A55" w:rsidRPr="001D4E92" w:rsidTr="00FB2FB7">
        <w:trPr>
          <w:trHeight w:val="370"/>
        </w:trPr>
        <w:tc>
          <w:tcPr>
            <w:tcW w:w="1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F3A55" w:rsidP="00D37288">
            <w:pPr>
              <w:pStyle w:val="af9"/>
            </w:pPr>
            <w:r w:rsidRPr="001D4E92">
              <w:t>1990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139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34AA4" w:rsidRPr="001D4E92">
              <w:t>8,5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690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34AA4" w:rsidRPr="001D4E92">
              <w:t>6,8</w:t>
            </w:r>
          </w:p>
        </w:tc>
      </w:tr>
      <w:tr w:rsidR="001F3A55" w:rsidRPr="001D4E92" w:rsidTr="00FB2FB7">
        <w:trPr>
          <w:trHeight w:val="370"/>
        </w:trPr>
        <w:tc>
          <w:tcPr>
            <w:tcW w:w="1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F3A55" w:rsidP="00D37288">
            <w:pPr>
              <w:pStyle w:val="af9"/>
            </w:pPr>
            <w:r w:rsidRPr="001D4E92">
              <w:t>1991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109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34AA4" w:rsidRPr="001D4E92">
              <w:t>6,8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768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34AA4" w:rsidRPr="001D4E92">
              <w:t>7,5</w:t>
            </w:r>
          </w:p>
        </w:tc>
      </w:tr>
      <w:tr w:rsidR="001F3A55" w:rsidRPr="001D4E92" w:rsidTr="00FB2FB7">
        <w:trPr>
          <w:trHeight w:val="370"/>
        </w:trPr>
        <w:tc>
          <w:tcPr>
            <w:tcW w:w="1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F3A55" w:rsidP="00D37288">
            <w:pPr>
              <w:pStyle w:val="af9"/>
            </w:pPr>
            <w:r w:rsidRPr="001D4E92">
              <w:t>1992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124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34AA4" w:rsidRPr="001D4E92">
              <w:t>7,8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882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34AA4" w:rsidRPr="001D4E92">
              <w:t>8,6</w:t>
            </w:r>
          </w:p>
        </w:tc>
      </w:tr>
      <w:tr w:rsidR="001F3A55" w:rsidRPr="001D4E92" w:rsidTr="00FB2FB7">
        <w:trPr>
          <w:trHeight w:val="370"/>
        </w:trPr>
        <w:tc>
          <w:tcPr>
            <w:tcW w:w="1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F3A55" w:rsidP="00D37288">
            <w:pPr>
              <w:pStyle w:val="af9"/>
            </w:pPr>
            <w:r w:rsidRPr="001D4E92">
              <w:t>1993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135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34AA4" w:rsidRPr="001D4E92">
              <w:t>8,5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980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34AA4" w:rsidRPr="001D4E92">
              <w:t>9,6</w:t>
            </w:r>
          </w:p>
        </w:tc>
      </w:tr>
      <w:tr w:rsidR="001F3A55" w:rsidRPr="001D4E92" w:rsidTr="00FB2FB7">
        <w:trPr>
          <w:trHeight w:val="370"/>
        </w:trPr>
        <w:tc>
          <w:tcPr>
            <w:tcW w:w="1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F3A55" w:rsidP="00D37288">
            <w:pPr>
              <w:pStyle w:val="af9"/>
            </w:pPr>
            <w:r w:rsidRPr="001D4E92">
              <w:t>1994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169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34AA4" w:rsidRPr="001D4E92">
              <w:t>10,7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1054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34AA4" w:rsidRPr="001D4E92">
              <w:t>10,3</w:t>
            </w:r>
          </w:p>
        </w:tc>
      </w:tr>
      <w:tr w:rsidR="001F3A55" w:rsidRPr="001D4E92" w:rsidTr="00FB2FB7">
        <w:trPr>
          <w:trHeight w:val="370"/>
        </w:trPr>
        <w:tc>
          <w:tcPr>
            <w:tcW w:w="1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F3A55" w:rsidP="00D37288">
            <w:pPr>
              <w:pStyle w:val="af9"/>
            </w:pPr>
            <w:r w:rsidRPr="001D4E92">
              <w:t>1995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149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34AA4" w:rsidRPr="001D4E92">
              <w:t>9,5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972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34AA4" w:rsidRPr="001D4E92">
              <w:t>9,5</w:t>
            </w:r>
          </w:p>
        </w:tc>
      </w:tr>
      <w:tr w:rsidR="001F3A55" w:rsidRPr="001D4E92" w:rsidTr="00FB2FB7">
        <w:trPr>
          <w:trHeight w:val="370"/>
        </w:trPr>
        <w:tc>
          <w:tcPr>
            <w:tcW w:w="1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F3A55" w:rsidP="00D37288">
            <w:pPr>
              <w:pStyle w:val="af9"/>
            </w:pPr>
            <w:r w:rsidRPr="001D4E92">
              <w:t>1996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179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34AA4" w:rsidRPr="001D4E92">
              <w:t>11,5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1184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34AA4" w:rsidRPr="001D4E92">
              <w:t>11,7</w:t>
            </w:r>
          </w:p>
        </w:tc>
      </w:tr>
      <w:tr w:rsidR="001F3A55" w:rsidRPr="001D4E92" w:rsidTr="00FB2FB7">
        <w:trPr>
          <w:trHeight w:val="370"/>
        </w:trPr>
        <w:tc>
          <w:tcPr>
            <w:tcW w:w="1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F3A55" w:rsidP="00D37288">
            <w:pPr>
              <w:pStyle w:val="af9"/>
            </w:pPr>
            <w:r w:rsidRPr="001D4E92">
              <w:t>1997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183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34AA4" w:rsidRPr="001D4E92">
              <w:t>11,8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1252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34AA4" w:rsidRPr="001D4E92">
              <w:t>12,4</w:t>
            </w:r>
          </w:p>
        </w:tc>
      </w:tr>
      <w:tr w:rsidR="001F3A55" w:rsidRPr="001D4E92" w:rsidTr="00FB2FB7">
        <w:trPr>
          <w:trHeight w:val="370"/>
        </w:trPr>
        <w:tc>
          <w:tcPr>
            <w:tcW w:w="1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F3A55" w:rsidP="00D37288">
            <w:pPr>
              <w:pStyle w:val="af9"/>
            </w:pPr>
            <w:r w:rsidRPr="001D4E92">
              <w:t>1998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214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34AA4" w:rsidRPr="001D4E92">
              <w:t>13,8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1322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34AA4" w:rsidRPr="001D4E92">
              <w:t>13,1</w:t>
            </w:r>
          </w:p>
        </w:tc>
      </w:tr>
      <w:tr w:rsidR="001F3A55" w:rsidRPr="001D4E92" w:rsidTr="00FB2FB7">
        <w:trPr>
          <w:trHeight w:val="370"/>
        </w:trPr>
        <w:tc>
          <w:tcPr>
            <w:tcW w:w="1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F3A55" w:rsidP="00D37288">
            <w:pPr>
              <w:pStyle w:val="af9"/>
            </w:pPr>
            <w:r w:rsidRPr="001D4E92">
              <w:t>1999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226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34AA4" w:rsidRPr="001D4E92">
              <w:t>14,6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1258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34AA4" w:rsidRPr="001D4E92">
              <w:t>12,5</w:t>
            </w:r>
          </w:p>
        </w:tc>
      </w:tr>
      <w:tr w:rsidR="001F3A55" w:rsidRPr="001D4E92" w:rsidTr="00FB2FB7">
        <w:trPr>
          <w:trHeight w:val="370"/>
        </w:trPr>
        <w:tc>
          <w:tcPr>
            <w:tcW w:w="1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F3A55" w:rsidP="00D37288">
            <w:pPr>
              <w:pStyle w:val="af9"/>
            </w:pPr>
            <w:r w:rsidRPr="001D4E92">
              <w:t>2000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230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15,0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1262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12,6</w:t>
            </w:r>
          </w:p>
        </w:tc>
      </w:tr>
      <w:tr w:rsidR="001F3A55" w:rsidRPr="001D4E92" w:rsidTr="00FB2FB7">
        <w:trPr>
          <w:trHeight w:val="370"/>
        </w:trPr>
        <w:tc>
          <w:tcPr>
            <w:tcW w:w="1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F3A55" w:rsidP="00D37288">
            <w:pPr>
              <w:pStyle w:val="af9"/>
            </w:pPr>
            <w:r w:rsidRPr="001D4E92">
              <w:t>2001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230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15,0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1186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11,7</w:t>
            </w:r>
          </w:p>
        </w:tc>
      </w:tr>
      <w:tr w:rsidR="001F3A55" w:rsidRPr="001D4E92" w:rsidTr="00FB2FB7">
        <w:trPr>
          <w:trHeight w:val="370"/>
        </w:trPr>
        <w:tc>
          <w:tcPr>
            <w:tcW w:w="1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F3A55" w:rsidP="00D37288">
            <w:pPr>
              <w:pStyle w:val="af9"/>
            </w:pPr>
            <w:r w:rsidRPr="001D4E92">
              <w:t>2002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176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11,6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1114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11,2</w:t>
            </w:r>
          </w:p>
        </w:tc>
      </w:tr>
      <w:tr w:rsidR="001F3A55" w:rsidRPr="001D4E92" w:rsidTr="00FB2FB7">
        <w:trPr>
          <w:trHeight w:val="370"/>
        </w:trPr>
        <w:tc>
          <w:tcPr>
            <w:tcW w:w="1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F3A55" w:rsidP="00D37288">
            <w:pPr>
              <w:pStyle w:val="af9"/>
            </w:pPr>
            <w:r w:rsidRPr="001D4E92">
              <w:t>2003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188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34AA4" w:rsidRPr="001D4E92">
              <w:t>12,4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1188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12,0</w:t>
            </w:r>
          </w:p>
        </w:tc>
      </w:tr>
      <w:tr w:rsidR="001F3A55" w:rsidRPr="001D4E92" w:rsidTr="00FB2FB7">
        <w:trPr>
          <w:trHeight w:val="370"/>
        </w:trPr>
        <w:tc>
          <w:tcPr>
            <w:tcW w:w="1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F3A55" w:rsidP="00D37288">
            <w:pPr>
              <w:pStyle w:val="af9"/>
            </w:pPr>
            <w:r w:rsidRPr="001D4E92">
              <w:t>2004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174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34AA4" w:rsidRPr="001D4E92">
              <w:t>11,6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1084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11,0</w:t>
            </w:r>
          </w:p>
        </w:tc>
      </w:tr>
      <w:tr w:rsidR="001F3A55" w:rsidRPr="001D4E92" w:rsidTr="00FB2FB7">
        <w:trPr>
          <w:trHeight w:val="392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F3A55" w:rsidRPr="001D4E92" w:rsidRDefault="001F3A55" w:rsidP="00D37288">
            <w:pPr>
              <w:pStyle w:val="af9"/>
            </w:pPr>
            <w:r w:rsidRPr="001D4E92">
              <w:t>2005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182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234AA4" w:rsidRPr="001D4E92">
              <w:t>12,2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B8176F" w:rsidRPr="001D4E92">
              <w:t>1368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F3A55" w:rsidRPr="001D4E92" w:rsidRDefault="001D4E92" w:rsidP="00D37288">
            <w:pPr>
              <w:pStyle w:val="af9"/>
            </w:pPr>
            <w:r w:rsidRPr="001D4E92">
              <w:t xml:space="preserve"> </w:t>
            </w:r>
            <w:r w:rsidR="00460FBD" w:rsidRPr="001D4E92">
              <w:t>14,0</w:t>
            </w:r>
          </w:p>
        </w:tc>
      </w:tr>
    </w:tbl>
    <w:p w:rsidR="00654516" w:rsidRPr="001D4E92" w:rsidRDefault="00654516" w:rsidP="001D4E9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1D4E92" w:rsidRPr="001D4E92" w:rsidRDefault="002565FD" w:rsidP="00D37288">
      <w:pPr>
        <w:pStyle w:val="af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218.25pt">
            <v:imagedata r:id="rId7" o:title=""/>
          </v:shape>
        </w:pict>
      </w:r>
    </w:p>
    <w:p w:rsidR="00D37288" w:rsidRDefault="001D4E92" w:rsidP="001D4E92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="00235F44" w:rsidRPr="001D4E92">
        <w:t xml:space="preserve"> Динамика частоты неотложных операций на 100 тыс</w:t>
      </w:r>
      <w:r w:rsidRPr="001D4E92">
        <w:t xml:space="preserve">. </w:t>
      </w:r>
      <w:r w:rsidR="00235F44" w:rsidRPr="001D4E92">
        <w:t>населения в год при язвенных кровотечениях в Гомельской области за 1980-2004 гг</w:t>
      </w:r>
      <w:r w:rsidRPr="001D4E92">
        <w:t>.</w:t>
      </w:r>
    </w:p>
    <w:p w:rsidR="00D37288" w:rsidRDefault="00FB2FB7" w:rsidP="00FB2FB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2565FD">
        <w:pict>
          <v:shape id="_x0000_i1026" type="#_x0000_t75" style="width:308.25pt;height:188.25pt">
            <v:imagedata r:id="rId8" o:title=""/>
          </v:shape>
        </w:pict>
      </w:r>
    </w:p>
    <w:p w:rsidR="001D4E92" w:rsidRDefault="001D4E92" w:rsidP="00D37288">
      <w:r>
        <w:t>Рис.2</w:t>
      </w:r>
      <w:r w:rsidR="00235F44" w:rsidRPr="001D4E92">
        <w:t xml:space="preserve"> Динамика частоты неотложных операций на 100 тыс</w:t>
      </w:r>
      <w:r w:rsidRPr="001D4E92">
        <w:t xml:space="preserve">. </w:t>
      </w:r>
      <w:r w:rsidR="00235F44" w:rsidRPr="001D4E92">
        <w:t>населения в год при язвенных кровотечениях в Беларуси за 1990-2004 гг</w:t>
      </w:r>
      <w:r w:rsidRPr="001D4E92">
        <w:t xml:space="preserve">. </w:t>
      </w:r>
    </w:p>
    <w:p w:rsidR="00D37288" w:rsidRPr="001D4E92" w:rsidRDefault="00D37288" w:rsidP="00D37288"/>
    <w:p w:rsidR="001D4E92" w:rsidRPr="001D4E92" w:rsidRDefault="002565FD" w:rsidP="00D37288">
      <w:pPr>
        <w:pStyle w:val="af9"/>
      </w:pPr>
      <w:r>
        <w:pict>
          <v:shape id="_x0000_i1027" type="#_x0000_t75" style="width:334.5pt;height:239.25pt">
            <v:imagedata r:id="rId9" o:title=""/>
          </v:shape>
        </w:pict>
      </w:r>
    </w:p>
    <w:p w:rsidR="00D37288" w:rsidRDefault="001D4E92" w:rsidP="001D4E92">
      <w:pPr>
        <w:widowControl w:val="0"/>
        <w:autoSpaceDE w:val="0"/>
        <w:autoSpaceDN w:val="0"/>
        <w:adjustRightInd w:val="0"/>
        <w:ind w:firstLine="709"/>
      </w:pPr>
      <w:r>
        <w:t>Рис.3</w:t>
      </w:r>
      <w:r w:rsidR="00235F44" w:rsidRPr="001D4E92">
        <w:t xml:space="preserve"> Динамика частоты госпитализаций и</w:t>
      </w:r>
      <w:r w:rsidRPr="001D4E92">
        <w:t xml:space="preserve"> </w:t>
      </w:r>
      <w:r w:rsidR="00235F44" w:rsidRPr="001D4E92">
        <w:t>операций у больных с язвенными кровотечениями</w:t>
      </w:r>
      <w:r w:rsidR="0041434A" w:rsidRPr="001D4E92">
        <w:t xml:space="preserve"> на 100 тыс</w:t>
      </w:r>
      <w:r w:rsidRPr="001D4E92">
        <w:t xml:space="preserve">. </w:t>
      </w:r>
      <w:r w:rsidR="0041434A" w:rsidRPr="001D4E92">
        <w:t xml:space="preserve">населения </w:t>
      </w:r>
      <w:r w:rsidR="00235F44" w:rsidRPr="001D4E92">
        <w:t>Беларуси</w:t>
      </w:r>
      <w:r w:rsidR="0041434A" w:rsidRPr="001D4E92">
        <w:t xml:space="preserve"> за 1990-2004 гг</w:t>
      </w:r>
      <w:r w:rsidRPr="001D4E92">
        <w:t xml:space="preserve">. </w:t>
      </w:r>
    </w:p>
    <w:p w:rsidR="00654516" w:rsidRPr="001D4E92" w:rsidRDefault="00FB2FB7" w:rsidP="00FB2FB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2565FD">
        <w:pict>
          <v:shape id="_x0000_i1028" type="#_x0000_t75" style="width:336pt;height:209.25pt">
            <v:imagedata r:id="rId10" o:title=""/>
          </v:shape>
        </w:pict>
      </w:r>
    </w:p>
    <w:p w:rsidR="00654516" w:rsidRDefault="001D4E92" w:rsidP="001D4E92">
      <w:pPr>
        <w:widowControl w:val="0"/>
        <w:autoSpaceDE w:val="0"/>
        <w:autoSpaceDN w:val="0"/>
        <w:adjustRightInd w:val="0"/>
        <w:ind w:firstLine="709"/>
      </w:pPr>
      <w:r>
        <w:t>Рис.4</w:t>
      </w:r>
      <w:r w:rsidR="0041434A" w:rsidRPr="001D4E92">
        <w:t xml:space="preserve"> Суммарная частота и структура операций при язвенной болезни на 100 тыс</w:t>
      </w:r>
      <w:r w:rsidRPr="001D4E92">
        <w:t xml:space="preserve">. </w:t>
      </w:r>
      <w:r w:rsidR="0041434A" w:rsidRPr="001D4E92">
        <w:t>населения Беларуси за 1990-2004 гг</w:t>
      </w:r>
      <w:r w:rsidRPr="001D4E92">
        <w:t xml:space="preserve">. </w:t>
      </w:r>
    </w:p>
    <w:p w:rsidR="00D37288" w:rsidRPr="001D4E92" w:rsidRDefault="00D37288" w:rsidP="001D4E92">
      <w:pPr>
        <w:widowControl w:val="0"/>
        <w:autoSpaceDE w:val="0"/>
        <w:autoSpaceDN w:val="0"/>
        <w:adjustRightInd w:val="0"/>
        <w:ind w:firstLine="709"/>
      </w:pPr>
    </w:p>
    <w:p w:rsidR="00127760" w:rsidRPr="001D4E92" w:rsidRDefault="00885783" w:rsidP="001D4E92">
      <w:pPr>
        <w:widowControl w:val="0"/>
        <w:autoSpaceDE w:val="0"/>
        <w:autoSpaceDN w:val="0"/>
        <w:adjustRightInd w:val="0"/>
        <w:ind w:firstLine="709"/>
      </w:pPr>
      <w:r w:rsidRPr="001D4E92">
        <w:t>До 1990 г сведения о количестве операций при кровоточащих язвах</w:t>
      </w:r>
      <w:r w:rsidR="001D4E92" w:rsidRPr="001D4E92">
        <w:t xml:space="preserve"> </w:t>
      </w:r>
      <w:r w:rsidRPr="001D4E92">
        <w:t>не входили в отчетные показатели Минздрава БССР</w:t>
      </w:r>
      <w:r w:rsidR="001D4E92" w:rsidRPr="001D4E92">
        <w:t xml:space="preserve">. </w:t>
      </w:r>
      <w:r w:rsidR="005B02F5" w:rsidRPr="001D4E92">
        <w:t>Гомельская область</w:t>
      </w:r>
      <w:r w:rsidR="001D4E92" w:rsidRPr="001D4E92">
        <w:t xml:space="preserve"> - </w:t>
      </w:r>
      <w:r w:rsidR="005B02F5" w:rsidRPr="001D4E92">
        <w:t>единственный регион в РБ, по которому мы располагаем данными о хирургии язвенных кровотечений с 1980 г</w:t>
      </w:r>
      <w:r w:rsidR="001D4E92" w:rsidRPr="001D4E92">
        <w:t xml:space="preserve">. </w:t>
      </w:r>
      <w:r w:rsidR="005B02F5" w:rsidRPr="001D4E92">
        <w:t xml:space="preserve">Интерес </w:t>
      </w:r>
      <w:r w:rsidR="00127760" w:rsidRPr="001D4E92">
        <w:t xml:space="preserve">этой </w:t>
      </w:r>
      <w:r w:rsidR="005B02F5" w:rsidRPr="001D4E92">
        <w:t xml:space="preserve">информации </w:t>
      </w:r>
      <w:r w:rsidR="00127760" w:rsidRPr="001D4E92">
        <w:t>в том</w:t>
      </w:r>
      <w:r w:rsidR="005B02F5" w:rsidRPr="001D4E92">
        <w:t>, что на 80-е годы пришлась авария на Чернобыльской АЭС, и Гомельская область подверглась максимальному радиационному воздействию</w:t>
      </w:r>
      <w:r w:rsidR="001D4E92" w:rsidRPr="001D4E92">
        <w:t xml:space="preserve">. </w:t>
      </w:r>
    </w:p>
    <w:p w:rsidR="005B02F5" w:rsidRPr="001D4E92" w:rsidRDefault="005B02F5" w:rsidP="001D4E92">
      <w:pPr>
        <w:widowControl w:val="0"/>
        <w:autoSpaceDE w:val="0"/>
        <w:autoSpaceDN w:val="0"/>
        <w:adjustRightInd w:val="0"/>
        <w:ind w:firstLine="709"/>
      </w:pPr>
      <w:r w:rsidRPr="001D4E92">
        <w:t>В 80-е годы в области выполнялось от 86 операций (в 1984 г</w:t>
      </w:r>
      <w:r w:rsidR="001D4E92" w:rsidRPr="001D4E92">
        <w:t xml:space="preserve">) </w:t>
      </w:r>
      <w:r w:rsidRPr="001D4E92">
        <w:t>до 139 (в 1990 г</w:t>
      </w:r>
      <w:r w:rsidR="001D4E92" w:rsidRPr="001D4E92">
        <w:t>),</w:t>
      </w:r>
      <w:r w:rsidRPr="001D4E92">
        <w:t xml:space="preserve"> в среднем за декаду</w:t>
      </w:r>
      <w:r w:rsidR="001D4E92" w:rsidRPr="001D4E92">
        <w:t xml:space="preserve"> - </w:t>
      </w:r>
      <w:r w:rsidRPr="001D4E92">
        <w:t>109,9+6,4 вмешательств в год</w:t>
      </w:r>
      <w:r w:rsidR="001D4E92" w:rsidRPr="001D4E92">
        <w:t xml:space="preserve">. </w:t>
      </w:r>
      <w:r w:rsidRPr="001D4E92">
        <w:t>Следует подчеркнуть, что до 1986 г</w:t>
      </w:r>
      <w:r w:rsidR="001D4E92" w:rsidRPr="001D4E92">
        <w:t xml:space="preserve">. </w:t>
      </w:r>
      <w:r w:rsidRPr="001D4E92">
        <w:t>число операций при язвенных кровотечениях</w:t>
      </w:r>
      <w:r w:rsidR="001D4E92" w:rsidRPr="001D4E92">
        <w:t xml:space="preserve"> </w:t>
      </w:r>
      <w:r w:rsidRPr="001D4E92">
        <w:t>никогда не превышало 100, а в 1986 и 1987 г</w:t>
      </w:r>
      <w:r w:rsidR="001D4E92" w:rsidRPr="001D4E92">
        <w:t xml:space="preserve">. </w:t>
      </w:r>
      <w:r w:rsidRPr="001D4E92">
        <w:t>их было выполнено соответственно 131 и 134</w:t>
      </w:r>
      <w:r w:rsidR="001D4E92" w:rsidRPr="001D4E92">
        <w:t xml:space="preserve">. </w:t>
      </w:r>
      <w:r w:rsidRPr="001D4E92">
        <w:t>В последующие годы было отмечено некоторое снижение числа операций</w:t>
      </w:r>
      <w:r w:rsidR="001D4E92" w:rsidRPr="001D4E92">
        <w:t xml:space="preserve">. </w:t>
      </w:r>
      <w:r w:rsidRPr="001D4E92">
        <w:t>Частота неотложных вмешательств при язвенных кровотечениях за 80-е годы варьировала с 5,4 (1981 г</w:t>
      </w:r>
      <w:r w:rsidR="001D4E92" w:rsidRPr="001D4E92">
        <w:t xml:space="preserve">) </w:t>
      </w:r>
      <w:r w:rsidRPr="001D4E92">
        <w:t>до 8,5 (1990 г</w:t>
      </w:r>
      <w:r w:rsidR="001D4E92" w:rsidRPr="001D4E92">
        <w:t>),</w:t>
      </w:r>
      <w:r w:rsidRPr="001D4E92">
        <w:t xml:space="preserve"> составив в среднем 6,6+0,4 на 100 тыс</w:t>
      </w:r>
      <w:r w:rsidR="001D4E92" w:rsidRPr="001D4E92">
        <w:t xml:space="preserve">. </w:t>
      </w:r>
      <w:r w:rsidRPr="001D4E92">
        <w:t>населения</w:t>
      </w:r>
      <w:r w:rsidR="001D4E92" w:rsidRPr="001D4E92">
        <w:t xml:space="preserve">. </w:t>
      </w:r>
      <w:r w:rsidRPr="001D4E92">
        <w:t>Таким образом, областной показатель был существенно меньше 10 операций на 100 тыс</w:t>
      </w:r>
      <w:r w:rsidR="001D4E92" w:rsidRPr="001D4E92">
        <w:t xml:space="preserve">. </w:t>
      </w:r>
      <w:r w:rsidRPr="001D4E92">
        <w:t>населения в год</w:t>
      </w:r>
      <w:r w:rsidR="001D4E92" w:rsidRPr="001D4E92">
        <w:t xml:space="preserve">. </w:t>
      </w:r>
    </w:p>
    <w:p w:rsidR="005B02F5" w:rsidRPr="001D4E92" w:rsidRDefault="005B02F5" w:rsidP="001D4E92">
      <w:pPr>
        <w:widowControl w:val="0"/>
        <w:autoSpaceDE w:val="0"/>
        <w:autoSpaceDN w:val="0"/>
        <w:adjustRightInd w:val="0"/>
        <w:ind w:firstLine="709"/>
      </w:pPr>
      <w:r w:rsidRPr="001D4E92">
        <w:t>90-е годы начались с величины в 109 операций с дальнейшим равномерным ростом до 230 в 2000 г</w:t>
      </w:r>
      <w:r w:rsidR="001D4E92" w:rsidRPr="001D4E92">
        <w:t xml:space="preserve">. </w:t>
      </w:r>
      <w:r w:rsidRPr="001D4E92">
        <w:t>В среднем за 90-е годы выполнялось 171,8+13,5 операций в год</w:t>
      </w:r>
      <w:r w:rsidR="001D4E92" w:rsidRPr="001D4E92">
        <w:t xml:space="preserve">. </w:t>
      </w:r>
      <w:r w:rsidRPr="001D4E92">
        <w:t>Ежегодная частота операций возрастала с 6,8 (1991 г</w:t>
      </w:r>
      <w:r w:rsidR="001D4E92" w:rsidRPr="001D4E92">
        <w:t xml:space="preserve">) </w:t>
      </w:r>
      <w:r w:rsidRPr="001D4E92">
        <w:t>до 15,0 (2000 г</w:t>
      </w:r>
      <w:r w:rsidR="001D4E92" w:rsidRPr="001D4E92">
        <w:t>),</w:t>
      </w:r>
      <w:r w:rsidRPr="001D4E92">
        <w:t xml:space="preserve"> то есть увеличилась в 2,2 раза, составив в среднем 11,0+0,9 на 100 тыс</w:t>
      </w:r>
      <w:r w:rsidR="001D4E92" w:rsidRPr="001D4E92">
        <w:t xml:space="preserve">. </w:t>
      </w:r>
      <w:r w:rsidRPr="001D4E92">
        <w:t>населения</w:t>
      </w:r>
      <w:r w:rsidR="001D4E92" w:rsidRPr="001D4E92">
        <w:t xml:space="preserve">. </w:t>
      </w:r>
      <w:r w:rsidRPr="001D4E92">
        <w:t>В начале наступившего десятилетия число операций при кровотечениях в области несколько снизилось</w:t>
      </w:r>
      <w:r w:rsidR="001D4E92" w:rsidRPr="001D4E92">
        <w:t xml:space="preserve">. </w:t>
      </w:r>
      <w:r w:rsidRPr="001D4E92">
        <w:t>Если в 2001 г</w:t>
      </w:r>
      <w:r w:rsidR="001D4E92" w:rsidRPr="001D4E92">
        <w:t xml:space="preserve">. </w:t>
      </w:r>
      <w:r w:rsidRPr="001D4E92">
        <w:t>(как и в 2000 г</w:t>
      </w:r>
      <w:r w:rsidR="001D4E92" w:rsidRPr="001D4E92">
        <w:t xml:space="preserve">) </w:t>
      </w:r>
      <w:r w:rsidRPr="001D4E92">
        <w:t>было выполнено 230 операций, то в 2002 г</w:t>
      </w:r>
      <w:r w:rsidR="001D4E92" w:rsidRPr="001D4E92">
        <w:t xml:space="preserve">. - </w:t>
      </w:r>
      <w:r w:rsidRPr="001D4E92">
        <w:t>176, в 2003 г</w:t>
      </w:r>
      <w:r w:rsidR="001D4E92" w:rsidRPr="001D4E92">
        <w:t xml:space="preserve">. - </w:t>
      </w:r>
      <w:r w:rsidRPr="001D4E92">
        <w:t>188 и в 2004 г</w:t>
      </w:r>
      <w:r w:rsidR="001D4E92" w:rsidRPr="001D4E92">
        <w:t xml:space="preserve">. - </w:t>
      </w:r>
      <w:r w:rsidRPr="001D4E92">
        <w:t>174 (в 2005 г</w:t>
      </w:r>
      <w:r w:rsidR="001D4E92" w:rsidRPr="001D4E92">
        <w:t xml:space="preserve">. - </w:t>
      </w:r>
      <w:r w:rsidRPr="001D4E92">
        <w:t>182</w:t>
      </w:r>
      <w:r w:rsidR="001D4E92" w:rsidRPr="001D4E92">
        <w:t xml:space="preserve">). </w:t>
      </w:r>
      <w:r w:rsidRPr="001D4E92">
        <w:t>За указанные годы произошло уменьшение частоты операций при кровотечениях с 15,0 до 11,6 на 100 тыс</w:t>
      </w:r>
      <w:r w:rsidR="001D4E92" w:rsidRPr="001D4E92">
        <w:t xml:space="preserve">. </w:t>
      </w:r>
      <w:r w:rsidRPr="001D4E92">
        <w:t>населения</w:t>
      </w:r>
      <w:r w:rsidR="001D4E92" w:rsidRPr="001D4E92">
        <w:t xml:space="preserve">. </w:t>
      </w:r>
      <w:r w:rsidRPr="001D4E92">
        <w:t>При анализе хирургической активности в период снижения частоты операций оказалось, что оба показателя (частота операций и хирургическая активность</w:t>
      </w:r>
      <w:r w:rsidR="001D4E92" w:rsidRPr="001D4E92">
        <w:t xml:space="preserve">) </w:t>
      </w:r>
      <w:r w:rsidRPr="001D4E92">
        <w:t>снизились параллельно</w:t>
      </w:r>
      <w:r w:rsidR="001D4E92" w:rsidRPr="001D4E92">
        <w:t xml:space="preserve">. </w:t>
      </w:r>
      <w:r w:rsidRPr="001D4E92">
        <w:t>Количество же больных, госпитализируемых с язвенными кровотечениями после 2001 г</w:t>
      </w:r>
      <w:r w:rsidR="001D4E92" w:rsidRPr="001D4E92">
        <w:t>.,</w:t>
      </w:r>
      <w:r w:rsidRPr="001D4E92">
        <w:t xml:space="preserve"> стабильно и приближается к 60 человек на 100 тыс</w:t>
      </w:r>
      <w:r w:rsidR="001D4E92" w:rsidRPr="001D4E92">
        <w:t xml:space="preserve">. </w:t>
      </w:r>
      <w:r w:rsidRPr="001D4E92">
        <w:t>населения в год</w:t>
      </w:r>
      <w:r w:rsidR="001D4E92" w:rsidRPr="001D4E92">
        <w:t xml:space="preserve">. </w:t>
      </w:r>
    </w:p>
    <w:p w:rsidR="005B02F5" w:rsidRPr="001D4E92" w:rsidRDefault="005B02F5" w:rsidP="001D4E92">
      <w:pPr>
        <w:widowControl w:val="0"/>
        <w:autoSpaceDE w:val="0"/>
        <w:autoSpaceDN w:val="0"/>
        <w:adjustRightInd w:val="0"/>
        <w:ind w:firstLine="709"/>
      </w:pPr>
      <w:r w:rsidRPr="001D4E92">
        <w:t xml:space="preserve">Наглядно динамика частоты неотложных операций при язвенных кровотечениях в области представлена на </w:t>
      </w:r>
      <w:r w:rsidR="001D4E92">
        <w:t>рис.1</w:t>
      </w:r>
      <w:r w:rsidR="001D4E92" w:rsidRPr="001D4E92">
        <w:t xml:space="preserve">. </w:t>
      </w:r>
      <w:r w:rsidRPr="001D4E92">
        <w:t>С 1980 по 2001 г</w:t>
      </w:r>
      <w:r w:rsidR="001D4E92" w:rsidRPr="001D4E92">
        <w:t xml:space="preserve">. </w:t>
      </w:r>
      <w:r w:rsidRPr="001D4E92">
        <w:t>отмечается относительно стабильный тренд к росту показателя с небольшим пологим пиком в 1986 и 1987 г</w:t>
      </w:r>
      <w:r w:rsidR="001D4E92" w:rsidRPr="001D4E92">
        <w:t xml:space="preserve">. </w:t>
      </w:r>
    </w:p>
    <w:p w:rsidR="005B02F5" w:rsidRPr="001D4E92" w:rsidRDefault="005B02F5" w:rsidP="001D4E92">
      <w:pPr>
        <w:widowControl w:val="0"/>
        <w:autoSpaceDE w:val="0"/>
        <w:autoSpaceDN w:val="0"/>
        <w:adjustRightInd w:val="0"/>
        <w:ind w:firstLine="709"/>
      </w:pPr>
      <w:r w:rsidRPr="001D4E92">
        <w:t>За 80-е годы операции при кровотечениях в среднем составляли</w:t>
      </w:r>
      <w:r w:rsidR="001D4E92" w:rsidRPr="001D4E92">
        <w:t xml:space="preserve"> </w:t>
      </w:r>
      <w:r w:rsidRPr="001D4E92">
        <w:t>14,4% от всех вмешательствах при</w:t>
      </w:r>
      <w:r w:rsidR="001D4E92" w:rsidRPr="001D4E92">
        <w:t xml:space="preserve"> </w:t>
      </w:r>
      <w:r w:rsidRPr="001D4E92">
        <w:t>ЯБ, за 90-е</w:t>
      </w:r>
      <w:r w:rsidR="001D4E92" w:rsidRPr="001D4E92">
        <w:t xml:space="preserve"> - </w:t>
      </w:r>
      <w:r w:rsidRPr="001D4E92">
        <w:t>19,4%, а за 2000-2004 гг</w:t>
      </w:r>
      <w:r w:rsidR="001D4E92" w:rsidRPr="001D4E92">
        <w:t xml:space="preserve">. - </w:t>
      </w:r>
      <w:r w:rsidRPr="001D4E92">
        <w:t>уже 23,2%</w:t>
      </w:r>
      <w:r w:rsidR="001D4E92" w:rsidRPr="001D4E92">
        <w:t xml:space="preserve">. </w:t>
      </w:r>
    </w:p>
    <w:p w:rsidR="005B02F5" w:rsidRPr="001D4E92" w:rsidRDefault="005B02F5" w:rsidP="001D4E92">
      <w:pPr>
        <w:widowControl w:val="0"/>
        <w:autoSpaceDE w:val="0"/>
        <w:autoSpaceDN w:val="0"/>
        <w:adjustRightInd w:val="0"/>
        <w:ind w:firstLine="709"/>
      </w:pPr>
      <w:r w:rsidRPr="001D4E92">
        <w:t>Хирургическая активность при кровотечениях за первую половину 90-х годов составила 27,5%, за вторую</w:t>
      </w:r>
      <w:r w:rsidR="001D4E92" w:rsidRPr="001D4E92">
        <w:t xml:space="preserve"> - </w:t>
      </w:r>
      <w:r w:rsidRPr="001D4E92">
        <w:t>26,5%, за 2000-2004 гг</w:t>
      </w:r>
      <w:r w:rsidR="001D4E92" w:rsidRPr="001D4E92">
        <w:t xml:space="preserve">. - </w:t>
      </w:r>
      <w:r w:rsidRPr="001D4E92">
        <w:t>снизилась до 22,0%</w:t>
      </w:r>
      <w:r w:rsidR="001D4E92" w:rsidRPr="001D4E92">
        <w:t xml:space="preserve">. </w:t>
      </w:r>
      <w:r w:rsidRPr="001D4E92">
        <w:t>Послеоперационная летальность при кровоточащих гастродуоденальных язвах за первую половину 90-х годов составила 9,1%, за вторую половину</w:t>
      </w:r>
      <w:r w:rsidR="001D4E92" w:rsidRPr="001D4E92">
        <w:t xml:space="preserve"> - </w:t>
      </w:r>
      <w:r w:rsidRPr="001D4E92">
        <w:t>5,5%, за последние 5 лет анализируемого периода</w:t>
      </w:r>
      <w:r w:rsidR="001D4E92" w:rsidRPr="001D4E92">
        <w:t xml:space="preserve"> - </w:t>
      </w:r>
      <w:r w:rsidRPr="001D4E92">
        <w:t>3,1%</w:t>
      </w:r>
      <w:r w:rsidR="001D4E92" w:rsidRPr="001D4E92">
        <w:t xml:space="preserve">. </w:t>
      </w:r>
    </w:p>
    <w:p w:rsidR="00654516" w:rsidRPr="001D4E92" w:rsidRDefault="005B02F5" w:rsidP="001D4E92">
      <w:pPr>
        <w:widowControl w:val="0"/>
        <w:autoSpaceDE w:val="0"/>
        <w:autoSpaceDN w:val="0"/>
        <w:adjustRightInd w:val="0"/>
        <w:ind w:firstLine="709"/>
      </w:pPr>
      <w:r w:rsidRPr="001D4E92">
        <w:t>Таким образом, в Гомельской области с 1980 до 2001 гг</w:t>
      </w:r>
      <w:r w:rsidR="001D4E92" w:rsidRPr="001D4E92">
        <w:t xml:space="preserve">. </w:t>
      </w:r>
      <w:r w:rsidRPr="001D4E92">
        <w:t>частота неотложных операций при кровоточащих гастродуоденальных язвах постепенно утроилась и достигла уровня в 15 вмешательств на 100 тыс</w:t>
      </w:r>
      <w:r w:rsidR="001D4E92" w:rsidRPr="001D4E92">
        <w:t xml:space="preserve">. </w:t>
      </w:r>
      <w:r w:rsidRPr="001D4E92">
        <w:t>населения с тенденцией к снижению в последующие годы</w:t>
      </w:r>
      <w:r w:rsidR="001D4E92" w:rsidRPr="001D4E92">
        <w:t xml:space="preserve">. </w:t>
      </w:r>
      <w:r w:rsidRPr="001D4E92">
        <w:t>После аварии на ЧАЭС отмечал</w:t>
      </w:r>
      <w:r w:rsidR="004653D8" w:rsidRPr="001D4E92">
        <w:t>ся</w:t>
      </w:r>
      <w:r w:rsidRPr="001D4E92">
        <w:t xml:space="preserve"> 2-хлетн</w:t>
      </w:r>
      <w:r w:rsidR="004653D8" w:rsidRPr="001D4E92">
        <w:t>ий</w:t>
      </w:r>
      <w:r w:rsidRPr="001D4E92">
        <w:t xml:space="preserve"> </w:t>
      </w:r>
      <w:r w:rsidR="004653D8" w:rsidRPr="001D4E92">
        <w:t>подъем</w:t>
      </w:r>
      <w:r w:rsidRPr="001D4E92">
        <w:t xml:space="preserve"> частоты операций </w:t>
      </w:r>
      <w:r w:rsidR="004653D8" w:rsidRPr="001D4E92">
        <w:t xml:space="preserve">примерно </w:t>
      </w:r>
      <w:r w:rsidRPr="001D4E92">
        <w:t>на треть</w:t>
      </w:r>
      <w:r w:rsidR="001D4E92" w:rsidRPr="001D4E92">
        <w:t xml:space="preserve">. </w:t>
      </w:r>
      <w:r w:rsidRPr="001D4E92">
        <w:t>Доля операций этого рода во всей противоязвенной хирургии выросла с 14,4% в 80-е годы до 23,2% в 2000-2004 гг</w:t>
      </w:r>
      <w:r w:rsidR="001D4E92" w:rsidRPr="001D4E92">
        <w:t xml:space="preserve">. </w:t>
      </w:r>
      <w:r w:rsidRPr="001D4E92">
        <w:t>Средняя хирургическая активность при кровоточащих язвах с 27,5% (в первую половину 90-х годов</w:t>
      </w:r>
      <w:r w:rsidR="001D4E92" w:rsidRPr="001D4E92">
        <w:t xml:space="preserve">) </w:t>
      </w:r>
      <w:r w:rsidRPr="001D4E92">
        <w:t>снизилась до 22,0% (за последние 5 лет анализируемого периода</w:t>
      </w:r>
      <w:r w:rsidR="001D4E92" w:rsidRPr="001D4E92">
        <w:t xml:space="preserve">). </w:t>
      </w:r>
      <w:r w:rsidRPr="001D4E92">
        <w:t>Ежегодное количество пролеченных больных с язвенными кровотечениями возрастало вплоть до 2001 г и стабилизировалось в последующем на уровне 55-60 человек на 100 тыс</w:t>
      </w:r>
      <w:r w:rsidR="001D4E92" w:rsidRPr="001D4E92">
        <w:t xml:space="preserve">. </w:t>
      </w:r>
      <w:r w:rsidRPr="001D4E92">
        <w:t>населения</w:t>
      </w:r>
      <w:r w:rsidR="001D4E92" w:rsidRPr="001D4E92">
        <w:t xml:space="preserve">. </w:t>
      </w:r>
    </w:p>
    <w:p w:rsidR="00121D6B" w:rsidRPr="001D4E92" w:rsidRDefault="00121D6B" w:rsidP="001D4E92">
      <w:pPr>
        <w:widowControl w:val="0"/>
        <w:autoSpaceDE w:val="0"/>
        <w:autoSpaceDN w:val="0"/>
        <w:adjustRightInd w:val="0"/>
        <w:ind w:firstLine="709"/>
      </w:pPr>
      <w:r w:rsidRPr="001D4E92">
        <w:t xml:space="preserve">В </w:t>
      </w:r>
      <w:r w:rsidR="004653D8" w:rsidRPr="001D4E92">
        <w:t xml:space="preserve">БССР в </w:t>
      </w:r>
      <w:r w:rsidRPr="001D4E92">
        <w:t>1990 г</w:t>
      </w:r>
      <w:r w:rsidR="001D4E92" w:rsidRPr="001D4E92">
        <w:t xml:space="preserve">. </w:t>
      </w:r>
      <w:r w:rsidR="004653D8" w:rsidRPr="001D4E92">
        <w:t>по</w:t>
      </w:r>
      <w:r w:rsidRPr="001D4E92">
        <w:t xml:space="preserve"> поводу язвенных кровотечений было оперировано 690 больных</w:t>
      </w:r>
      <w:r w:rsidR="001D4E92" w:rsidRPr="001D4E92">
        <w:t xml:space="preserve">. </w:t>
      </w:r>
      <w:r w:rsidRPr="001D4E92">
        <w:t>Наибольшее число операций за 15-тилетний анализируемый период пришлось на 1998 г</w:t>
      </w:r>
      <w:r w:rsidR="001D4E92" w:rsidRPr="001D4E92">
        <w:t xml:space="preserve">. - </w:t>
      </w:r>
      <w:r w:rsidRPr="001D4E92">
        <w:t>1322 вмешательства или в 1,9 раза больше</w:t>
      </w:r>
      <w:r w:rsidR="001D4E92" w:rsidRPr="001D4E92">
        <w:t xml:space="preserve">. </w:t>
      </w:r>
      <w:r w:rsidRPr="001D4E92">
        <w:t>За первую половину 90-х годов</w:t>
      </w:r>
      <w:r w:rsidR="001D4E92" w:rsidRPr="001D4E92">
        <w:t xml:space="preserve"> </w:t>
      </w:r>
      <w:r w:rsidRPr="001D4E92">
        <w:t>в среднем ежегодно подвергалось операции 874,8+63,7 больных, за вторую</w:t>
      </w:r>
      <w:r w:rsidR="001D4E92" w:rsidRPr="001D4E92">
        <w:t xml:space="preserve"> - </w:t>
      </w:r>
      <w:r w:rsidRPr="001D4E92">
        <w:t>1197,6+25,7, а за последующие 5 лет</w:t>
      </w:r>
      <w:r w:rsidR="001D4E92" w:rsidRPr="001D4E92">
        <w:t xml:space="preserve"> - </w:t>
      </w:r>
      <w:r w:rsidRPr="001D4E92">
        <w:t>1166,8+23,9 больных (в 2005 г</w:t>
      </w:r>
      <w:r w:rsidR="001D4E92" w:rsidRPr="001D4E92">
        <w:t xml:space="preserve">. - </w:t>
      </w:r>
      <w:r w:rsidRPr="001D4E92">
        <w:t>1368</w:t>
      </w:r>
      <w:r w:rsidR="001D4E92" w:rsidRPr="001D4E92">
        <w:t xml:space="preserve">). </w:t>
      </w:r>
      <w:r w:rsidRPr="001D4E92">
        <w:t>Частота неотложных операций при кровотечениях за весь анализируемый период была в диапазоне 6,8-13,1 на 100 тыс</w:t>
      </w:r>
      <w:r w:rsidR="001D4E92" w:rsidRPr="001D4E92">
        <w:t xml:space="preserve">. </w:t>
      </w:r>
      <w:r w:rsidRPr="001D4E92">
        <w:t>жителей в год</w:t>
      </w:r>
      <w:r w:rsidR="001D4E92" w:rsidRPr="001D4E92">
        <w:t xml:space="preserve">. </w:t>
      </w:r>
      <w:r w:rsidRPr="001D4E92">
        <w:t>За первую половину 90-х годов этот показатель составил в среднем 8,6+0,6 операций в год, за вторую</w:t>
      </w:r>
      <w:r w:rsidR="001D4E92" w:rsidRPr="001D4E92">
        <w:t xml:space="preserve"> - </w:t>
      </w:r>
      <w:r w:rsidRPr="001D4E92">
        <w:t>11,8+0,2</w:t>
      </w:r>
      <w:r w:rsidR="001D4E92" w:rsidRPr="001D4E92">
        <w:t xml:space="preserve"> </w:t>
      </w:r>
      <w:r w:rsidRPr="001D4E92">
        <w:t>или</w:t>
      </w:r>
      <w:r w:rsidR="001D4E92" w:rsidRPr="001D4E92">
        <w:t xml:space="preserve"> </w:t>
      </w:r>
      <w:r w:rsidRPr="001D4E92">
        <w:t>на 37,2% больше, за последующие 5 лет он практически не изменился</w:t>
      </w:r>
      <w:r w:rsidR="001D4E92" w:rsidRPr="001D4E92">
        <w:t xml:space="preserve"> - </w:t>
      </w:r>
      <w:r w:rsidRPr="001D4E92">
        <w:t>11,7+0,4</w:t>
      </w:r>
      <w:r w:rsidR="001D4E92" w:rsidRPr="001D4E92">
        <w:t xml:space="preserve"> </w:t>
      </w:r>
      <w:r w:rsidRPr="001D4E92">
        <w:t>(</w:t>
      </w:r>
      <w:r w:rsidRPr="001D4E92">
        <w:rPr>
          <w:lang w:val="en-US"/>
        </w:rPr>
        <w:t>p</w:t>
      </w:r>
      <w:r w:rsidRPr="001D4E92">
        <w:t>&gt;0,05</w:t>
      </w:r>
      <w:r w:rsidR="001D4E92" w:rsidRPr="001D4E92">
        <w:t xml:space="preserve">). </w:t>
      </w:r>
      <w:r w:rsidRPr="001D4E92">
        <w:t xml:space="preserve">На </w:t>
      </w:r>
      <w:r w:rsidR="001D4E92">
        <w:t>рис.2</w:t>
      </w:r>
      <w:r w:rsidRPr="001D4E92">
        <w:t xml:space="preserve"> представлена динамика частоты операций при язвенных кровотечениях</w:t>
      </w:r>
      <w:r w:rsidR="001D4E92" w:rsidRPr="001D4E92">
        <w:t xml:space="preserve"> </w:t>
      </w:r>
      <w:r w:rsidRPr="001D4E92">
        <w:t>в Беларуси</w:t>
      </w:r>
      <w:r w:rsidR="001D4E92" w:rsidRPr="001D4E92">
        <w:t xml:space="preserve">. </w:t>
      </w:r>
      <w:r w:rsidRPr="001D4E92">
        <w:t>С 1990 г</w:t>
      </w:r>
      <w:r w:rsidR="001D4E92" w:rsidRPr="001D4E92">
        <w:t xml:space="preserve">. </w:t>
      </w:r>
      <w:r w:rsidRPr="001D4E92">
        <w:t>до 1998 г</w:t>
      </w:r>
      <w:r w:rsidR="001D4E92" w:rsidRPr="001D4E92">
        <w:t xml:space="preserve">. </w:t>
      </w:r>
      <w:r w:rsidRPr="001D4E92">
        <w:t>отмечается отчетливая тенденция к росту данного показателя, с 1998 г</w:t>
      </w:r>
      <w:r w:rsidR="001D4E92" w:rsidRPr="001D4E92">
        <w:t xml:space="preserve">. - </w:t>
      </w:r>
      <w:r w:rsidRPr="001D4E92">
        <w:t>стабилизация с незначительной тенденцией</w:t>
      </w:r>
      <w:r w:rsidR="001D4E92" w:rsidRPr="001D4E92">
        <w:t xml:space="preserve"> </w:t>
      </w:r>
      <w:r w:rsidRPr="001D4E92">
        <w:t>к снижению</w:t>
      </w:r>
      <w:r w:rsidR="001D4E92" w:rsidRPr="001D4E92">
        <w:t xml:space="preserve">. </w:t>
      </w:r>
      <w:r w:rsidRPr="001D4E92">
        <w:t>Однако оценить реальную динамику частоты этого осложнения ЯБ возможно только с учетом изменения хирургической активности при кровотечениях</w:t>
      </w:r>
      <w:r w:rsidR="001D4E92" w:rsidRPr="001D4E92">
        <w:t xml:space="preserve">. </w:t>
      </w:r>
      <w:r w:rsidRPr="001D4E92">
        <w:t>Последний показатель за первую половину 90-х годов составлял в среднем 26,0%</w:t>
      </w:r>
      <w:r w:rsidR="001D4E92" w:rsidRPr="001D4E92">
        <w:t xml:space="preserve">, </w:t>
      </w:r>
      <w:r w:rsidRPr="001D4E92">
        <w:t>за вторую</w:t>
      </w:r>
      <w:r w:rsidR="001D4E92" w:rsidRPr="001D4E92">
        <w:t xml:space="preserve"> - </w:t>
      </w:r>
      <w:r w:rsidRPr="001D4E92">
        <w:t>25,7%, а за последующие 5 лет</w:t>
      </w:r>
      <w:r w:rsidR="001D4E92" w:rsidRPr="001D4E92">
        <w:t xml:space="preserve"> - </w:t>
      </w:r>
      <w:r w:rsidRPr="001D4E92">
        <w:t>снизился до 20,2%</w:t>
      </w:r>
      <w:r w:rsidR="001D4E92" w:rsidRPr="001D4E92">
        <w:t xml:space="preserve">. </w:t>
      </w:r>
      <w:r w:rsidRPr="001D4E92">
        <w:t>После</w:t>
      </w:r>
      <w:r w:rsidR="001D4E92" w:rsidRPr="001D4E92">
        <w:t xml:space="preserve"> </w:t>
      </w:r>
      <w:r w:rsidRPr="001D4E92">
        <w:t>2001 г</w:t>
      </w:r>
      <w:r w:rsidR="001D4E92" w:rsidRPr="001D4E92">
        <w:t xml:space="preserve">. </w:t>
      </w:r>
      <w:r w:rsidRPr="001D4E92">
        <w:t>хирургическая активность при язвенных кровотечениях в среднем не превышает</w:t>
      </w:r>
      <w:r w:rsidR="001D4E92" w:rsidRPr="001D4E92">
        <w:t xml:space="preserve"> </w:t>
      </w:r>
      <w:r w:rsidRPr="001D4E92">
        <w:t>20%</w:t>
      </w:r>
      <w:r w:rsidR="001D4E92" w:rsidRPr="001D4E92">
        <w:t xml:space="preserve">. </w:t>
      </w:r>
      <w:r w:rsidR="00127760" w:rsidRPr="001D4E92">
        <w:t>Х</w:t>
      </w:r>
      <w:r w:rsidRPr="001D4E92">
        <w:t>ирургическая активность при кровотечениях снижалась за последние годы в РБ гораздо быстрее</w:t>
      </w:r>
      <w:r w:rsidR="001D4E92" w:rsidRPr="001D4E92">
        <w:t xml:space="preserve">, </w:t>
      </w:r>
      <w:r w:rsidRPr="001D4E92">
        <w:t>чем частота операций</w:t>
      </w:r>
      <w:r w:rsidR="001D4E92" w:rsidRPr="001D4E92">
        <w:t xml:space="preserve">. </w:t>
      </w:r>
      <w:r w:rsidR="00127760" w:rsidRPr="001D4E92">
        <w:t>Э</w:t>
      </w:r>
      <w:r w:rsidRPr="001D4E92">
        <w:t>то указывает</w:t>
      </w:r>
      <w:r w:rsidR="001D4E92" w:rsidRPr="001D4E92">
        <w:t xml:space="preserve"> </w:t>
      </w:r>
      <w:r w:rsidRPr="001D4E92">
        <w:t>на</w:t>
      </w:r>
      <w:r w:rsidR="001D4E92" w:rsidRPr="001D4E92">
        <w:t xml:space="preserve"> </w:t>
      </w:r>
      <w:r w:rsidRPr="001D4E92">
        <w:t>сохраняющуюся тенденцию</w:t>
      </w:r>
      <w:r w:rsidR="001D4E92" w:rsidRPr="001D4E92">
        <w:t xml:space="preserve"> </w:t>
      </w:r>
      <w:r w:rsidRPr="001D4E92">
        <w:t>к росту самих язвенных кровотечений</w:t>
      </w:r>
      <w:r w:rsidR="001D4E92" w:rsidRPr="001D4E92">
        <w:t xml:space="preserve">. </w:t>
      </w:r>
      <w:r w:rsidRPr="001D4E92">
        <w:t>Так, если в 1999 г</w:t>
      </w:r>
      <w:r w:rsidR="001D4E92" w:rsidRPr="001D4E92">
        <w:t xml:space="preserve">. </w:t>
      </w:r>
      <w:r w:rsidRPr="001D4E92">
        <w:t>в стационарах РБ всего было пролечено около 5,1 тысячи больных с язвенными кровотечениями, в 2000</w:t>
      </w:r>
      <w:r w:rsidR="001D4E92" w:rsidRPr="001D4E92">
        <w:t>-</w:t>
      </w:r>
      <w:r w:rsidRPr="001D4E92">
        <w:t>2002 гг</w:t>
      </w:r>
      <w:r w:rsidR="001D4E92" w:rsidRPr="001D4E92">
        <w:t xml:space="preserve">. - </w:t>
      </w:r>
      <w:r w:rsidRPr="001D4E92">
        <w:t>около 5,7 тысяч пациентов ежегодно, то в 2003 г</w:t>
      </w:r>
      <w:r w:rsidR="001D4E92" w:rsidRPr="001D4E92">
        <w:t xml:space="preserve">. - </w:t>
      </w:r>
      <w:r w:rsidRPr="001D4E92">
        <w:t>уже около 6,0 тысяч</w:t>
      </w:r>
      <w:r w:rsidR="001D4E92" w:rsidRPr="001D4E92">
        <w:t xml:space="preserve">. </w:t>
      </w:r>
      <w:r w:rsidRPr="001D4E92">
        <w:t xml:space="preserve">На </w:t>
      </w:r>
      <w:r w:rsidR="001D4E92">
        <w:t>рис.3</w:t>
      </w:r>
      <w:r w:rsidRPr="001D4E92">
        <w:t xml:space="preserve"> представлено соотношение общего числа больных, пролеченных в стационарах РБ с язвенными кровотечениями и оперированных по поводу этого осложнения ЯБ за анализируемый период</w:t>
      </w:r>
      <w:r w:rsidR="001D4E92" w:rsidRPr="001D4E92">
        <w:t xml:space="preserve">. </w:t>
      </w:r>
      <w:r w:rsidRPr="001D4E92">
        <w:t>Как видно, имеется устойчивый, близкий двукратному, рост частоты язвенных кровотечений при относительной стабильности за последние годы количества операций</w:t>
      </w:r>
      <w:r w:rsidR="001D4E92" w:rsidRPr="001D4E92">
        <w:t xml:space="preserve">. </w:t>
      </w:r>
      <w:r w:rsidRPr="001D4E92">
        <w:t>Сложно однозначно прогнозировать ситуацию с язвенными кровотечениями на ближайшее будущее</w:t>
      </w:r>
      <w:r w:rsidR="001D4E92" w:rsidRPr="001D4E92">
        <w:t xml:space="preserve">. </w:t>
      </w:r>
      <w:r w:rsidRPr="001D4E92">
        <w:t>Однако с полной уверенностью можно утверждать, что оптимизм врачей терапевтов по поводу успехов</w:t>
      </w:r>
      <w:r w:rsidR="001D4E92" w:rsidRPr="001D4E92">
        <w:t xml:space="preserve"> </w:t>
      </w:r>
      <w:r w:rsidRPr="001D4E92">
        <w:t>в лечении больных ЯБ благодаря современным достижениям теоретической гастроэнтерологии и фармакологии в отечественных условиях явно преувеличен</w:t>
      </w:r>
      <w:r w:rsidR="001D4E92" w:rsidRPr="001D4E92">
        <w:t xml:space="preserve">. </w:t>
      </w:r>
      <w:r w:rsidRPr="001D4E92">
        <w:t>Декларируемые гастроэнтерологами успехи скорее относятся к намерениям и возможностям, но пока не отражаются на частоте осложненных форм ЯБ</w:t>
      </w:r>
      <w:r w:rsidR="001D4E92" w:rsidRPr="001D4E92">
        <w:t xml:space="preserve">. </w:t>
      </w:r>
      <w:r w:rsidR="00E413E9" w:rsidRPr="001D4E92">
        <w:t>Частота неотложных операций при ЯБ у нас</w:t>
      </w:r>
      <w:r w:rsidR="001D4E92" w:rsidRPr="001D4E92">
        <w:t xml:space="preserve"> </w:t>
      </w:r>
      <w:r w:rsidR="00E413E9" w:rsidRPr="001D4E92">
        <w:t>в среднем в 5 раз выше, чем в индустриальных странах</w:t>
      </w:r>
      <w:r w:rsidR="001D4E92" w:rsidRPr="001D4E92">
        <w:t xml:space="preserve">. </w:t>
      </w:r>
    </w:p>
    <w:p w:rsidR="001D4E92" w:rsidRPr="001D4E92" w:rsidRDefault="00121D6B" w:rsidP="001D4E92">
      <w:pPr>
        <w:widowControl w:val="0"/>
        <w:autoSpaceDE w:val="0"/>
        <w:autoSpaceDN w:val="0"/>
        <w:adjustRightInd w:val="0"/>
        <w:ind w:firstLine="709"/>
        <w:rPr>
          <w:lang w:val="be-BY"/>
        </w:rPr>
      </w:pPr>
      <w:r w:rsidRPr="001D4E92">
        <w:t>В отличие от экономически развитых стран</w:t>
      </w:r>
      <w:r w:rsidR="001D4E92" w:rsidRPr="001D4E92">
        <w:t xml:space="preserve">, </w:t>
      </w:r>
      <w:r w:rsidRPr="001D4E92">
        <w:t>количество неотложных операций при язвенных кровотечениях за 90-е годы в Беларуси в среднем было в 2,1 раза меньше, чем при перфоративных язвах</w:t>
      </w:r>
      <w:r w:rsidR="001D4E92" w:rsidRPr="001D4E92">
        <w:t xml:space="preserve">. </w:t>
      </w:r>
      <w:r w:rsidRPr="001D4E92">
        <w:t>Доля операций по поводу кровотечений в суммарном количестве хирургических вмешательств</w:t>
      </w:r>
      <w:r w:rsidR="001D4E92" w:rsidRPr="001D4E92">
        <w:t xml:space="preserve"> </w:t>
      </w:r>
      <w:r w:rsidRPr="001D4E92">
        <w:t>при</w:t>
      </w:r>
      <w:r w:rsidR="001D4E92" w:rsidRPr="001D4E92">
        <w:t xml:space="preserve"> </w:t>
      </w:r>
      <w:r w:rsidRPr="001D4E92">
        <w:t>ЯБ за анализируемый период отчетливо возрастала</w:t>
      </w:r>
      <w:r w:rsidR="001D4E92" w:rsidRPr="001D4E92">
        <w:t xml:space="preserve">. </w:t>
      </w:r>
      <w:r w:rsidRPr="001D4E92">
        <w:t>Так, если за 1990-1994 гг</w:t>
      </w:r>
      <w:r w:rsidR="001D4E92" w:rsidRPr="001D4E92">
        <w:t xml:space="preserve">. </w:t>
      </w:r>
      <w:r w:rsidRPr="001D4E92">
        <w:t>она составляла менее пятой части (в среднем 18,3%</w:t>
      </w:r>
      <w:r w:rsidR="001D4E92" w:rsidRPr="001D4E92">
        <w:t>),</w:t>
      </w:r>
      <w:r w:rsidRPr="001D4E92">
        <w:t xml:space="preserve"> за 1995-1999 гг</w:t>
      </w:r>
      <w:r w:rsidR="001D4E92" w:rsidRPr="001D4E92">
        <w:t xml:space="preserve">. - </w:t>
      </w:r>
      <w:r w:rsidRPr="001D4E92">
        <w:t>22,0%, то за 2000-2004 гг</w:t>
      </w:r>
      <w:r w:rsidR="001D4E92" w:rsidRPr="001D4E92">
        <w:t xml:space="preserve">. - </w:t>
      </w:r>
      <w:r w:rsidRPr="001D4E92">
        <w:t>уже почти четверть (24,3%</w:t>
      </w:r>
      <w:r w:rsidR="001D4E92" w:rsidRPr="001D4E92">
        <w:t xml:space="preserve">). </w:t>
      </w:r>
      <w:r w:rsidRPr="001D4E92">
        <w:t>Удельный вес всех неотложных операций (при язвенных кровотечениях и прободениях</w:t>
      </w:r>
      <w:r w:rsidR="001D4E92" w:rsidRPr="001D4E92">
        <w:t xml:space="preserve">) </w:t>
      </w:r>
      <w:r w:rsidRPr="001D4E92">
        <w:t>за те же годы поэтапно возрос</w:t>
      </w:r>
      <w:r w:rsidR="001D4E92" w:rsidRPr="001D4E92">
        <w:t xml:space="preserve">: </w:t>
      </w:r>
      <w:r w:rsidRPr="001D4E92">
        <w:t>57,1%</w:t>
      </w:r>
      <w:r w:rsidR="001D4E92">
        <w:t>.6</w:t>
      </w:r>
      <w:r w:rsidRPr="001D4E92">
        <w:t>7,5% и 76,6%</w:t>
      </w:r>
      <w:r w:rsidR="001D4E92" w:rsidRPr="001D4E92">
        <w:t xml:space="preserve">. </w:t>
      </w:r>
      <w:r w:rsidRPr="001D4E92">
        <w:t>Доля плановых операций при ЯБ заметно снижалась</w:t>
      </w:r>
      <w:r w:rsidR="001D4E92" w:rsidRPr="001D4E92">
        <w:t xml:space="preserve">: </w:t>
      </w:r>
      <w:r w:rsidRPr="001D4E92">
        <w:rPr>
          <w:lang w:val="be-BY"/>
        </w:rPr>
        <w:t>42,9%, 32,5% и только 23,4% за 2000-2004 годы</w:t>
      </w:r>
      <w:r w:rsidR="00EC33B6" w:rsidRPr="001D4E92">
        <w:rPr>
          <w:lang w:val="be-BY"/>
        </w:rPr>
        <w:t xml:space="preserve"> (</w:t>
      </w:r>
      <w:r w:rsidR="001D4E92">
        <w:rPr>
          <w:lang w:val="be-BY"/>
        </w:rPr>
        <w:t>рис.4</w:t>
      </w:r>
      <w:r w:rsidR="001D4E92" w:rsidRPr="001D4E92">
        <w:rPr>
          <w:lang w:val="be-BY"/>
        </w:rPr>
        <w:t xml:space="preserve">). </w:t>
      </w:r>
      <w:r w:rsidRPr="001D4E92">
        <w:rPr>
          <w:lang w:val="be-BY"/>
        </w:rPr>
        <w:t>При таких переменах излишне рассчитывать на снижение общей летальности при ЯБ в Беларуси</w:t>
      </w:r>
      <w:r w:rsidR="001D4E92" w:rsidRPr="001D4E92">
        <w:rPr>
          <w:lang w:val="be-BY"/>
        </w:rPr>
        <w:t xml:space="preserve">. </w:t>
      </w:r>
    </w:p>
    <w:p w:rsidR="00121D6B" w:rsidRPr="001D4E92" w:rsidRDefault="00121D6B" w:rsidP="001D4E92">
      <w:pPr>
        <w:widowControl w:val="0"/>
        <w:autoSpaceDE w:val="0"/>
        <w:autoSpaceDN w:val="0"/>
        <w:adjustRightInd w:val="0"/>
        <w:ind w:firstLine="709"/>
      </w:pPr>
      <w:r w:rsidRPr="001D4E92">
        <w:t>Послеоперационная летальность при язвенных кровотечениях, по официальным отчетам, за первую половину 90-х годов составила 10,6%, за вторую</w:t>
      </w:r>
      <w:r w:rsidR="001D4E92" w:rsidRPr="001D4E92">
        <w:t xml:space="preserve"> - </w:t>
      </w:r>
      <w:r w:rsidRPr="001D4E92">
        <w:t>5,8%, а за последние 5 лет только 3,7%</w:t>
      </w:r>
      <w:r w:rsidR="001D4E92" w:rsidRPr="001D4E92">
        <w:t xml:space="preserve">. </w:t>
      </w:r>
      <w:r w:rsidRPr="001D4E92">
        <w:t>Причем выраженное снижение</w:t>
      </w:r>
      <w:r w:rsidR="001D4E92" w:rsidRPr="001D4E92">
        <w:t xml:space="preserve"> </w:t>
      </w:r>
      <w:r w:rsidRPr="001D4E92">
        <w:t>цифр</w:t>
      </w:r>
      <w:r w:rsidR="001D4E92" w:rsidRPr="001D4E92">
        <w:t xml:space="preserve"> </w:t>
      </w:r>
      <w:r w:rsidRPr="001D4E92">
        <w:t>летальности наблюдается повсеместно</w:t>
      </w:r>
      <w:r w:rsidR="001D4E92" w:rsidRPr="001D4E92">
        <w:t xml:space="preserve">. </w:t>
      </w:r>
      <w:r w:rsidRPr="001D4E92">
        <w:t>По сравнению с первой половиной 90-х</w:t>
      </w:r>
      <w:r w:rsidR="001D4E92" w:rsidRPr="001D4E92">
        <w:t xml:space="preserve"> </w:t>
      </w:r>
      <w:r w:rsidRPr="001D4E92">
        <w:t>этот показатель уменьшился от 2,4 раз в Витебской области до 4,2 раз в Минске, в среднем по РБ</w:t>
      </w:r>
      <w:r w:rsidR="001D4E92" w:rsidRPr="001D4E92">
        <w:t xml:space="preserve"> - </w:t>
      </w:r>
      <w:r w:rsidRPr="001D4E92">
        <w:t>в 2,9 раза</w:t>
      </w:r>
      <w:r w:rsidR="001D4E92" w:rsidRPr="001D4E92">
        <w:t xml:space="preserve">. </w:t>
      </w:r>
      <w:r w:rsidRPr="001D4E92">
        <w:t>При сохранении такой тенденции в ближайшем будущем летальность от язвенных кровотечений должна достичь нуля</w:t>
      </w:r>
      <w:r w:rsidR="001D4E92" w:rsidRPr="001D4E92">
        <w:t xml:space="preserve">! </w:t>
      </w:r>
      <w:r w:rsidRPr="001D4E92">
        <w:t xml:space="preserve">По обсуждаемому показателю ситуация в РБ выглядит значительно благоприятнее, чем в России, Украине, странах Балтии, где цифры </w:t>
      </w:r>
      <w:r w:rsidR="00EC33B6" w:rsidRPr="001D4E92">
        <w:t xml:space="preserve">летальности </w:t>
      </w:r>
      <w:r w:rsidRPr="001D4E92">
        <w:t>составляют 10-15%, а у больных старше 60 лет</w:t>
      </w:r>
      <w:r w:rsidR="001D4E92" w:rsidRPr="001D4E92">
        <w:t xml:space="preserve"> - </w:t>
      </w:r>
      <w:r w:rsidRPr="001D4E92">
        <w:t>не менее 20%</w:t>
      </w:r>
      <w:r w:rsidR="001D4E92" w:rsidRPr="001D4E92">
        <w:t xml:space="preserve">. </w:t>
      </w:r>
      <w:r w:rsidR="00EC33B6" w:rsidRPr="001D4E92">
        <w:t>По известной эмпирической формуле в среднем не удается спасти каждого десятого пациента, оперируемого при ЯБ по неотложным показаниям (при язвенных кровотечениях и прободениях</w:t>
      </w:r>
      <w:r w:rsidR="001D4E92" w:rsidRPr="001D4E92">
        <w:t xml:space="preserve">). </w:t>
      </w:r>
      <w:r w:rsidRPr="001D4E92">
        <w:t xml:space="preserve">Демонстрируемое </w:t>
      </w:r>
      <w:r w:rsidR="00EC33B6" w:rsidRPr="001D4E92">
        <w:t xml:space="preserve">у нас </w:t>
      </w:r>
      <w:r w:rsidR="001D4E92" w:rsidRPr="001D4E92">
        <w:t>"</w:t>
      </w:r>
      <w:r w:rsidRPr="001D4E92">
        <w:t>цифровое благополучие</w:t>
      </w:r>
      <w:r w:rsidR="001D4E92" w:rsidRPr="001D4E92">
        <w:t>"</w:t>
      </w:r>
      <w:r w:rsidRPr="001D4E92">
        <w:t>, извращая медицинское общественное мнение, ведет к замалчиванию остроты проблемы и тем самым отдаляет ее решение</w:t>
      </w:r>
      <w:r w:rsidR="001D4E92" w:rsidRPr="001D4E92">
        <w:t xml:space="preserve">. </w:t>
      </w:r>
    </w:p>
    <w:p w:rsidR="001D4E92" w:rsidRPr="001D4E92" w:rsidRDefault="00121D6B" w:rsidP="001D4E92">
      <w:pPr>
        <w:widowControl w:val="0"/>
        <w:autoSpaceDE w:val="0"/>
        <w:autoSpaceDN w:val="0"/>
        <w:adjustRightInd w:val="0"/>
        <w:ind w:firstLine="709"/>
      </w:pPr>
      <w:r w:rsidRPr="001D4E92">
        <w:t>Многолетний анализ количества неотложных</w:t>
      </w:r>
      <w:r w:rsidR="001D4E92" w:rsidRPr="001D4E92">
        <w:t xml:space="preserve"> </w:t>
      </w:r>
      <w:r w:rsidRPr="001D4E92">
        <w:t>операций</w:t>
      </w:r>
      <w:r w:rsidR="001D4E92" w:rsidRPr="001D4E92">
        <w:t xml:space="preserve"> </w:t>
      </w:r>
      <w:r w:rsidRPr="001D4E92">
        <w:t xml:space="preserve">по поводу самого грозного осложнения ЯБ и числа пролеченных больных в Беларуси в целом и </w:t>
      </w:r>
      <w:r w:rsidR="00EC33B6" w:rsidRPr="001D4E92">
        <w:t>Гомельской области</w:t>
      </w:r>
      <w:r w:rsidRPr="001D4E92">
        <w:t xml:space="preserve"> указывает на сохраняющуюся тенденцию к росту частоты язвенных кровотечений</w:t>
      </w:r>
      <w:r w:rsidR="001D4E92" w:rsidRPr="001D4E92">
        <w:t xml:space="preserve">. </w:t>
      </w:r>
      <w:r w:rsidRPr="001D4E92">
        <w:t>При этом отмечается увеличение пропорции вмешательств при кровоточащих язвах в структуре суммарной хирургической активности при ЯБ</w:t>
      </w:r>
      <w:r w:rsidR="001D4E92" w:rsidRPr="001D4E92">
        <w:t xml:space="preserve">. </w:t>
      </w:r>
    </w:p>
    <w:p w:rsidR="001D4E92" w:rsidRPr="001D4E92" w:rsidRDefault="00121D6B" w:rsidP="001D4E92">
      <w:pPr>
        <w:widowControl w:val="0"/>
        <w:autoSpaceDE w:val="0"/>
        <w:autoSpaceDN w:val="0"/>
        <w:adjustRightInd w:val="0"/>
        <w:ind w:firstLine="709"/>
      </w:pPr>
      <w:r w:rsidRPr="001D4E92">
        <w:t>Современная медицина</w:t>
      </w:r>
      <w:r w:rsidR="001D4E92" w:rsidRPr="001D4E92">
        <w:t xml:space="preserve"> </w:t>
      </w:r>
      <w:r w:rsidRPr="001D4E92">
        <w:t xml:space="preserve">повысила возможности врачей бороться с язвенными кровотечениями, но решение этой очень непростой задачи </w:t>
      </w:r>
      <w:r w:rsidR="00EC33B6" w:rsidRPr="001D4E92">
        <w:t xml:space="preserve">лежит </w:t>
      </w:r>
      <w:r w:rsidRPr="001D4E92">
        <w:t>в первую очередь в организационной</w:t>
      </w:r>
      <w:r w:rsidR="00EC33B6" w:rsidRPr="001D4E92">
        <w:t xml:space="preserve"> сфере</w:t>
      </w:r>
      <w:r w:rsidR="001D4E92" w:rsidRPr="001D4E92">
        <w:t xml:space="preserve">. </w:t>
      </w:r>
      <w:r w:rsidR="00EC33B6" w:rsidRPr="001D4E92">
        <w:t>П</w:t>
      </w:r>
      <w:r w:rsidRPr="001D4E92">
        <w:t>озитивным моментом является повсеместное снижение</w:t>
      </w:r>
      <w:r w:rsidR="001D4E92" w:rsidRPr="001D4E92">
        <w:t xml:space="preserve"> </w:t>
      </w:r>
      <w:r w:rsidRPr="001D4E92">
        <w:t>хирургической активности при данном осложнении ЯБ</w:t>
      </w:r>
      <w:r w:rsidR="001D4E92" w:rsidRPr="001D4E92">
        <w:t xml:space="preserve">. </w:t>
      </w:r>
      <w:r w:rsidRPr="001D4E92">
        <w:t>Этого удалось достичь за счет повышения эффективности эндоскопического гемостаза</w:t>
      </w:r>
      <w:r w:rsidR="001D4E92" w:rsidRPr="001D4E92">
        <w:t xml:space="preserve">, </w:t>
      </w:r>
      <w:r w:rsidRPr="001D4E92">
        <w:t>а также снижения риска повторных кровотечений в стационаре надежной блокадой желудочной секреции и предотвращением пептического лизиса тромботических масс в язве</w:t>
      </w:r>
      <w:r w:rsidR="001D4E92" w:rsidRPr="001D4E92">
        <w:t xml:space="preserve">. </w:t>
      </w:r>
      <w:r w:rsidRPr="001D4E92">
        <w:t>С учетом того, что около 75% язвенных кровотечений имеют дуоденальную локализацию, более широкое применение органосохраняющих технологий вместо травматичных резекций желудка также может существенно снизить непосредственный риск неотложных операций</w:t>
      </w:r>
      <w:r w:rsidR="001D4E92" w:rsidRPr="001D4E92">
        <w:t xml:space="preserve">. </w:t>
      </w:r>
    </w:p>
    <w:p w:rsidR="001D4E92" w:rsidRPr="001D4E92" w:rsidRDefault="00121D6B" w:rsidP="001D4E92">
      <w:pPr>
        <w:widowControl w:val="0"/>
        <w:autoSpaceDE w:val="0"/>
        <w:autoSpaceDN w:val="0"/>
        <w:adjustRightInd w:val="0"/>
        <w:ind w:firstLine="709"/>
      </w:pPr>
      <w:r w:rsidRPr="001D4E92">
        <w:t xml:space="preserve">Необходимо признать, что кризисный период, переживаемый </w:t>
      </w:r>
      <w:r w:rsidR="001D4E92" w:rsidRPr="001D4E92">
        <w:t>"</w:t>
      </w:r>
      <w:r w:rsidRPr="001D4E92">
        <w:t>постсоветскими</w:t>
      </w:r>
      <w:r w:rsidR="001D4E92" w:rsidRPr="001D4E92">
        <w:t>"</w:t>
      </w:r>
      <w:r w:rsidRPr="001D4E92">
        <w:t xml:space="preserve"> странами, по объективным причинам обострил проблему ЯБ как социально зависимого заболевания</w:t>
      </w:r>
      <w:r w:rsidR="001D4E92" w:rsidRPr="001D4E92">
        <w:t xml:space="preserve">. </w:t>
      </w:r>
      <w:r w:rsidRPr="001D4E92">
        <w:t xml:space="preserve">Количество операций, производимых в Беларуси при ЯБ по жизненным показаниям, сегодня в 1,5 и более раза превышает уровень </w:t>
      </w:r>
      <w:r w:rsidR="001D4E92" w:rsidRPr="001D4E92">
        <w:t>"</w:t>
      </w:r>
      <w:r w:rsidRPr="001D4E92">
        <w:t>советских</w:t>
      </w:r>
      <w:r w:rsidR="001D4E92" w:rsidRPr="001D4E92">
        <w:t>"</w:t>
      </w:r>
      <w:r w:rsidRPr="001D4E92">
        <w:t xml:space="preserve"> времен и в 4-5 раз аналогичный показатель экономически развитых стран</w:t>
      </w:r>
      <w:r w:rsidR="001D4E92" w:rsidRPr="001D4E92">
        <w:t xml:space="preserve">. </w:t>
      </w:r>
      <w:r w:rsidRPr="001D4E92">
        <w:t xml:space="preserve">Стремление слепо следовать </w:t>
      </w:r>
      <w:r w:rsidR="001D4E92" w:rsidRPr="001D4E92">
        <w:t>"</w:t>
      </w:r>
      <w:r w:rsidRPr="001D4E92">
        <w:t>западным</w:t>
      </w:r>
      <w:r w:rsidR="001D4E92" w:rsidRPr="001D4E92">
        <w:t>"</w:t>
      </w:r>
      <w:r w:rsidRPr="001D4E92">
        <w:t xml:space="preserve"> стандартам по снижению плановой хирургической активности при ЯБ в наших условиях обернулось значительным повышением частоты неотложных операций, а следовательно</w:t>
      </w:r>
      <w:r w:rsidR="001D4E92" w:rsidRPr="001D4E92">
        <w:t xml:space="preserve"> - </w:t>
      </w:r>
      <w:r w:rsidRPr="001D4E92">
        <w:t>ростом общей летальности и инвалидности пациентов</w:t>
      </w:r>
      <w:r w:rsidR="001D4E92" w:rsidRPr="001D4E92">
        <w:t xml:space="preserve">. </w:t>
      </w:r>
      <w:r w:rsidR="00EC33B6" w:rsidRPr="001D4E92">
        <w:t>П</w:t>
      </w:r>
      <w:r w:rsidRPr="001D4E92">
        <w:t>риоритетным направлением в решении проблемы ЯБ должна стать не огульная борьба с хеликобактерной инфекцией, к чему</w:t>
      </w:r>
      <w:r w:rsidR="001D4E92" w:rsidRPr="001D4E92">
        <w:t xml:space="preserve"> </w:t>
      </w:r>
      <w:r w:rsidRPr="001D4E92">
        <w:t>призывают отдельные гастроэнтерологи, не намерение искоренить саму болезнь, а предупреждение жизненно опасных осложнений ЯБ</w:t>
      </w:r>
      <w:r w:rsidR="001D4E92" w:rsidRPr="001D4E92">
        <w:t xml:space="preserve">. </w:t>
      </w:r>
      <w:r w:rsidRPr="001D4E92">
        <w:t>Эта стратегическая цель</w:t>
      </w:r>
      <w:r w:rsidR="001D4E92" w:rsidRPr="001D4E92">
        <w:t xml:space="preserve"> </w:t>
      </w:r>
      <w:r w:rsidRPr="001D4E92">
        <w:t>достижима сочетанием</w:t>
      </w:r>
      <w:r w:rsidR="001D4E92" w:rsidRPr="001D4E92">
        <w:t xml:space="preserve"> </w:t>
      </w:r>
      <w:r w:rsidRPr="001D4E92">
        <w:t>современной консервативной терапии и превентивной плановой хирургии у потенциально угрожаемого контингента больных</w:t>
      </w:r>
      <w:r w:rsidR="001D4E92" w:rsidRPr="001D4E92">
        <w:t xml:space="preserve">. </w:t>
      </w:r>
      <w:r w:rsidRPr="001D4E92">
        <w:t>Критерием эффективности организационных и лечебных мероприятий по решению данной проблемы будет стабильное снижение потребности в неотложных операциях</w:t>
      </w:r>
      <w:r w:rsidR="001D4E92" w:rsidRPr="001D4E92">
        <w:t xml:space="preserve"> </w:t>
      </w:r>
      <w:r w:rsidRPr="001D4E92">
        <w:t>при язвенных кровотечениях и прободениях</w:t>
      </w:r>
      <w:r w:rsidR="001D4E92" w:rsidRPr="001D4E92">
        <w:t xml:space="preserve">. </w:t>
      </w:r>
    </w:p>
    <w:p w:rsidR="00D37288" w:rsidRDefault="00D37288" w:rsidP="00D37288">
      <w:pPr>
        <w:pStyle w:val="2"/>
      </w:pPr>
    </w:p>
    <w:p w:rsidR="001D4E92" w:rsidRPr="001D4E92" w:rsidRDefault="00C0346B" w:rsidP="00D37288">
      <w:pPr>
        <w:pStyle w:val="2"/>
      </w:pPr>
      <w:r w:rsidRPr="001D4E92">
        <w:t>Принципы нехирургического гемостаза при язвенных кровотечениях</w:t>
      </w:r>
    </w:p>
    <w:p w:rsidR="00D37288" w:rsidRDefault="00D37288" w:rsidP="001D4E92">
      <w:pPr>
        <w:widowControl w:val="0"/>
        <w:autoSpaceDE w:val="0"/>
        <w:autoSpaceDN w:val="0"/>
        <w:adjustRightInd w:val="0"/>
        <w:ind w:firstLine="709"/>
      </w:pPr>
    </w:p>
    <w:p w:rsidR="001D4E92" w:rsidRPr="001D4E92" w:rsidRDefault="00654516" w:rsidP="001D4E92">
      <w:pPr>
        <w:widowControl w:val="0"/>
        <w:autoSpaceDE w:val="0"/>
        <w:autoSpaceDN w:val="0"/>
        <w:adjustRightInd w:val="0"/>
        <w:ind w:firstLine="709"/>
      </w:pPr>
      <w:r w:rsidRPr="001D4E92">
        <w:t>Учитывая то, что вынужденные операции на высоте кровотечения или при его рецидиве представляют максимальный непосредственный риск, становится ясной актуальность нехирургических методов гемостаза</w:t>
      </w:r>
      <w:r w:rsidR="001D4E92" w:rsidRPr="001D4E92">
        <w:t xml:space="preserve">. </w:t>
      </w:r>
      <w:r w:rsidRPr="001D4E92">
        <w:t xml:space="preserve">Последние подразумевают комплекс различных мер, обеспечивающих остановку язвенного кровотечения и стабилизацию </w:t>
      </w:r>
      <w:r w:rsidR="00B03803" w:rsidRPr="001D4E92">
        <w:t>гемостаза</w:t>
      </w:r>
      <w:r w:rsidR="001D4E92" w:rsidRPr="001D4E92">
        <w:t xml:space="preserve">. </w:t>
      </w:r>
      <w:r w:rsidR="00B03803" w:rsidRPr="001D4E92">
        <w:t>Спонтанный гемостаз развивается в среднем у 70% больных</w:t>
      </w:r>
      <w:r w:rsidR="001D4E92" w:rsidRPr="001D4E92">
        <w:t xml:space="preserve">. </w:t>
      </w:r>
      <w:r w:rsidR="00B03803" w:rsidRPr="001D4E92">
        <w:t>У 5-10% пациентов кровотечение является профузным, им приемлем только хирургический гемостаз</w:t>
      </w:r>
      <w:r w:rsidR="001D4E92" w:rsidRPr="001D4E92">
        <w:t xml:space="preserve">. </w:t>
      </w:r>
      <w:r w:rsidR="00B03803" w:rsidRPr="001D4E92">
        <w:t>Послеоперационная летальность у этих больных, как правило</w:t>
      </w:r>
      <w:r w:rsidR="001D4E92" w:rsidRPr="001D4E92">
        <w:t xml:space="preserve">, </w:t>
      </w:r>
      <w:r w:rsidR="00B03803" w:rsidRPr="001D4E92">
        <w:t>не менее 20-25%</w:t>
      </w:r>
      <w:r w:rsidR="001D4E92" w:rsidRPr="001D4E92">
        <w:t xml:space="preserve">. </w:t>
      </w:r>
      <w:r w:rsidR="00B03803" w:rsidRPr="001D4E92">
        <w:t xml:space="preserve">Отсюда вытекает необходимость минимизации </w:t>
      </w:r>
      <w:r w:rsidR="002D3C59" w:rsidRPr="001D4E92">
        <w:t>экстренных</w:t>
      </w:r>
      <w:r w:rsidR="001D4E92" w:rsidRPr="001D4E92">
        <w:t xml:space="preserve"> </w:t>
      </w:r>
      <w:r w:rsidR="00B03803" w:rsidRPr="001D4E92">
        <w:t>вмешательств</w:t>
      </w:r>
      <w:r w:rsidR="002D3C59" w:rsidRPr="001D4E92">
        <w:t xml:space="preserve"> по поводу кровоточащих язв</w:t>
      </w:r>
      <w:r w:rsidR="001D4E92" w:rsidRPr="001D4E92">
        <w:t xml:space="preserve">. </w:t>
      </w:r>
    </w:p>
    <w:p w:rsidR="001D4E92" w:rsidRPr="001D4E92" w:rsidRDefault="00805CED" w:rsidP="001D4E92">
      <w:pPr>
        <w:widowControl w:val="0"/>
        <w:autoSpaceDE w:val="0"/>
        <w:autoSpaceDN w:val="0"/>
        <w:adjustRightInd w:val="0"/>
        <w:ind w:firstLine="709"/>
      </w:pPr>
      <w:r w:rsidRPr="001D4E92">
        <w:t>При острых язвенных кровотечениях первоначальным пособием, определяющим дальнейшую лечебную стратегию (оперативную или консервативную</w:t>
      </w:r>
      <w:r w:rsidR="001D4E92" w:rsidRPr="001D4E92">
        <w:t xml:space="preserve">) </w:t>
      </w:r>
      <w:r w:rsidRPr="001D4E92">
        <w:t>является эндоскопия верхнего отдела пищеварительного тракта</w:t>
      </w:r>
      <w:r w:rsidR="001D4E92" w:rsidRPr="001D4E92">
        <w:t xml:space="preserve">. </w:t>
      </w:r>
    </w:p>
    <w:p w:rsidR="00805CED" w:rsidRPr="001D4E92" w:rsidRDefault="00805CED" w:rsidP="001D4E92">
      <w:pPr>
        <w:widowControl w:val="0"/>
        <w:autoSpaceDE w:val="0"/>
        <w:autoSpaceDN w:val="0"/>
        <w:adjustRightInd w:val="0"/>
        <w:ind w:firstLine="709"/>
      </w:pPr>
      <w:r w:rsidRPr="001D4E92">
        <w:t>Задачи эндоскопии при кровотечении</w:t>
      </w:r>
      <w:r w:rsidR="0067548D" w:rsidRPr="001D4E92">
        <w:t xml:space="preserve"> констатирующие и лечебные</w:t>
      </w:r>
      <w:r w:rsidR="001D4E92" w:rsidRPr="001D4E92">
        <w:t xml:space="preserve">: </w:t>
      </w:r>
    </w:p>
    <w:p w:rsidR="00805CED" w:rsidRPr="001D4E92" w:rsidRDefault="00805CED" w:rsidP="001D4E92">
      <w:pPr>
        <w:widowControl w:val="0"/>
        <w:autoSpaceDE w:val="0"/>
        <w:autoSpaceDN w:val="0"/>
        <w:adjustRightInd w:val="0"/>
        <w:ind w:firstLine="709"/>
      </w:pPr>
      <w:r w:rsidRPr="001D4E92">
        <w:t>Подтвердить (опровергнуть</w:t>
      </w:r>
      <w:r w:rsidR="001D4E92" w:rsidRPr="001D4E92">
        <w:t xml:space="preserve">) </w:t>
      </w:r>
      <w:r w:rsidRPr="001D4E92">
        <w:t>факт кровотечения</w:t>
      </w:r>
    </w:p>
    <w:p w:rsidR="00805CED" w:rsidRPr="001D4E92" w:rsidRDefault="009A15E0" w:rsidP="001D4E92">
      <w:pPr>
        <w:widowControl w:val="0"/>
        <w:autoSpaceDE w:val="0"/>
        <w:autoSpaceDN w:val="0"/>
        <w:adjustRightInd w:val="0"/>
        <w:ind w:firstLine="709"/>
      </w:pPr>
      <w:r w:rsidRPr="001D4E92">
        <w:t>Определить локализацию кровотечения</w:t>
      </w:r>
    </w:p>
    <w:p w:rsidR="009A15E0" w:rsidRPr="001D4E92" w:rsidRDefault="009A15E0" w:rsidP="001D4E92">
      <w:pPr>
        <w:widowControl w:val="0"/>
        <w:autoSpaceDE w:val="0"/>
        <w:autoSpaceDN w:val="0"/>
        <w:adjustRightInd w:val="0"/>
        <w:ind w:firstLine="709"/>
      </w:pPr>
      <w:r w:rsidRPr="001D4E92">
        <w:t xml:space="preserve">Определить и оценить источник кровотечения </w:t>
      </w:r>
    </w:p>
    <w:p w:rsidR="009A15E0" w:rsidRPr="001D4E92" w:rsidRDefault="009A15E0" w:rsidP="001D4E92">
      <w:pPr>
        <w:widowControl w:val="0"/>
        <w:autoSpaceDE w:val="0"/>
        <w:autoSpaceDN w:val="0"/>
        <w:adjustRightInd w:val="0"/>
        <w:ind w:firstLine="709"/>
      </w:pPr>
      <w:r w:rsidRPr="001D4E92">
        <w:t>Установить является ли кровотечение продолжающимся (интенсивность</w:t>
      </w:r>
      <w:r w:rsidR="001D4E92" w:rsidRPr="001D4E92">
        <w:t xml:space="preserve">?) </w:t>
      </w:r>
      <w:r w:rsidRPr="001D4E92">
        <w:t>или остановившимся (стабильность гемостаза</w:t>
      </w:r>
      <w:r w:rsidR="001D4E92" w:rsidRPr="001D4E92">
        <w:t xml:space="preserve">?) </w:t>
      </w:r>
    </w:p>
    <w:p w:rsidR="009A15E0" w:rsidRPr="001D4E92" w:rsidRDefault="009A15E0" w:rsidP="001D4E92">
      <w:pPr>
        <w:widowControl w:val="0"/>
        <w:autoSpaceDE w:val="0"/>
        <w:autoSpaceDN w:val="0"/>
        <w:adjustRightInd w:val="0"/>
        <w:ind w:firstLine="709"/>
      </w:pPr>
      <w:r w:rsidRPr="001D4E92">
        <w:t>Эндоскопический гемостаз или его стабилизация</w:t>
      </w:r>
    </w:p>
    <w:p w:rsidR="001D4E92" w:rsidRPr="001D4E92" w:rsidRDefault="009A15E0" w:rsidP="001D4E92">
      <w:pPr>
        <w:widowControl w:val="0"/>
        <w:autoSpaceDE w:val="0"/>
        <w:autoSpaceDN w:val="0"/>
        <w:adjustRightInd w:val="0"/>
        <w:ind w:firstLine="709"/>
      </w:pPr>
      <w:r w:rsidRPr="001D4E92">
        <w:t>Эндоскопия у больного с кровотечением должна быть своевременной, информативной и эффективной</w:t>
      </w:r>
      <w:r w:rsidR="001D4E92" w:rsidRPr="001D4E92">
        <w:t xml:space="preserve">. </w:t>
      </w:r>
    </w:p>
    <w:p w:rsidR="001D4E92" w:rsidRPr="001D4E92" w:rsidRDefault="0067548D" w:rsidP="001D4E92">
      <w:pPr>
        <w:widowControl w:val="0"/>
        <w:autoSpaceDE w:val="0"/>
        <w:autoSpaceDN w:val="0"/>
        <w:adjustRightInd w:val="0"/>
        <w:ind w:firstLine="709"/>
      </w:pPr>
      <w:r w:rsidRPr="001D4E92">
        <w:t>Своевременность</w:t>
      </w:r>
      <w:r w:rsidR="001D4E92" w:rsidRPr="001D4E92">
        <w:t xml:space="preserve">. </w:t>
      </w:r>
      <w:r w:rsidRPr="001D4E92">
        <w:t>Эндоскопическое исследование должно быть проведено в течение 2-х часов с момента госпитализации больного с подозрением на наличие кровотечения</w:t>
      </w:r>
      <w:r w:rsidR="001D4E92" w:rsidRPr="001D4E92">
        <w:t xml:space="preserve">. </w:t>
      </w:r>
      <w:r w:rsidRPr="001D4E92">
        <w:t>Экстренная фиброгастродуоденоскопия (ФГДС</w:t>
      </w:r>
      <w:r w:rsidR="001D4E92" w:rsidRPr="001D4E92">
        <w:t xml:space="preserve">) </w:t>
      </w:r>
      <w:r w:rsidRPr="001D4E92">
        <w:t>выполняется в оборудованном эндоскопическом кабинете, при необходимости</w:t>
      </w:r>
      <w:r w:rsidR="001D4E92" w:rsidRPr="001D4E92">
        <w:t xml:space="preserve"> - </w:t>
      </w:r>
      <w:r w:rsidRPr="001D4E92">
        <w:t>в операционной или отделении реанимации</w:t>
      </w:r>
      <w:r w:rsidR="001D4E92" w:rsidRPr="001D4E92">
        <w:t xml:space="preserve">. </w:t>
      </w:r>
    </w:p>
    <w:p w:rsidR="001D4E92" w:rsidRPr="001D4E92" w:rsidRDefault="0067548D" w:rsidP="001D4E92">
      <w:pPr>
        <w:widowControl w:val="0"/>
        <w:autoSpaceDE w:val="0"/>
        <w:autoSpaceDN w:val="0"/>
        <w:adjustRightInd w:val="0"/>
        <w:ind w:firstLine="709"/>
      </w:pPr>
      <w:r w:rsidRPr="001D4E92">
        <w:t>Информативность</w:t>
      </w:r>
      <w:r w:rsidR="001D4E92" w:rsidRPr="001D4E92">
        <w:t xml:space="preserve">. </w:t>
      </w:r>
      <w:r w:rsidR="001802C3" w:rsidRPr="001D4E92">
        <w:t>Эндоскопический кабинет должен быть укомплектован эндоскопами с торцевой, боковой или косой оптикой, установкой для электрокоагуляции или другой аппаратурой для гемостаза и набором эндоскопических инструментов</w:t>
      </w:r>
      <w:r w:rsidR="001D4E92" w:rsidRPr="001D4E92">
        <w:t xml:space="preserve">. </w:t>
      </w:r>
      <w:r w:rsidR="001802C3" w:rsidRPr="001D4E92">
        <w:t>Последний включает в себя эндокатетеры, эндоскопические иглы</w:t>
      </w:r>
      <w:r w:rsidR="00D52A9B" w:rsidRPr="001D4E92">
        <w:t>,</w:t>
      </w:r>
      <w:r w:rsidR="001802C3" w:rsidRPr="001D4E92">
        <w:t xml:space="preserve"> эндоэлектроды</w:t>
      </w:r>
      <w:r w:rsidR="00D52A9B" w:rsidRPr="001D4E92">
        <w:t>, эндоклипсы</w:t>
      </w:r>
      <w:r w:rsidR="001D4E92" w:rsidRPr="001D4E92">
        <w:t xml:space="preserve">. </w:t>
      </w:r>
      <w:r w:rsidR="00D52A9B" w:rsidRPr="001D4E92">
        <w:t>В кабинете также должны быть соответствующие препараты для инъекционного и аппликационного гемостаза</w:t>
      </w:r>
      <w:r w:rsidR="00E75FE6" w:rsidRPr="001D4E92">
        <w:t xml:space="preserve"> (адреналин, лифузоль, капрофер и </w:t>
      </w:r>
      <w:r w:rsidR="001D4E92" w:rsidRPr="001D4E92">
        <w:t xml:space="preserve">т.п.). </w:t>
      </w:r>
    </w:p>
    <w:p w:rsidR="001D4E92" w:rsidRPr="001D4E92" w:rsidRDefault="00AD51F2" w:rsidP="001D4E92">
      <w:pPr>
        <w:widowControl w:val="0"/>
        <w:autoSpaceDE w:val="0"/>
        <w:autoSpaceDN w:val="0"/>
        <w:adjustRightInd w:val="0"/>
        <w:ind w:firstLine="709"/>
      </w:pPr>
      <w:r w:rsidRPr="001D4E92">
        <w:t>Для характеристики кровотечения и (или</w:t>
      </w:r>
      <w:r w:rsidR="001D4E92" w:rsidRPr="001D4E92">
        <w:t xml:space="preserve">) </w:t>
      </w:r>
      <w:r w:rsidRPr="001D4E92">
        <w:t>определения риска его рецидива применяется классификация</w:t>
      </w:r>
      <w:r w:rsidR="001D4E92" w:rsidRPr="001D4E92">
        <w:t xml:space="preserve"> </w:t>
      </w:r>
      <w:r w:rsidRPr="001D4E92">
        <w:rPr>
          <w:lang w:val="en-US"/>
        </w:rPr>
        <w:t>J</w:t>
      </w:r>
      <w:r w:rsidR="001D4E92" w:rsidRPr="001D4E92">
        <w:t xml:space="preserve">. </w:t>
      </w:r>
      <w:r w:rsidRPr="001D4E92">
        <w:rPr>
          <w:lang w:val="en-US"/>
        </w:rPr>
        <w:t>Forrest</w:t>
      </w:r>
      <w:r w:rsidRPr="001D4E92">
        <w:t xml:space="preserve"> (1987</w:t>
      </w:r>
      <w:r w:rsidR="001D4E92" w:rsidRPr="001D4E92">
        <w:t xml:space="preserve">): </w:t>
      </w:r>
    </w:p>
    <w:p w:rsidR="00AD51F2" w:rsidRPr="001D4E92" w:rsidRDefault="00AD51F2" w:rsidP="001D4E92">
      <w:pPr>
        <w:widowControl w:val="0"/>
        <w:autoSpaceDE w:val="0"/>
        <w:autoSpaceDN w:val="0"/>
        <w:adjustRightInd w:val="0"/>
        <w:ind w:firstLine="709"/>
      </w:pPr>
      <w:r w:rsidRPr="001D4E92">
        <w:t>Продолжающееся кровотечение (кровотечение в ходу</w:t>
      </w:r>
      <w:r w:rsidR="001D4E92" w:rsidRPr="001D4E92">
        <w:t xml:space="preserve">) </w:t>
      </w:r>
    </w:p>
    <w:p w:rsidR="00AD51F2" w:rsidRPr="001D4E92" w:rsidRDefault="00AD51F2" w:rsidP="001D4E92">
      <w:pPr>
        <w:widowControl w:val="0"/>
        <w:autoSpaceDE w:val="0"/>
        <w:autoSpaceDN w:val="0"/>
        <w:adjustRightInd w:val="0"/>
        <w:ind w:firstLine="709"/>
      </w:pPr>
      <w:r w:rsidRPr="001D4E92">
        <w:rPr>
          <w:lang w:val="en-US"/>
        </w:rPr>
        <w:t>F</w:t>
      </w:r>
      <w:r w:rsidRPr="001D4E92">
        <w:t>-1-</w:t>
      </w:r>
      <w:r w:rsidRPr="001D4E92">
        <w:rPr>
          <w:lang w:val="en-US"/>
        </w:rPr>
        <w:t>a</w:t>
      </w:r>
      <w:r w:rsidR="001D4E92" w:rsidRPr="001D4E92">
        <w:t xml:space="preserve"> </w:t>
      </w:r>
      <w:r w:rsidRPr="001D4E92">
        <w:t>Струйное, пульсирующее, артериальное кровотечение</w:t>
      </w:r>
      <w:r w:rsidR="001802C3" w:rsidRPr="001D4E92">
        <w:t xml:space="preserve"> </w:t>
      </w:r>
    </w:p>
    <w:p w:rsidR="001D4E92" w:rsidRPr="001D4E92" w:rsidRDefault="00AD51F2" w:rsidP="001D4E92">
      <w:pPr>
        <w:widowControl w:val="0"/>
        <w:autoSpaceDE w:val="0"/>
        <w:autoSpaceDN w:val="0"/>
        <w:adjustRightInd w:val="0"/>
        <w:ind w:firstLine="709"/>
      </w:pPr>
      <w:r w:rsidRPr="001D4E92">
        <w:rPr>
          <w:lang w:val="en-US"/>
        </w:rPr>
        <w:t>F</w:t>
      </w:r>
      <w:r w:rsidRPr="001D4E92">
        <w:t>-1-</w:t>
      </w:r>
      <w:r w:rsidRPr="001D4E92">
        <w:rPr>
          <w:lang w:val="en-US"/>
        </w:rPr>
        <w:t>b</w:t>
      </w:r>
      <w:r w:rsidR="001D4E92" w:rsidRPr="001D4E92">
        <w:t xml:space="preserve"> </w:t>
      </w:r>
      <w:r w:rsidRPr="001D4E92">
        <w:t>Венозное, вялое, паренхиматозное кровотечение</w:t>
      </w:r>
      <w:r w:rsidR="001D4E92" w:rsidRPr="001D4E92">
        <w:t xml:space="preserve"> </w:t>
      </w:r>
    </w:p>
    <w:p w:rsidR="00AD51F2" w:rsidRPr="001D4E92" w:rsidRDefault="00AD51F2" w:rsidP="001D4E92">
      <w:pPr>
        <w:widowControl w:val="0"/>
        <w:autoSpaceDE w:val="0"/>
        <w:autoSpaceDN w:val="0"/>
        <w:adjustRightInd w:val="0"/>
        <w:ind w:firstLine="709"/>
      </w:pPr>
      <w:r w:rsidRPr="001D4E92">
        <w:t>Состоявшееся кровотечение (</w:t>
      </w:r>
      <w:r w:rsidR="00E14648" w:rsidRPr="001D4E92">
        <w:t>нестабильный гемостаз, высокий риск рецидива</w:t>
      </w:r>
      <w:r w:rsidR="001D4E92" w:rsidRPr="001D4E92">
        <w:t xml:space="preserve">) </w:t>
      </w:r>
    </w:p>
    <w:p w:rsidR="00E14648" w:rsidRPr="001D4E92" w:rsidRDefault="00E14648" w:rsidP="001D4E92">
      <w:pPr>
        <w:widowControl w:val="0"/>
        <w:autoSpaceDE w:val="0"/>
        <w:autoSpaceDN w:val="0"/>
        <w:adjustRightInd w:val="0"/>
        <w:ind w:firstLine="709"/>
      </w:pPr>
      <w:r w:rsidRPr="001D4E92">
        <w:rPr>
          <w:lang w:val="en-US"/>
        </w:rPr>
        <w:t>F</w:t>
      </w:r>
      <w:r w:rsidRPr="001D4E92">
        <w:t>-2-</w:t>
      </w:r>
      <w:r w:rsidRPr="001D4E92">
        <w:rPr>
          <w:lang w:val="en-US"/>
        </w:rPr>
        <w:t>a</w:t>
      </w:r>
      <w:r w:rsidR="001D4E92" w:rsidRPr="001D4E92">
        <w:t xml:space="preserve"> </w:t>
      </w:r>
      <w:r w:rsidRPr="001D4E92">
        <w:t>Видимый тромбированный сосуд</w:t>
      </w:r>
    </w:p>
    <w:p w:rsidR="00E14648" w:rsidRPr="001D4E92" w:rsidRDefault="00E14648" w:rsidP="001D4E92">
      <w:pPr>
        <w:widowControl w:val="0"/>
        <w:autoSpaceDE w:val="0"/>
        <w:autoSpaceDN w:val="0"/>
        <w:adjustRightInd w:val="0"/>
        <w:ind w:firstLine="709"/>
      </w:pPr>
      <w:r w:rsidRPr="001D4E92">
        <w:rPr>
          <w:lang w:val="en-US"/>
        </w:rPr>
        <w:t>F</w:t>
      </w:r>
      <w:r w:rsidRPr="001D4E92">
        <w:t>-2-</w:t>
      </w:r>
      <w:r w:rsidRPr="001D4E92">
        <w:rPr>
          <w:lang w:val="en-US"/>
        </w:rPr>
        <w:t>b</w:t>
      </w:r>
      <w:r w:rsidR="001D4E92" w:rsidRPr="001D4E92">
        <w:t xml:space="preserve"> </w:t>
      </w:r>
      <w:r w:rsidRPr="001D4E92">
        <w:t>Фиксированный тромб или сгусток</w:t>
      </w:r>
    </w:p>
    <w:p w:rsidR="001D4E92" w:rsidRPr="001D4E92" w:rsidRDefault="00E14648" w:rsidP="001D4E92">
      <w:pPr>
        <w:widowControl w:val="0"/>
        <w:autoSpaceDE w:val="0"/>
        <w:autoSpaceDN w:val="0"/>
        <w:adjustRightInd w:val="0"/>
        <w:ind w:firstLine="709"/>
      </w:pPr>
      <w:r w:rsidRPr="001D4E92">
        <w:rPr>
          <w:lang w:val="en-US"/>
        </w:rPr>
        <w:t>F</w:t>
      </w:r>
      <w:r w:rsidRPr="001D4E92">
        <w:t>-2-</w:t>
      </w:r>
      <w:r w:rsidRPr="001D4E92">
        <w:rPr>
          <w:lang w:val="en-US"/>
        </w:rPr>
        <w:t>c</w:t>
      </w:r>
      <w:r w:rsidR="001D4E92" w:rsidRPr="001D4E92">
        <w:t xml:space="preserve"> </w:t>
      </w:r>
      <w:r w:rsidRPr="001D4E92">
        <w:t>Геморрагическое пропитывание дна язвы</w:t>
      </w:r>
    </w:p>
    <w:p w:rsidR="00E14648" w:rsidRPr="001D4E92" w:rsidRDefault="00E14648" w:rsidP="001D4E92">
      <w:pPr>
        <w:widowControl w:val="0"/>
        <w:autoSpaceDE w:val="0"/>
        <w:autoSpaceDN w:val="0"/>
        <w:adjustRightInd w:val="0"/>
        <w:ind w:firstLine="709"/>
      </w:pPr>
      <w:r w:rsidRPr="001D4E92">
        <w:t>Состоявшееся кровотечение (стабильный гемостаз, низкий риск рецидива</w:t>
      </w:r>
      <w:r w:rsidR="001D4E92" w:rsidRPr="001D4E92">
        <w:t xml:space="preserve">) </w:t>
      </w:r>
    </w:p>
    <w:p w:rsidR="001D4E92" w:rsidRPr="001D4E92" w:rsidRDefault="00E14648" w:rsidP="001D4E92">
      <w:pPr>
        <w:widowControl w:val="0"/>
        <w:autoSpaceDE w:val="0"/>
        <w:autoSpaceDN w:val="0"/>
        <w:adjustRightInd w:val="0"/>
        <w:ind w:firstLine="709"/>
      </w:pPr>
      <w:r w:rsidRPr="001D4E92">
        <w:rPr>
          <w:lang w:val="en-US"/>
        </w:rPr>
        <w:t>F</w:t>
      </w:r>
      <w:r w:rsidRPr="001D4E92">
        <w:t>-3</w:t>
      </w:r>
      <w:r w:rsidR="001D4E92" w:rsidRPr="001D4E92">
        <w:t xml:space="preserve"> </w:t>
      </w:r>
      <w:r w:rsidRPr="001D4E92">
        <w:t>Чистое дно язвы, отсутствие визуальных вышеперечисленных признаков</w:t>
      </w:r>
    </w:p>
    <w:p w:rsidR="005A2DF3" w:rsidRPr="001D4E92" w:rsidRDefault="00E14648" w:rsidP="001D4E92">
      <w:pPr>
        <w:widowControl w:val="0"/>
        <w:autoSpaceDE w:val="0"/>
        <w:autoSpaceDN w:val="0"/>
        <w:adjustRightInd w:val="0"/>
        <w:ind w:firstLine="709"/>
      </w:pPr>
      <w:r w:rsidRPr="001D4E92">
        <w:t>Эффективность</w:t>
      </w:r>
      <w:r w:rsidR="001D4E92" w:rsidRPr="001D4E92">
        <w:t xml:space="preserve">. </w:t>
      </w:r>
      <w:r w:rsidRPr="001D4E92">
        <w:t xml:space="preserve">При </w:t>
      </w:r>
      <w:r w:rsidR="001D4E92" w:rsidRPr="001D4E92">
        <w:t>"</w:t>
      </w:r>
      <w:r w:rsidRPr="001D4E92">
        <w:t>кровотечении в ходу</w:t>
      </w:r>
      <w:r w:rsidR="001D4E92" w:rsidRPr="001D4E92">
        <w:t>"</w:t>
      </w:r>
      <w:r w:rsidRPr="001D4E92">
        <w:t xml:space="preserve"> или при высоком риске рецидива врач-эндоскопист должен применить все доступные способы эндоскопического гемостаза или </w:t>
      </w:r>
      <w:r w:rsidR="005A2DF3" w:rsidRPr="001D4E92">
        <w:t>его стабилизации</w:t>
      </w:r>
      <w:r w:rsidR="001D4E92" w:rsidRPr="001D4E92">
        <w:t xml:space="preserve">. </w:t>
      </w:r>
      <w:r w:rsidR="005A2DF3" w:rsidRPr="001D4E92">
        <w:t>Как показывает практика, эффективность эндоскопического гемостаза кроме прочего зависит от основной специальности врача, выполняющего эндоскопию</w:t>
      </w:r>
      <w:r w:rsidR="001D4E92" w:rsidRPr="001D4E92">
        <w:t xml:space="preserve">. </w:t>
      </w:r>
      <w:r w:rsidR="005A2DF3" w:rsidRPr="001D4E92">
        <w:t>Большего успеха достигают эндоскописты-хирурги</w:t>
      </w:r>
      <w:r w:rsidR="001D4E92" w:rsidRPr="001D4E92">
        <w:t xml:space="preserve">. </w:t>
      </w:r>
    </w:p>
    <w:p w:rsidR="00885783" w:rsidRPr="001D4E92" w:rsidRDefault="00885783" w:rsidP="001D4E92">
      <w:pPr>
        <w:widowControl w:val="0"/>
        <w:autoSpaceDE w:val="0"/>
        <w:autoSpaceDN w:val="0"/>
        <w:adjustRightInd w:val="0"/>
        <w:ind w:firstLine="709"/>
      </w:pPr>
      <w:r w:rsidRPr="001D4E92">
        <w:t>Виды эндоскопического гемостаза</w:t>
      </w:r>
      <w:r w:rsidR="001D4E92" w:rsidRPr="001D4E92">
        <w:t xml:space="preserve">: </w:t>
      </w:r>
    </w:p>
    <w:p w:rsidR="00885783" w:rsidRPr="001D4E92" w:rsidRDefault="003747E4" w:rsidP="001D4E92">
      <w:pPr>
        <w:widowControl w:val="0"/>
        <w:autoSpaceDE w:val="0"/>
        <w:autoSpaceDN w:val="0"/>
        <w:adjustRightInd w:val="0"/>
        <w:ind w:firstLine="709"/>
      </w:pPr>
      <w:r w:rsidRPr="001D4E92">
        <w:t>Аппликационный</w:t>
      </w:r>
      <w:r w:rsidR="001D4E92" w:rsidRPr="001D4E92">
        <w:t xml:space="preserve">. </w:t>
      </w:r>
      <w:r w:rsidRPr="001D4E92">
        <w:t>Область язвы орошается раствором адреналина, 5% аминокапроновой кислотой, нитратом серебра, колларголом, капрофером</w:t>
      </w:r>
      <w:r w:rsidR="001D4E92" w:rsidRPr="001D4E92">
        <w:t xml:space="preserve">. </w:t>
      </w:r>
      <w:r w:rsidRPr="001D4E92">
        <w:t>Аппликация язвы проводится ме</w:t>
      </w:r>
      <w:r w:rsidR="00E75FE6" w:rsidRPr="001D4E92">
        <w:t>д</w:t>
      </w:r>
      <w:r w:rsidRPr="001D4E92">
        <w:t>ицинскими пленкообразующими полимерами</w:t>
      </w:r>
      <w:r w:rsidR="00E75FE6" w:rsidRPr="001D4E92">
        <w:t xml:space="preserve"> (лифузоль, </w:t>
      </w:r>
      <w:r w:rsidR="005E5640" w:rsidRPr="001D4E92">
        <w:t>гастрозоль, клей МК-6 (-7,</w:t>
      </w:r>
      <w:r w:rsidR="001D4E92" w:rsidRPr="001D4E92">
        <w:t xml:space="preserve"> - </w:t>
      </w:r>
      <w:r w:rsidR="005E5640" w:rsidRPr="001D4E92">
        <w:t>8</w:t>
      </w:r>
      <w:r w:rsidR="001D4E92" w:rsidRPr="001D4E92">
        <w:t>),</w:t>
      </w:r>
      <w:r w:rsidR="005E5640" w:rsidRPr="001D4E92">
        <w:t xml:space="preserve"> клей МВ</w:t>
      </w:r>
      <w:r w:rsidR="00E75FE6" w:rsidRPr="001D4E92">
        <w:t xml:space="preserve"> 4197</w:t>
      </w:r>
      <w:r w:rsidR="005E5640" w:rsidRPr="001D4E92">
        <w:t xml:space="preserve"> и </w:t>
      </w:r>
      <w:r w:rsidR="001D4E92">
        <w:t>др.)</w:t>
      </w:r>
      <w:r w:rsidR="001D4E92" w:rsidRPr="001D4E92">
        <w:t xml:space="preserve">. </w:t>
      </w:r>
    </w:p>
    <w:p w:rsidR="003747E4" w:rsidRPr="001D4E92" w:rsidRDefault="00BC7C8B" w:rsidP="001D4E92">
      <w:pPr>
        <w:widowControl w:val="0"/>
        <w:autoSpaceDE w:val="0"/>
        <w:autoSpaceDN w:val="0"/>
        <w:adjustRightInd w:val="0"/>
        <w:ind w:firstLine="709"/>
      </w:pPr>
      <w:r w:rsidRPr="001D4E92">
        <w:t>Инъекционный</w:t>
      </w:r>
      <w:r w:rsidR="001D4E92" w:rsidRPr="001D4E92">
        <w:t xml:space="preserve">. </w:t>
      </w:r>
      <w:r w:rsidRPr="001D4E92">
        <w:t>Язва обкалывается из 2-5 точек</w:t>
      </w:r>
      <w:r w:rsidR="001D4E92" w:rsidRPr="001D4E92">
        <w:t xml:space="preserve">. </w:t>
      </w:r>
      <w:r w:rsidRPr="001D4E92">
        <w:t>Для этого используется 70% спирт</w:t>
      </w:r>
      <w:r w:rsidR="005E5640" w:rsidRPr="001D4E92">
        <w:t>, раствор адреналина, 3% тромбовар и др</w:t>
      </w:r>
      <w:r w:rsidR="001D4E92" w:rsidRPr="001D4E92">
        <w:t xml:space="preserve">. </w:t>
      </w:r>
    </w:p>
    <w:p w:rsidR="00BC7C8B" w:rsidRPr="001D4E92" w:rsidRDefault="00BC7C8B" w:rsidP="001D4E92">
      <w:pPr>
        <w:widowControl w:val="0"/>
        <w:autoSpaceDE w:val="0"/>
        <w:autoSpaceDN w:val="0"/>
        <w:adjustRightInd w:val="0"/>
        <w:ind w:firstLine="709"/>
      </w:pPr>
      <w:r w:rsidRPr="001D4E92">
        <w:t>Коагуляционный</w:t>
      </w:r>
      <w:r w:rsidR="001D4E92" w:rsidRPr="001D4E92">
        <w:t xml:space="preserve">. </w:t>
      </w:r>
      <w:r w:rsidRPr="001D4E92">
        <w:t>Электрокоагуляция производится моно</w:t>
      </w:r>
      <w:r w:rsidR="001D4E92" w:rsidRPr="001D4E92">
        <w:t xml:space="preserve"> - </w:t>
      </w:r>
      <w:r w:rsidRPr="001D4E92">
        <w:t>или биполярным</w:t>
      </w:r>
      <w:r w:rsidR="005E5640" w:rsidRPr="001D4E92">
        <w:t>и</w:t>
      </w:r>
      <w:r w:rsidRPr="001D4E92">
        <w:t xml:space="preserve"> электрод</w:t>
      </w:r>
      <w:r w:rsidR="005E5640" w:rsidRPr="001D4E92">
        <w:t>а</w:t>
      </w:r>
      <w:r w:rsidRPr="001D4E92">
        <w:t>м</w:t>
      </w:r>
      <w:r w:rsidR="005E5640" w:rsidRPr="001D4E92">
        <w:t>и</w:t>
      </w:r>
      <w:r w:rsidRPr="001D4E92">
        <w:t xml:space="preserve"> от периферии язвы к центру</w:t>
      </w:r>
      <w:r w:rsidR="001D4E92" w:rsidRPr="001D4E92">
        <w:t xml:space="preserve">. </w:t>
      </w:r>
      <w:r w:rsidRPr="001D4E92">
        <w:t>При использовании аргоноплазменной коагуляции поток плазмы направляется на источник кровотечения</w:t>
      </w:r>
      <w:r w:rsidR="001D4E92" w:rsidRPr="001D4E92">
        <w:t xml:space="preserve">. </w:t>
      </w:r>
    </w:p>
    <w:p w:rsidR="00CE363D" w:rsidRPr="001D4E92" w:rsidRDefault="00CE363D" w:rsidP="001D4E92">
      <w:pPr>
        <w:widowControl w:val="0"/>
        <w:autoSpaceDE w:val="0"/>
        <w:autoSpaceDN w:val="0"/>
        <w:adjustRightInd w:val="0"/>
        <w:ind w:firstLine="709"/>
      </w:pPr>
      <w:r w:rsidRPr="001D4E92">
        <w:t>Фотокоагуляционный</w:t>
      </w:r>
      <w:r w:rsidR="001D4E92" w:rsidRPr="001D4E92">
        <w:t xml:space="preserve">. </w:t>
      </w:r>
      <w:r w:rsidRPr="001D4E92">
        <w:t>На кровоточащую язву воздействует сфокусированный поток лазерного излучения</w:t>
      </w:r>
      <w:r w:rsidR="001D4E92" w:rsidRPr="001D4E92">
        <w:t xml:space="preserve">. </w:t>
      </w:r>
    </w:p>
    <w:p w:rsidR="00913D3E" w:rsidRPr="001D4E92" w:rsidRDefault="00913D3E" w:rsidP="001D4E92">
      <w:pPr>
        <w:widowControl w:val="0"/>
        <w:autoSpaceDE w:val="0"/>
        <w:autoSpaceDN w:val="0"/>
        <w:adjustRightInd w:val="0"/>
        <w:ind w:firstLine="709"/>
      </w:pPr>
      <w:r w:rsidRPr="001D4E92">
        <w:t>Криокоагуляция</w:t>
      </w:r>
      <w:r w:rsidR="001D4E92" w:rsidRPr="001D4E92">
        <w:t xml:space="preserve">. </w:t>
      </w:r>
      <w:r w:rsidRPr="001D4E92">
        <w:t>Проводится криоэлектрокоагулятором</w:t>
      </w:r>
      <w:r w:rsidR="001D4E92" w:rsidRPr="001D4E92">
        <w:t xml:space="preserve">. </w:t>
      </w:r>
      <w:r w:rsidRPr="001D4E92">
        <w:t>По зонду через биопсийный канал прицельно распыляется хлодагент (френон</w:t>
      </w:r>
      <w:r w:rsidR="001D4E92" w:rsidRPr="001D4E92">
        <w:t>),</w:t>
      </w:r>
      <w:r w:rsidRPr="001D4E92">
        <w:t xml:space="preserve"> имеющий температуру</w:t>
      </w:r>
      <w:r w:rsidR="001D4E92" w:rsidRPr="001D4E92">
        <w:t xml:space="preserve"> - </w:t>
      </w:r>
      <w:r w:rsidRPr="001D4E92">
        <w:t>30 С</w:t>
      </w:r>
      <w:r w:rsidR="001D4E92" w:rsidRPr="001D4E92">
        <w:t xml:space="preserve">. </w:t>
      </w:r>
    </w:p>
    <w:p w:rsidR="00CE363D" w:rsidRPr="001D4E92" w:rsidRDefault="00CE363D" w:rsidP="001D4E92">
      <w:pPr>
        <w:widowControl w:val="0"/>
        <w:autoSpaceDE w:val="0"/>
        <w:autoSpaceDN w:val="0"/>
        <w:adjustRightInd w:val="0"/>
        <w:ind w:firstLine="709"/>
      </w:pPr>
      <w:r w:rsidRPr="001D4E92">
        <w:t>Клипирование</w:t>
      </w:r>
      <w:r w:rsidR="001D4E92" w:rsidRPr="001D4E92">
        <w:t xml:space="preserve">. </w:t>
      </w:r>
      <w:r w:rsidRPr="001D4E92">
        <w:t>С помощью эндоклипатора производят наложение клипсы на кровоточащий сосуд в язве</w:t>
      </w:r>
      <w:r w:rsidR="001D4E92" w:rsidRPr="001D4E92">
        <w:t xml:space="preserve">. </w:t>
      </w:r>
    </w:p>
    <w:p w:rsidR="001D4E92" w:rsidRPr="001D4E92" w:rsidRDefault="00CE363D" w:rsidP="001D4E92">
      <w:pPr>
        <w:widowControl w:val="0"/>
        <w:autoSpaceDE w:val="0"/>
        <w:autoSpaceDN w:val="0"/>
        <w:adjustRightInd w:val="0"/>
        <w:ind w:firstLine="709"/>
      </w:pPr>
      <w:r w:rsidRPr="001D4E92">
        <w:t>Комбинированные способы</w:t>
      </w:r>
      <w:r w:rsidR="001D4E92" w:rsidRPr="001D4E92">
        <w:t xml:space="preserve">. </w:t>
      </w:r>
      <w:r w:rsidRPr="001D4E92">
        <w:t>При этом сочетают различные виды эндоскопического гемостаза</w:t>
      </w:r>
      <w:r w:rsidR="001D4E92" w:rsidRPr="001D4E92">
        <w:t xml:space="preserve">. </w:t>
      </w:r>
    </w:p>
    <w:p w:rsidR="001D4E92" w:rsidRDefault="00CE363D" w:rsidP="001D4E92">
      <w:pPr>
        <w:widowControl w:val="0"/>
        <w:autoSpaceDE w:val="0"/>
        <w:autoSpaceDN w:val="0"/>
        <w:adjustRightInd w:val="0"/>
        <w:ind w:firstLine="709"/>
      </w:pPr>
      <w:r w:rsidRPr="001D4E92">
        <w:t>При нестабильном гемостазе через 6-12 часов проводится контрольное эндоскопическое исследование</w:t>
      </w:r>
      <w:r w:rsidR="00A02811" w:rsidRPr="001D4E92">
        <w:t>, при необходимости</w:t>
      </w:r>
      <w:r w:rsidR="001D4E92" w:rsidRPr="001D4E92">
        <w:t xml:space="preserve"> - </w:t>
      </w:r>
      <w:r w:rsidR="00A02811" w:rsidRPr="001D4E92">
        <w:t>повторный гемостаз</w:t>
      </w:r>
      <w:r w:rsidRPr="001D4E92">
        <w:t xml:space="preserve"> и решается вопрос о дальнейшей лечебной стратегии (продолжение консервативной терапии или срочное хирургическое лечение</w:t>
      </w:r>
      <w:r w:rsidR="001D4E92" w:rsidRPr="001D4E92">
        <w:t xml:space="preserve">). </w:t>
      </w:r>
    </w:p>
    <w:p w:rsidR="00B03803" w:rsidRPr="001D4E92" w:rsidRDefault="002D3C59" w:rsidP="001D4E92">
      <w:pPr>
        <w:widowControl w:val="0"/>
        <w:autoSpaceDE w:val="0"/>
        <w:autoSpaceDN w:val="0"/>
        <w:adjustRightInd w:val="0"/>
        <w:ind w:firstLine="709"/>
      </w:pPr>
      <w:r w:rsidRPr="001D4E92">
        <w:t>Считаем уместным напомнить о</w:t>
      </w:r>
      <w:r w:rsidR="004D6BD0" w:rsidRPr="001D4E92">
        <w:t>сновные м</w:t>
      </w:r>
      <w:r w:rsidR="00B03803" w:rsidRPr="001D4E92">
        <w:t>еханизмы спонтанного гемостаза</w:t>
      </w:r>
      <w:r w:rsidR="005E5640" w:rsidRPr="001D4E92">
        <w:t xml:space="preserve"> при язвенных кровотечениях</w:t>
      </w:r>
      <w:r w:rsidRPr="001D4E92">
        <w:t>, к ним относятся</w:t>
      </w:r>
      <w:r w:rsidR="001D4E92" w:rsidRPr="001D4E92">
        <w:t xml:space="preserve">: </w:t>
      </w:r>
    </w:p>
    <w:p w:rsidR="00B03803" w:rsidRPr="001D4E92" w:rsidRDefault="00B03803" w:rsidP="001D4E92">
      <w:pPr>
        <w:widowControl w:val="0"/>
        <w:autoSpaceDE w:val="0"/>
        <w:autoSpaceDN w:val="0"/>
        <w:adjustRightInd w:val="0"/>
        <w:ind w:firstLine="709"/>
      </w:pPr>
      <w:r w:rsidRPr="001D4E92">
        <w:t>Тромбирование кровоточащего сосуда (тромбообразование в язве</w:t>
      </w:r>
      <w:r w:rsidR="001D4E92" w:rsidRPr="001D4E92">
        <w:t xml:space="preserve">) </w:t>
      </w:r>
    </w:p>
    <w:p w:rsidR="00735366" w:rsidRPr="001D4E92" w:rsidRDefault="00B03803" w:rsidP="001D4E92">
      <w:pPr>
        <w:widowControl w:val="0"/>
        <w:autoSpaceDE w:val="0"/>
        <w:autoSpaceDN w:val="0"/>
        <w:adjustRightInd w:val="0"/>
        <w:ind w:firstLine="709"/>
      </w:pPr>
      <w:r w:rsidRPr="001D4E92">
        <w:t>Спазм периферического сосудистого русла (централизация кровообращения</w:t>
      </w:r>
      <w:r w:rsidR="001D4E92" w:rsidRPr="001D4E92">
        <w:t xml:space="preserve">) </w:t>
      </w:r>
    </w:p>
    <w:p w:rsidR="00B03803" w:rsidRPr="001D4E92" w:rsidRDefault="004D6BD0" w:rsidP="001D4E92">
      <w:pPr>
        <w:widowControl w:val="0"/>
        <w:autoSpaceDE w:val="0"/>
        <w:autoSpaceDN w:val="0"/>
        <w:adjustRightInd w:val="0"/>
        <w:ind w:firstLine="709"/>
      </w:pPr>
      <w:r w:rsidRPr="001D4E92">
        <w:t>Гипотония</w:t>
      </w:r>
    </w:p>
    <w:p w:rsidR="004D6BD0" w:rsidRPr="001D4E92" w:rsidRDefault="002D3C59" w:rsidP="001D4E92">
      <w:pPr>
        <w:widowControl w:val="0"/>
        <w:autoSpaceDE w:val="0"/>
        <w:autoSpaceDN w:val="0"/>
        <w:adjustRightInd w:val="0"/>
        <w:ind w:firstLine="709"/>
      </w:pPr>
      <w:r w:rsidRPr="001D4E92">
        <w:t>После достижения спонтанного гемостаза, при отсутствии должной его стабилизации у 20-30% больных может возникнуть рецидив кровотечения</w:t>
      </w:r>
      <w:r w:rsidR="001D4E92" w:rsidRPr="001D4E92">
        <w:t xml:space="preserve">. </w:t>
      </w:r>
    </w:p>
    <w:p w:rsidR="004D6BD0" w:rsidRPr="001D4E92" w:rsidRDefault="004D6BD0" w:rsidP="001D4E92">
      <w:pPr>
        <w:widowControl w:val="0"/>
        <w:autoSpaceDE w:val="0"/>
        <w:autoSpaceDN w:val="0"/>
        <w:adjustRightInd w:val="0"/>
        <w:ind w:firstLine="709"/>
      </w:pPr>
      <w:r w:rsidRPr="001D4E92">
        <w:t>Основные причины рецидива кровотечения</w:t>
      </w:r>
      <w:r w:rsidR="001D4E92" w:rsidRPr="001D4E92">
        <w:t xml:space="preserve">: </w:t>
      </w:r>
    </w:p>
    <w:p w:rsidR="00D37288" w:rsidRDefault="00D37288" w:rsidP="001D4E92">
      <w:pPr>
        <w:widowControl w:val="0"/>
        <w:autoSpaceDE w:val="0"/>
        <w:autoSpaceDN w:val="0"/>
        <w:adjustRightInd w:val="0"/>
        <w:ind w:firstLine="709"/>
      </w:pPr>
    </w:p>
    <w:p w:rsidR="004D6BD0" w:rsidRPr="001D4E92" w:rsidRDefault="004D6BD0" w:rsidP="00D37288">
      <w:pPr>
        <w:pStyle w:val="2"/>
      </w:pPr>
      <w:r w:rsidRPr="001D4E92">
        <w:t xml:space="preserve">Коагулопатия </w:t>
      </w:r>
      <w:r w:rsidR="00805CED" w:rsidRPr="001D4E92">
        <w:t>как следствие массивной кровопотери</w:t>
      </w:r>
    </w:p>
    <w:p w:rsidR="00D37288" w:rsidRDefault="00D37288" w:rsidP="001D4E92">
      <w:pPr>
        <w:widowControl w:val="0"/>
        <w:autoSpaceDE w:val="0"/>
        <w:autoSpaceDN w:val="0"/>
        <w:adjustRightInd w:val="0"/>
        <w:ind w:firstLine="709"/>
      </w:pPr>
    </w:p>
    <w:p w:rsidR="004D6BD0" w:rsidRPr="001D4E92" w:rsidRDefault="004D6BD0" w:rsidP="001D4E92">
      <w:pPr>
        <w:widowControl w:val="0"/>
        <w:autoSpaceDE w:val="0"/>
        <w:autoSpaceDN w:val="0"/>
        <w:adjustRightInd w:val="0"/>
        <w:ind w:firstLine="709"/>
      </w:pPr>
      <w:r w:rsidRPr="001D4E92">
        <w:t>Пептический лизис тромботических масс</w:t>
      </w:r>
      <w:r w:rsidR="00805CED" w:rsidRPr="001D4E92">
        <w:t xml:space="preserve"> и</w:t>
      </w:r>
      <w:r w:rsidR="002C3372" w:rsidRPr="001D4E92">
        <w:t xml:space="preserve"> дальнейшее прогрессирование изъязвления</w:t>
      </w:r>
    </w:p>
    <w:p w:rsidR="001D4E92" w:rsidRPr="001D4E92" w:rsidRDefault="004D6BD0" w:rsidP="001D4E92">
      <w:pPr>
        <w:widowControl w:val="0"/>
        <w:autoSpaceDE w:val="0"/>
        <w:autoSpaceDN w:val="0"/>
        <w:adjustRightInd w:val="0"/>
        <w:ind w:firstLine="709"/>
      </w:pPr>
      <w:r w:rsidRPr="001D4E92">
        <w:t>Повышение АД (чрезмерная инфузионная терапия</w:t>
      </w:r>
      <w:r w:rsidR="002D3C59" w:rsidRPr="001D4E92">
        <w:t>, излишняя двигательная активность больного</w:t>
      </w:r>
      <w:r w:rsidR="001D4E92" w:rsidRPr="001D4E92">
        <w:t xml:space="preserve">) </w:t>
      </w:r>
    </w:p>
    <w:p w:rsidR="001D4E92" w:rsidRDefault="004D6BD0" w:rsidP="001D4E92">
      <w:pPr>
        <w:widowControl w:val="0"/>
        <w:autoSpaceDE w:val="0"/>
        <w:autoSpaceDN w:val="0"/>
        <w:adjustRightInd w:val="0"/>
        <w:ind w:firstLine="709"/>
      </w:pPr>
      <w:r w:rsidRPr="001D4E92">
        <w:t>Методы нехирургического гемостаза, не нарушая его спонтанных механизмов, должны обеспечивать достижение устойчивой остановки кровотечения местным воздействием на язвенный дефект, кровоточащий сосуд, общим воздействием на организм больного</w:t>
      </w:r>
      <w:r w:rsidR="001D4E92" w:rsidRPr="001D4E92">
        <w:t xml:space="preserve">. </w:t>
      </w:r>
    </w:p>
    <w:p w:rsidR="001D4E92" w:rsidRPr="001D4E92" w:rsidRDefault="002D3C59" w:rsidP="001D4E92">
      <w:pPr>
        <w:widowControl w:val="0"/>
        <w:autoSpaceDE w:val="0"/>
        <w:autoSpaceDN w:val="0"/>
        <w:adjustRightInd w:val="0"/>
        <w:ind w:firstLine="709"/>
      </w:pPr>
      <w:r w:rsidRPr="001D4E92">
        <w:t>Местные воздействия подразумевают прежде всего эндоскопические методы гемостаза</w:t>
      </w:r>
      <w:r w:rsidR="006B09C6" w:rsidRPr="001D4E92">
        <w:t>, которые должны осуществляться в ближайшее время от поступления больного</w:t>
      </w:r>
      <w:r w:rsidR="001D4E92" w:rsidRPr="001D4E92">
        <w:t xml:space="preserve">. </w:t>
      </w:r>
      <w:r w:rsidR="006B09C6" w:rsidRPr="001D4E92">
        <w:t>В практике областного здравоохранения наиболее широкое применение получили следующие методы</w:t>
      </w:r>
      <w:r w:rsidR="001D4E92" w:rsidRPr="001D4E92">
        <w:t xml:space="preserve">: </w:t>
      </w:r>
      <w:r w:rsidR="006B09C6" w:rsidRPr="001D4E92">
        <w:t>аппликационный, инъекционный, электрокоагуляционный, фотокоагуляционый и комбинированный (сочетание электрокоагуляции и аппликации язвы</w:t>
      </w:r>
      <w:r w:rsidR="002C3372" w:rsidRPr="001D4E92">
        <w:t xml:space="preserve"> копрофером или пленкообразующими составами</w:t>
      </w:r>
      <w:r w:rsidR="001D4E92" w:rsidRPr="001D4E92">
        <w:t xml:space="preserve">; </w:t>
      </w:r>
      <w:r w:rsidR="002C3372" w:rsidRPr="001D4E92">
        <w:t>инъекционного и аппликационного методов</w:t>
      </w:r>
      <w:r w:rsidR="001D4E92" w:rsidRPr="001D4E92">
        <w:t xml:space="preserve">; </w:t>
      </w:r>
      <w:r w:rsidR="002C3372" w:rsidRPr="001D4E92">
        <w:t>инъекционного метода и фото</w:t>
      </w:r>
      <w:r w:rsidR="001D4E92" w:rsidRPr="001D4E92">
        <w:t xml:space="preserve"> - </w:t>
      </w:r>
      <w:r w:rsidR="002C3372" w:rsidRPr="001D4E92">
        <w:t>или электрокоагуляции</w:t>
      </w:r>
      <w:r w:rsidR="001D4E92" w:rsidRPr="001D4E92">
        <w:t xml:space="preserve">). </w:t>
      </w:r>
    </w:p>
    <w:p w:rsidR="001D4E92" w:rsidRPr="001D4E92" w:rsidRDefault="002C3372" w:rsidP="001D4E92">
      <w:pPr>
        <w:widowControl w:val="0"/>
        <w:autoSpaceDE w:val="0"/>
        <w:autoSpaceDN w:val="0"/>
        <w:adjustRightInd w:val="0"/>
        <w:ind w:firstLine="709"/>
      </w:pPr>
      <w:r w:rsidRPr="001D4E92">
        <w:t>Фармакологический гемостаз включает коррекцию гиповолемических нарушений</w:t>
      </w:r>
      <w:r w:rsidR="001D4E92" w:rsidRPr="001D4E92">
        <w:t xml:space="preserve">. </w:t>
      </w:r>
      <w:r w:rsidR="006B1BB5" w:rsidRPr="001D4E92">
        <w:t>К</w:t>
      </w:r>
      <w:r w:rsidRPr="001D4E92">
        <w:t>ровопотер</w:t>
      </w:r>
      <w:r w:rsidR="006B1BB5" w:rsidRPr="001D4E92">
        <w:t>ю</w:t>
      </w:r>
      <w:r w:rsidRPr="001D4E92">
        <w:t xml:space="preserve"> тяжелой степени (</w:t>
      </w:r>
      <w:r w:rsidR="006B1BB5" w:rsidRPr="001D4E92">
        <w:t>более 25-30% ОЦК</w:t>
      </w:r>
      <w:r w:rsidR="001D4E92" w:rsidRPr="001D4E92">
        <w:t xml:space="preserve">) </w:t>
      </w:r>
      <w:r w:rsidR="006B1BB5" w:rsidRPr="001D4E92">
        <w:t>следует рассматривать как коагулопатию потребления, включая в инфузионную программу трансфузию свежезамороженной плазмы</w:t>
      </w:r>
      <w:r w:rsidR="001D4E92" w:rsidRPr="001D4E92">
        <w:t xml:space="preserve">. </w:t>
      </w:r>
      <w:r w:rsidR="006B1BB5" w:rsidRPr="001D4E92">
        <w:t>При выраженной постгеморрагической анемии (</w:t>
      </w:r>
      <w:r w:rsidR="006B1BB5" w:rsidRPr="001D4E92">
        <w:rPr>
          <w:lang w:val="en-US"/>
        </w:rPr>
        <w:t>Hb</w:t>
      </w:r>
      <w:r w:rsidR="006B1BB5" w:rsidRPr="001D4E92">
        <w:t xml:space="preserve"> &lt; 80 г</w:t>
      </w:r>
      <w:r w:rsidR="001D4E92" w:rsidRPr="001D4E92">
        <w:t xml:space="preserve"> / </w:t>
      </w:r>
      <w:r w:rsidR="006B1BB5" w:rsidRPr="001D4E92">
        <w:t>л</w:t>
      </w:r>
      <w:r w:rsidR="001D4E92" w:rsidRPr="001D4E92">
        <w:t xml:space="preserve">) </w:t>
      </w:r>
      <w:r w:rsidR="006B1BB5" w:rsidRPr="001D4E92">
        <w:t>производится гемокоррекция эритроцитарной массой</w:t>
      </w:r>
      <w:r w:rsidR="001D4E92" w:rsidRPr="001D4E92">
        <w:t xml:space="preserve">. </w:t>
      </w:r>
      <w:r w:rsidR="006B1BB5" w:rsidRPr="001D4E92">
        <w:t>У пациентов молодого и среднего возраста без выраженной соматической патологии инфузионн</w:t>
      </w:r>
      <w:r w:rsidR="00EE175C" w:rsidRPr="001D4E92">
        <w:t>ая</w:t>
      </w:r>
      <w:r w:rsidR="006B1BB5" w:rsidRPr="001D4E92">
        <w:t xml:space="preserve"> программ</w:t>
      </w:r>
      <w:r w:rsidR="00EE175C" w:rsidRPr="001D4E92">
        <w:t>а</w:t>
      </w:r>
      <w:r w:rsidR="006B1BB5" w:rsidRPr="001D4E92">
        <w:t xml:space="preserve"> должн</w:t>
      </w:r>
      <w:r w:rsidR="00EE175C" w:rsidRPr="001D4E92">
        <w:t>а</w:t>
      </w:r>
      <w:r w:rsidR="006B1BB5" w:rsidRPr="001D4E92">
        <w:t xml:space="preserve"> обеспечивать режим управляемой гипотонии как один из </w:t>
      </w:r>
      <w:r w:rsidR="00EE175C" w:rsidRPr="001D4E92">
        <w:t>существенны</w:t>
      </w:r>
      <w:r w:rsidR="006B1BB5" w:rsidRPr="001D4E92">
        <w:t>х механизмов гемостаза</w:t>
      </w:r>
      <w:r w:rsidR="001D4E92" w:rsidRPr="001D4E92">
        <w:t xml:space="preserve">. </w:t>
      </w:r>
    </w:p>
    <w:p w:rsidR="001D4E92" w:rsidRPr="001D4E92" w:rsidRDefault="00EE175C" w:rsidP="001D4E92">
      <w:pPr>
        <w:widowControl w:val="0"/>
        <w:autoSpaceDE w:val="0"/>
        <w:autoSpaceDN w:val="0"/>
        <w:adjustRightInd w:val="0"/>
        <w:ind w:firstLine="709"/>
      </w:pPr>
      <w:r w:rsidRPr="001D4E92">
        <w:t>Важнейшими условиями стабилизации гемостаза являются применение антисекреторных препаратов, блокаторов протеаз и фибринолиза</w:t>
      </w:r>
      <w:r w:rsidR="001D4E92" w:rsidRPr="001D4E92">
        <w:t xml:space="preserve">. </w:t>
      </w:r>
      <w:r w:rsidRPr="001D4E92">
        <w:t>Для первой задачи целесообразно применение инъекционн</w:t>
      </w:r>
      <w:r w:rsidR="00AA037C" w:rsidRPr="001D4E92">
        <w:t>ых</w:t>
      </w:r>
      <w:r w:rsidRPr="001D4E92">
        <w:t xml:space="preserve"> форм блокатор</w:t>
      </w:r>
      <w:r w:rsidR="00AA037C" w:rsidRPr="001D4E92">
        <w:t>ов</w:t>
      </w:r>
      <w:r w:rsidRPr="001D4E92">
        <w:t xml:space="preserve"> Н-2 гистаминовых рецепторов </w:t>
      </w:r>
      <w:r w:rsidR="00AA037C" w:rsidRPr="001D4E92">
        <w:t>(Н-2ГБ</w:t>
      </w:r>
      <w:r w:rsidR="001D4E92" w:rsidRPr="001D4E92">
        <w:t xml:space="preserve">) </w:t>
      </w:r>
      <w:r w:rsidR="00AA037C" w:rsidRPr="001D4E92">
        <w:t>или ингибиторов протоновой помпы</w:t>
      </w:r>
      <w:r w:rsidR="001D4E92" w:rsidRPr="001D4E92">
        <w:t xml:space="preserve"> </w:t>
      </w:r>
      <w:r w:rsidR="00AA037C" w:rsidRPr="001D4E92">
        <w:t>(ИПП</w:t>
      </w:r>
      <w:r w:rsidR="001D4E92" w:rsidRPr="001D4E92">
        <w:t xml:space="preserve">). </w:t>
      </w:r>
      <w:r w:rsidR="00AA037C" w:rsidRPr="001D4E92">
        <w:t>Наибольшее распространение в Беларуси и в частности в Гомельской области для этих целей получил препарат фамотидина для внутривенного введения Квамател (А</w:t>
      </w:r>
      <w:r w:rsidR="001D4E92">
        <w:t xml:space="preserve">.О. </w:t>
      </w:r>
      <w:r w:rsidR="001D4E92" w:rsidRPr="001D4E92">
        <w:t>"</w:t>
      </w:r>
      <w:r w:rsidR="00AA037C" w:rsidRPr="001D4E92">
        <w:t>Гедеон Рихтер</w:t>
      </w:r>
      <w:r w:rsidR="001D4E92" w:rsidRPr="001D4E92">
        <w:t>"</w:t>
      </w:r>
      <w:r w:rsidR="00AA037C" w:rsidRPr="001D4E92">
        <w:t>, Венгрия</w:t>
      </w:r>
      <w:r w:rsidR="001D4E92" w:rsidRPr="001D4E92">
        <w:t xml:space="preserve">). </w:t>
      </w:r>
      <w:r w:rsidR="005A241B" w:rsidRPr="001D4E92">
        <w:t>По сравнению с другими Н-2ГБ Квамател обладает наилучшим профилем безопасности, не влияет на концентрацию других препаратов, что особенно важно у критических больных</w:t>
      </w:r>
      <w:r w:rsidR="00EB735F" w:rsidRPr="001D4E92">
        <w:t xml:space="preserve">, выгодно отличается от ИПП по соотношению </w:t>
      </w:r>
      <w:r w:rsidR="001D4E92" w:rsidRPr="001D4E92">
        <w:t>"</w:t>
      </w:r>
      <w:r w:rsidR="00EB735F" w:rsidRPr="001D4E92">
        <w:t>цена</w:t>
      </w:r>
      <w:r w:rsidR="001D4E92" w:rsidRPr="001D4E92">
        <w:t xml:space="preserve"> / </w:t>
      </w:r>
      <w:r w:rsidR="00EB735F" w:rsidRPr="001D4E92">
        <w:t>эффективность</w:t>
      </w:r>
      <w:r w:rsidR="001D4E92" w:rsidRPr="001D4E92">
        <w:t xml:space="preserve">". </w:t>
      </w:r>
      <w:r w:rsidR="00F618FF" w:rsidRPr="001D4E92">
        <w:t>Препарат вводится болюсно или капельно по 20 мг через 12 часов в течение не менее 3-5 суток после остановки кровотечения</w:t>
      </w:r>
      <w:r w:rsidR="001D4E92" w:rsidRPr="001D4E92">
        <w:t xml:space="preserve">. </w:t>
      </w:r>
      <w:r w:rsidR="00CE363D" w:rsidRPr="001D4E92">
        <w:t xml:space="preserve">Важнейшим эффектом препарата является </w:t>
      </w:r>
      <w:r w:rsidR="00A02811" w:rsidRPr="001D4E92">
        <w:t>длительное (не менее 12 часов</w:t>
      </w:r>
      <w:r w:rsidR="001D4E92" w:rsidRPr="001D4E92">
        <w:t xml:space="preserve">) </w:t>
      </w:r>
      <w:r w:rsidR="00CE363D" w:rsidRPr="001D4E92">
        <w:t xml:space="preserve">поддержание пристеночного и внутрижелудочного </w:t>
      </w:r>
      <w:r w:rsidR="00CE363D" w:rsidRPr="001D4E92">
        <w:rPr>
          <w:lang w:val="en-US"/>
        </w:rPr>
        <w:t>pH</w:t>
      </w:r>
      <w:r w:rsidR="00A02811" w:rsidRPr="001D4E92">
        <w:t xml:space="preserve"> </w:t>
      </w:r>
      <w:r w:rsidR="00CE363D" w:rsidRPr="001D4E92">
        <w:t>&gt;</w:t>
      </w:r>
      <w:r w:rsidR="00A02811" w:rsidRPr="001D4E92">
        <w:t xml:space="preserve"> </w:t>
      </w:r>
      <w:r w:rsidR="00CE363D" w:rsidRPr="001D4E92">
        <w:t>4,0</w:t>
      </w:r>
      <w:r w:rsidR="001D4E92" w:rsidRPr="001D4E92">
        <w:t xml:space="preserve">. </w:t>
      </w:r>
      <w:r w:rsidR="00A02811" w:rsidRPr="001D4E92">
        <w:t>При такой среде пепсиноген не трансформируется в пепсин и не происходит</w:t>
      </w:r>
      <w:r w:rsidR="001D4E92" w:rsidRPr="001D4E92">
        <w:t xml:space="preserve"> </w:t>
      </w:r>
      <w:r w:rsidR="00A02811" w:rsidRPr="001D4E92">
        <w:t>протеолиз</w:t>
      </w:r>
      <w:r w:rsidR="001D4E92" w:rsidRPr="001D4E92">
        <w:t xml:space="preserve">. </w:t>
      </w:r>
      <w:r w:rsidR="00F618FF" w:rsidRPr="001D4E92">
        <w:t>В последний день внутривенного введения начинают прием таблетированных форм антисекреторных препаратов</w:t>
      </w:r>
      <w:r w:rsidR="001D4E92" w:rsidRPr="001D4E92">
        <w:t xml:space="preserve">. </w:t>
      </w:r>
    </w:p>
    <w:p w:rsidR="001D4E92" w:rsidRPr="001D4E92" w:rsidRDefault="005A241B" w:rsidP="001D4E92">
      <w:pPr>
        <w:widowControl w:val="0"/>
        <w:autoSpaceDE w:val="0"/>
        <w:autoSpaceDN w:val="0"/>
        <w:adjustRightInd w:val="0"/>
        <w:ind w:firstLine="709"/>
      </w:pPr>
      <w:r w:rsidRPr="001D4E92">
        <w:t>В качестве блокатора протеаз применяется внутривенное введение овомина (контрикала, гордокса или аналогов</w:t>
      </w:r>
      <w:r w:rsidR="001D4E92" w:rsidRPr="001D4E92">
        <w:t xml:space="preserve">) </w:t>
      </w:r>
      <w:r w:rsidRPr="001D4E92">
        <w:t>и 5% раствор аминокапроновой кислоты в течение 3 суток с момента госпитализации</w:t>
      </w:r>
      <w:r w:rsidR="001D4E92" w:rsidRPr="001D4E92">
        <w:t xml:space="preserve">. </w:t>
      </w:r>
      <w:r w:rsidR="00936C42" w:rsidRPr="001D4E92">
        <w:t>Для уменьшения проницаемости сосудистой стенки, активизации образования протромбина и трансформации его в тромбин назначают этамзилат натрия (дицинон</w:t>
      </w:r>
      <w:r w:rsidR="001D4E92" w:rsidRPr="001D4E92">
        <w:t>),</w:t>
      </w:r>
      <w:r w:rsidR="00936C42" w:rsidRPr="001D4E92">
        <w:t xml:space="preserve"> викасол, препараты кальция в течение первых 3-5 суток</w:t>
      </w:r>
      <w:r w:rsidR="001D4E92" w:rsidRPr="001D4E92">
        <w:t xml:space="preserve">. </w:t>
      </w:r>
      <w:r w:rsidR="00936C42" w:rsidRPr="001D4E92">
        <w:t>Со второго дня госпитализации при отсутствии угрозы рецидива кровотечения (после контрольной гастроскопии</w:t>
      </w:r>
      <w:r w:rsidR="001D4E92" w:rsidRPr="001D4E92">
        <w:t xml:space="preserve">) </w:t>
      </w:r>
      <w:r w:rsidR="00936C42" w:rsidRPr="001D4E92">
        <w:t>больному назначается щадящий стол по типу</w:t>
      </w:r>
      <w:r w:rsidR="001D4E92" w:rsidRPr="001D4E92">
        <w:t xml:space="preserve"> </w:t>
      </w:r>
      <w:r w:rsidR="00936C42" w:rsidRPr="001D4E92">
        <w:t>диеты Мейленграхта</w:t>
      </w:r>
      <w:r w:rsidR="001D4E92" w:rsidRPr="001D4E92">
        <w:t xml:space="preserve">. </w:t>
      </w:r>
      <w:r w:rsidR="00936C42" w:rsidRPr="001D4E92">
        <w:t>В течение 3 суток больному необходимо обеспечить постельный режим</w:t>
      </w:r>
      <w:r w:rsidR="001D4E92" w:rsidRPr="001D4E92">
        <w:t xml:space="preserve">. </w:t>
      </w:r>
      <w:r w:rsidR="00EB735F" w:rsidRPr="001D4E92">
        <w:t xml:space="preserve">Традиционно рекомендуемый холод на живот </w:t>
      </w:r>
      <w:r w:rsidR="0064728F" w:rsidRPr="001D4E92">
        <w:t xml:space="preserve">применять </w:t>
      </w:r>
      <w:r w:rsidR="00EB735F" w:rsidRPr="001D4E92">
        <w:t>не целесообразн</w:t>
      </w:r>
      <w:r w:rsidR="0064728F" w:rsidRPr="001D4E92">
        <w:t>о</w:t>
      </w:r>
      <w:r w:rsidR="00EB735F" w:rsidRPr="001D4E92">
        <w:t xml:space="preserve">, так как </w:t>
      </w:r>
      <w:r w:rsidR="0064728F" w:rsidRPr="001D4E92">
        <w:t xml:space="preserve">последний </w:t>
      </w:r>
      <w:r w:rsidR="00EB735F" w:rsidRPr="001D4E92">
        <w:t xml:space="preserve">не позволяет охладить </w:t>
      </w:r>
      <w:r w:rsidR="0064728F" w:rsidRPr="001D4E92">
        <w:t>заинтересованный орган (желудок или двенадцатиперстную кишку</w:t>
      </w:r>
      <w:r w:rsidR="001D4E92" w:rsidRPr="001D4E92">
        <w:t>),</w:t>
      </w:r>
      <w:r w:rsidR="0064728F" w:rsidRPr="001D4E92">
        <w:t xml:space="preserve"> а вызывая общее переохлаждение, способствует нарушению механизмов тромбообразования</w:t>
      </w:r>
      <w:r w:rsidR="001D4E92" w:rsidRPr="001D4E92">
        <w:t xml:space="preserve">. </w:t>
      </w:r>
    </w:p>
    <w:p w:rsidR="001D4E92" w:rsidRPr="001D4E92" w:rsidRDefault="005A2DF3" w:rsidP="001D4E92">
      <w:pPr>
        <w:widowControl w:val="0"/>
        <w:autoSpaceDE w:val="0"/>
        <w:autoSpaceDN w:val="0"/>
        <w:adjustRightInd w:val="0"/>
        <w:ind w:firstLine="709"/>
      </w:pPr>
      <w:r w:rsidRPr="001D4E92">
        <w:t>Вопрос дальнейшей лечебной стратегии должен решаться в индивидуальном порядке на основе анализа клинического варианта ЯБ (тяжест</w:t>
      </w:r>
      <w:r w:rsidR="00A6793E" w:rsidRPr="001D4E92">
        <w:t>ь</w:t>
      </w:r>
      <w:r w:rsidRPr="001D4E92">
        <w:t xml:space="preserve"> течения заболевания</w:t>
      </w:r>
      <w:r w:rsidR="00DD2C9E" w:rsidRPr="001D4E92">
        <w:t xml:space="preserve">, ранее перенесенные осложнения, сопутствующие </w:t>
      </w:r>
      <w:r w:rsidR="001D4E92" w:rsidRPr="001D4E92">
        <w:t>"</w:t>
      </w:r>
      <w:r w:rsidR="00DD2C9E" w:rsidRPr="001D4E92">
        <w:t>ульцерогенные</w:t>
      </w:r>
      <w:r w:rsidR="001D4E92" w:rsidRPr="001D4E92">
        <w:t>"</w:t>
      </w:r>
      <w:r w:rsidR="00DD2C9E" w:rsidRPr="001D4E92">
        <w:t xml:space="preserve"> заболевания</w:t>
      </w:r>
      <w:r w:rsidR="001D4E92" w:rsidRPr="001D4E92">
        <w:t>),</w:t>
      </w:r>
      <w:r w:rsidRPr="001D4E92">
        <w:t xml:space="preserve"> медицинской активности больного (обращаемость к специалисту,</w:t>
      </w:r>
      <w:r w:rsidR="00DD2C9E" w:rsidRPr="001D4E92">
        <w:t xml:space="preserve"> </w:t>
      </w:r>
      <w:r w:rsidRPr="001D4E92">
        <w:t>варианты предшествующей терапии, наличие дополнительных факторов риска</w:t>
      </w:r>
      <w:r w:rsidR="001D4E92" w:rsidRPr="001D4E92">
        <w:t xml:space="preserve">: </w:t>
      </w:r>
      <w:r w:rsidRPr="001D4E92">
        <w:t>курение, злоупотребление алкоголем</w:t>
      </w:r>
      <w:r w:rsidR="00DD2C9E" w:rsidRPr="001D4E92">
        <w:t>, хронические стрессы, бытовая и семейная неустроенность</w:t>
      </w:r>
      <w:r w:rsidR="001D4E92" w:rsidRPr="001D4E92">
        <w:t>),</w:t>
      </w:r>
      <w:r w:rsidR="00DD2C9E" w:rsidRPr="001D4E92">
        <w:t xml:space="preserve"> общесоматического статуса пациента (наличие и степень выраженности сопутствующей патологии</w:t>
      </w:r>
      <w:r w:rsidR="001D4E92" w:rsidRPr="001D4E92">
        <w:t>),</w:t>
      </w:r>
      <w:r w:rsidR="00DD2C9E" w:rsidRPr="001D4E92">
        <w:t xml:space="preserve"> а также</w:t>
      </w:r>
      <w:r w:rsidR="001D4E92" w:rsidRPr="001D4E92">
        <w:t xml:space="preserve"> - </w:t>
      </w:r>
      <w:r w:rsidR="00DD2C9E" w:rsidRPr="001D4E92">
        <w:t xml:space="preserve">возможности оказания </w:t>
      </w:r>
      <w:r w:rsidR="0064728F" w:rsidRPr="001D4E92">
        <w:t xml:space="preserve">плановой </w:t>
      </w:r>
      <w:r w:rsidR="00DD2C9E" w:rsidRPr="001D4E92">
        <w:t xml:space="preserve">специализированной медицинской помощи </w:t>
      </w:r>
      <w:r w:rsidR="0064728F" w:rsidRPr="001D4E92">
        <w:t xml:space="preserve">в данном лечебном учреждении </w:t>
      </w:r>
      <w:r w:rsidR="00DD2C9E" w:rsidRPr="001D4E92">
        <w:t>(при целесообразности хирургического лечения</w:t>
      </w:r>
      <w:r w:rsidR="001D4E92" w:rsidRPr="001D4E92">
        <w:t xml:space="preserve"> - </w:t>
      </w:r>
      <w:r w:rsidR="004D602B" w:rsidRPr="001D4E92">
        <w:t>выполнени</w:t>
      </w:r>
      <w:r w:rsidR="0064728F" w:rsidRPr="001D4E92">
        <w:t>е</w:t>
      </w:r>
      <w:r w:rsidR="004D602B" w:rsidRPr="001D4E92">
        <w:t xml:space="preserve"> </w:t>
      </w:r>
      <w:r w:rsidR="0064728F" w:rsidRPr="001D4E92">
        <w:t xml:space="preserve">как правило </w:t>
      </w:r>
      <w:r w:rsidR="004D602B" w:rsidRPr="001D4E92">
        <w:t>органосохраняющей операции в случае дуоденальной язвы, резецирующей операции при язве желудка</w:t>
      </w:r>
      <w:r w:rsidR="001D4E92" w:rsidRPr="001D4E92">
        <w:t xml:space="preserve">). </w:t>
      </w:r>
      <w:r w:rsidR="00A6793E" w:rsidRPr="001D4E92">
        <w:t>При отсутствии такой возможности необходимо перевести больного в соответствующий хирургический стационар</w:t>
      </w:r>
      <w:r w:rsidR="001D4E92" w:rsidRPr="001D4E92">
        <w:t xml:space="preserve">. </w:t>
      </w:r>
    </w:p>
    <w:p w:rsidR="001D4E92" w:rsidRPr="001D4E92" w:rsidRDefault="004D602B" w:rsidP="001D4E92">
      <w:pPr>
        <w:widowControl w:val="0"/>
        <w:autoSpaceDE w:val="0"/>
        <w:autoSpaceDN w:val="0"/>
        <w:adjustRightInd w:val="0"/>
        <w:ind w:firstLine="709"/>
      </w:pPr>
      <w:r w:rsidRPr="001D4E92">
        <w:t>При</w:t>
      </w:r>
      <w:r w:rsidR="00DD2C9E" w:rsidRPr="001D4E92">
        <w:t xml:space="preserve"> </w:t>
      </w:r>
      <w:r w:rsidRPr="001D4E92">
        <w:t xml:space="preserve">целесообразности курса антихеликобактерной </w:t>
      </w:r>
      <w:r w:rsidR="00A6793E" w:rsidRPr="001D4E92">
        <w:t xml:space="preserve">противоязвенной </w:t>
      </w:r>
      <w:r w:rsidRPr="001D4E92">
        <w:t>терапии</w:t>
      </w:r>
      <w:r w:rsidR="005A2DF3" w:rsidRPr="001D4E92">
        <w:t xml:space="preserve"> </w:t>
      </w:r>
      <w:r w:rsidRPr="001D4E92">
        <w:t>его проведение следует запланировать в амбулаторном порядке со строгим соблюдением соответствующего протокола</w:t>
      </w:r>
      <w:r w:rsidR="001D4E92" w:rsidRPr="001D4E92">
        <w:t xml:space="preserve">. </w:t>
      </w:r>
    </w:p>
    <w:p w:rsidR="001D4E92" w:rsidRPr="001D4E92" w:rsidRDefault="00EB735F" w:rsidP="001D4E92">
      <w:pPr>
        <w:widowControl w:val="0"/>
        <w:autoSpaceDE w:val="0"/>
        <w:autoSpaceDN w:val="0"/>
        <w:adjustRightInd w:val="0"/>
        <w:ind w:firstLine="709"/>
      </w:pPr>
      <w:r w:rsidRPr="001D4E92">
        <w:t>Каждый больной, перенесший кровотечение язвенной этиологии, в последующем требует диспансерного наблюдения</w:t>
      </w:r>
      <w:r w:rsidR="001D4E92" w:rsidRPr="001D4E92">
        <w:t xml:space="preserve">. </w:t>
      </w:r>
    </w:p>
    <w:p w:rsidR="001D4E92" w:rsidRDefault="002414BB" w:rsidP="001D4E92">
      <w:pPr>
        <w:widowControl w:val="0"/>
        <w:autoSpaceDE w:val="0"/>
        <w:autoSpaceDN w:val="0"/>
        <w:adjustRightInd w:val="0"/>
        <w:ind w:firstLine="709"/>
      </w:pPr>
      <w:r w:rsidRPr="001D4E92">
        <w:t xml:space="preserve">Данным изданием авторы стремились подчеркнуть не снижающуюся актуальность проблемы язвенных кровотечений, на цифрах продемонстрировать ее реальное состояние, напомнить принципиальные подходы к </w:t>
      </w:r>
      <w:r w:rsidR="005D3E9B" w:rsidRPr="001D4E92">
        <w:t>эндоскопическому и общему гемостазу</w:t>
      </w:r>
      <w:r w:rsidR="001D4E92" w:rsidRPr="001D4E92">
        <w:t xml:space="preserve">. </w:t>
      </w:r>
      <w:r w:rsidR="005D3E9B" w:rsidRPr="001D4E92">
        <w:t>С сожалением следует констатировать, что на сегодня обсуждаемая проблема обстоит острее, чем она была 10 и 20 лет назад</w:t>
      </w:r>
      <w:r w:rsidR="001D4E92" w:rsidRPr="001D4E92">
        <w:t xml:space="preserve">. </w:t>
      </w:r>
      <w:r w:rsidR="005D3E9B" w:rsidRPr="001D4E92">
        <w:t>Причины этого неоднозначны</w:t>
      </w:r>
      <w:r w:rsidR="001D4E92" w:rsidRPr="001D4E92">
        <w:t xml:space="preserve">. </w:t>
      </w:r>
      <w:r w:rsidR="005D3E9B" w:rsidRPr="001D4E92">
        <w:t>К ним можно отнести и недостаточное понимание врачами социальной обусловленности</w:t>
      </w:r>
      <w:r w:rsidR="001D4E92" w:rsidRPr="001D4E92">
        <w:t xml:space="preserve"> </w:t>
      </w:r>
      <w:r w:rsidR="005D3E9B" w:rsidRPr="001D4E92">
        <w:t xml:space="preserve">самой ЯБ, </w:t>
      </w:r>
      <w:r w:rsidR="00C3344B" w:rsidRPr="001D4E92">
        <w:t>повышенное внимание второстепенным аспектам проблемы (</w:t>
      </w:r>
      <w:r w:rsidR="000D473E" w:rsidRPr="001D4E92">
        <w:t>спекулятивный интерес к</w:t>
      </w:r>
      <w:r w:rsidR="00C3344B" w:rsidRPr="001D4E92">
        <w:t xml:space="preserve"> </w:t>
      </w:r>
      <w:r w:rsidR="001D4E92" w:rsidRPr="001D4E92">
        <w:t>"</w:t>
      </w:r>
      <w:r w:rsidR="00C3344B" w:rsidRPr="001D4E92">
        <w:t>хеликобактериоз</w:t>
      </w:r>
      <w:r w:rsidR="000D473E" w:rsidRPr="001D4E92">
        <w:t>у</w:t>
      </w:r>
      <w:r w:rsidR="001D4E92" w:rsidRPr="001D4E92">
        <w:t>"),</w:t>
      </w:r>
      <w:r w:rsidR="00C3344B" w:rsidRPr="001D4E92">
        <w:t xml:space="preserve"> неадекватное снижение плановой хирургии ЯБ, </w:t>
      </w:r>
      <w:r w:rsidR="000D473E" w:rsidRPr="001D4E92">
        <w:t xml:space="preserve">дефицит эпидемиологических исследований по проблеме, отсутствие заинтересованного сотрудничества терапевтов и хирургов, реклама симптоматических средств самолечения и </w:t>
      </w:r>
      <w:r w:rsidR="001D4E92" w:rsidRPr="001D4E92">
        <w:t xml:space="preserve">т.д. </w:t>
      </w:r>
      <w:r w:rsidR="000D473E" w:rsidRPr="001D4E92">
        <w:t xml:space="preserve">Изменить ситуацию к лучшему можно только совместными усилиями врачей разного профиля, помня о том, что </w:t>
      </w:r>
      <w:r w:rsidR="001D4E92" w:rsidRPr="001D4E92">
        <w:t>"</w:t>
      </w:r>
      <w:r w:rsidR="000D473E" w:rsidRPr="001D4E92">
        <w:t>невозможно решить проблему плесени, без решения проблемы сырости</w:t>
      </w:r>
      <w:r w:rsidR="001D4E92" w:rsidRPr="001D4E92">
        <w:t xml:space="preserve">". </w:t>
      </w:r>
    </w:p>
    <w:p w:rsidR="00EE175C" w:rsidRPr="001D4E92" w:rsidRDefault="00EE175C" w:rsidP="001D4E92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EE175C" w:rsidRPr="001D4E92" w:rsidSect="001D4E9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8EB" w:rsidRDefault="00FE68E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FE68EB" w:rsidRDefault="00FE68E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92" w:rsidRDefault="001D4E9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92" w:rsidRDefault="001D4E9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8EB" w:rsidRDefault="00FE68E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FE68EB" w:rsidRDefault="00FE68E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92" w:rsidRDefault="00A16AA6" w:rsidP="00D1774E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1D4E92" w:rsidRDefault="001D4E92" w:rsidP="001D4E9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92" w:rsidRDefault="001D4E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991973"/>
    <w:multiLevelType w:val="hybridMultilevel"/>
    <w:tmpl w:val="D02A58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3DE402DB"/>
    <w:multiLevelType w:val="hybridMultilevel"/>
    <w:tmpl w:val="370AD47E"/>
    <w:lvl w:ilvl="0" w:tplc="7CE033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F601813"/>
    <w:multiLevelType w:val="hybridMultilevel"/>
    <w:tmpl w:val="9190B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063524"/>
    <w:multiLevelType w:val="hybridMultilevel"/>
    <w:tmpl w:val="D0166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E72"/>
    <w:rsid w:val="000D473E"/>
    <w:rsid w:val="00121D6B"/>
    <w:rsid w:val="00127760"/>
    <w:rsid w:val="00155632"/>
    <w:rsid w:val="0017050D"/>
    <w:rsid w:val="001802C3"/>
    <w:rsid w:val="001B4225"/>
    <w:rsid w:val="001B68EC"/>
    <w:rsid w:val="001D4E92"/>
    <w:rsid w:val="001F3A55"/>
    <w:rsid w:val="00234AA4"/>
    <w:rsid w:val="00235F44"/>
    <w:rsid w:val="002414BB"/>
    <w:rsid w:val="002565FD"/>
    <w:rsid w:val="00256E44"/>
    <w:rsid w:val="002C3372"/>
    <w:rsid w:val="002D3C59"/>
    <w:rsid w:val="00307709"/>
    <w:rsid w:val="003663AA"/>
    <w:rsid w:val="003747E4"/>
    <w:rsid w:val="0041434A"/>
    <w:rsid w:val="00460FBD"/>
    <w:rsid w:val="004653D8"/>
    <w:rsid w:val="004D4ABD"/>
    <w:rsid w:val="004D602B"/>
    <w:rsid w:val="004D6BD0"/>
    <w:rsid w:val="004E6DFE"/>
    <w:rsid w:val="005665D4"/>
    <w:rsid w:val="005A241B"/>
    <w:rsid w:val="005A2DF3"/>
    <w:rsid w:val="005B02F5"/>
    <w:rsid w:val="005D3E9B"/>
    <w:rsid w:val="005D5080"/>
    <w:rsid w:val="005E5640"/>
    <w:rsid w:val="00630D03"/>
    <w:rsid w:val="0064728F"/>
    <w:rsid w:val="00654516"/>
    <w:rsid w:val="00664E0E"/>
    <w:rsid w:val="0067548D"/>
    <w:rsid w:val="006B09C6"/>
    <w:rsid w:val="006B1BB5"/>
    <w:rsid w:val="00706D92"/>
    <w:rsid w:val="00735366"/>
    <w:rsid w:val="00744E4A"/>
    <w:rsid w:val="00805CED"/>
    <w:rsid w:val="00826884"/>
    <w:rsid w:val="00840A13"/>
    <w:rsid w:val="00885783"/>
    <w:rsid w:val="008B43CF"/>
    <w:rsid w:val="00913D3E"/>
    <w:rsid w:val="00925E72"/>
    <w:rsid w:val="00936C42"/>
    <w:rsid w:val="00977163"/>
    <w:rsid w:val="009A15E0"/>
    <w:rsid w:val="00A02811"/>
    <w:rsid w:val="00A16AA6"/>
    <w:rsid w:val="00A459FF"/>
    <w:rsid w:val="00A61DB5"/>
    <w:rsid w:val="00A6793E"/>
    <w:rsid w:val="00A71731"/>
    <w:rsid w:val="00AA037C"/>
    <w:rsid w:val="00AA107C"/>
    <w:rsid w:val="00AB507E"/>
    <w:rsid w:val="00AD51F2"/>
    <w:rsid w:val="00B03803"/>
    <w:rsid w:val="00B8176F"/>
    <w:rsid w:val="00BB5B5B"/>
    <w:rsid w:val="00BC7C8B"/>
    <w:rsid w:val="00C0346B"/>
    <w:rsid w:val="00C3344B"/>
    <w:rsid w:val="00CA1E4D"/>
    <w:rsid w:val="00CE363D"/>
    <w:rsid w:val="00D1774E"/>
    <w:rsid w:val="00D32052"/>
    <w:rsid w:val="00D37288"/>
    <w:rsid w:val="00D52A9B"/>
    <w:rsid w:val="00DB6638"/>
    <w:rsid w:val="00DD2C9E"/>
    <w:rsid w:val="00E14648"/>
    <w:rsid w:val="00E413E9"/>
    <w:rsid w:val="00E75FE6"/>
    <w:rsid w:val="00EB735F"/>
    <w:rsid w:val="00EC33B6"/>
    <w:rsid w:val="00EE175C"/>
    <w:rsid w:val="00EF3F34"/>
    <w:rsid w:val="00F618FF"/>
    <w:rsid w:val="00FA517B"/>
    <w:rsid w:val="00FB2FB7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41046150-E807-466F-82A4-F3AE8812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D4E9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D4E9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D4E9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D4E92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D4E9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D4E9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D4E92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D4E92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D4E92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2"/>
    <w:link w:val="22"/>
    <w:uiPriority w:val="99"/>
    <w:rsid w:val="001D4E92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6">
    <w:name w:val="header"/>
    <w:basedOn w:val="a2"/>
    <w:next w:val="a7"/>
    <w:link w:val="a8"/>
    <w:uiPriority w:val="99"/>
    <w:rsid w:val="001D4E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1D4E92"/>
    <w:rPr>
      <w:vertAlign w:val="superscript"/>
    </w:rPr>
  </w:style>
  <w:style w:type="paragraph" w:styleId="a7">
    <w:name w:val="Body Text"/>
    <w:basedOn w:val="a2"/>
    <w:link w:val="aa"/>
    <w:uiPriority w:val="99"/>
    <w:rsid w:val="001D4E92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1D4E9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1D4E92"/>
    <w:rPr>
      <w:color w:val="0000FF"/>
      <w:u w:val="single"/>
    </w:rPr>
  </w:style>
  <w:style w:type="paragraph" w:customStyle="1" w:styleId="23">
    <w:name w:val="Заголовок 2 дипл"/>
    <w:basedOn w:val="a2"/>
    <w:next w:val="ad"/>
    <w:uiPriority w:val="99"/>
    <w:rsid w:val="001D4E9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1D4E92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1D4E9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1D4E92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1D4E92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1D4E92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D4E92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1D4E9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D4E92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1D4E92"/>
  </w:style>
  <w:style w:type="character" w:customStyle="1" w:styleId="af5">
    <w:name w:val="номер страницы"/>
    <w:uiPriority w:val="99"/>
    <w:rsid w:val="001D4E92"/>
    <w:rPr>
      <w:sz w:val="28"/>
      <w:szCs w:val="28"/>
    </w:rPr>
  </w:style>
  <w:style w:type="paragraph" w:styleId="af6">
    <w:name w:val="Normal (Web)"/>
    <w:basedOn w:val="a2"/>
    <w:uiPriority w:val="99"/>
    <w:rsid w:val="001D4E92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D4E92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1D4E92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D4E9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D4E9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D4E92"/>
    <w:pPr>
      <w:widowControl w:val="0"/>
      <w:autoSpaceDE w:val="0"/>
      <w:autoSpaceDN w:val="0"/>
      <w:adjustRightInd w:val="0"/>
      <w:ind w:left="958" w:firstLine="709"/>
    </w:pPr>
  </w:style>
  <w:style w:type="paragraph" w:styleId="32">
    <w:name w:val="Body Text Indent 3"/>
    <w:basedOn w:val="a2"/>
    <w:link w:val="33"/>
    <w:uiPriority w:val="99"/>
    <w:rsid w:val="001D4E92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1D4E9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D4E9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D4E92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D4E92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D4E9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D4E92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1D4E9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D4E92"/>
    <w:rPr>
      <w:i/>
      <w:iCs/>
    </w:rPr>
  </w:style>
  <w:style w:type="paragraph" w:customStyle="1" w:styleId="af9">
    <w:name w:val="ТАБЛИЦА"/>
    <w:next w:val="a2"/>
    <w:autoRedefine/>
    <w:uiPriority w:val="99"/>
    <w:rsid w:val="001D4E92"/>
    <w:pPr>
      <w:spacing w:line="360" w:lineRule="auto"/>
    </w:pPr>
    <w:rPr>
      <w:color w:val="000000"/>
    </w:rPr>
  </w:style>
  <w:style w:type="paragraph" w:customStyle="1" w:styleId="14">
    <w:name w:val="Стиль1"/>
    <w:basedOn w:val="af9"/>
    <w:autoRedefine/>
    <w:uiPriority w:val="99"/>
    <w:rsid w:val="001D4E92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1D4E9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1D4E92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1D4E92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1D4E92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1D4E92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3717</Words>
  <Characters>21188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УТВЕРЖДАЮ</vt:lpstr>
    </vt:vector>
  </TitlesOfParts>
  <Company>Diapsalmata</Company>
  <LinksUpToDate>false</LinksUpToDate>
  <CharactersWithSpaces>24856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УТВЕРЖДАЮ</dc:title>
  <dc:subject/>
  <dc:creator>Лобанков Дмитрий</dc:creator>
  <cp:keywords/>
  <dc:description/>
  <cp:lastModifiedBy>admin</cp:lastModifiedBy>
  <cp:revision>2</cp:revision>
  <dcterms:created xsi:type="dcterms:W3CDTF">2014-02-25T02:49:00Z</dcterms:created>
  <dcterms:modified xsi:type="dcterms:W3CDTF">2014-02-25T02:49:00Z</dcterms:modified>
</cp:coreProperties>
</file>