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78" w:rsidRPr="0096081C" w:rsidRDefault="00E52741" w:rsidP="00782006">
      <w:pPr>
        <w:pStyle w:val="a3"/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6081C">
        <w:rPr>
          <w:b/>
          <w:bCs/>
          <w:color w:val="000000"/>
          <w:sz w:val="28"/>
          <w:szCs w:val="28"/>
        </w:rPr>
        <w:t>Введение</w:t>
      </w:r>
    </w:p>
    <w:p w:rsidR="00E52741" w:rsidRPr="0096081C" w:rsidRDefault="00E52741" w:rsidP="00782006">
      <w:pPr>
        <w:pStyle w:val="a3"/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При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выборе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места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F44BA4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прохождения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производственной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практики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у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меня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было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вариантов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выбора.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Давно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хотела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понаблюдать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работой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изнутри.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Меня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направили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«сектор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кредитования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частных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физических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лиц».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Почему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именно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Сбербанк.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Сбербанк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один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из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развитых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Банков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только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Ульяновска,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но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целом.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условиях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усиления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конкуренции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сохранил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доминирующее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положение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розничных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рынках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оптимизации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продуктового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ряда,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гибкой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процентной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политики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развития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населением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создано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частных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внедрены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новые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продукты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более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гибкими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условиями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кредитования.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период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действия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Концепции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объем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задолженности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лиц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вырос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32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прирост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стал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сопоставимым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показателями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прироста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корпоративного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портфеля,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розничных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превысила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25%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Обеспечивая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основу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развития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долгосрочного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кредитования,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сконцентрировал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усилия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создании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целевой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структуры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ресурсной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базы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сформировал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рынок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долгосрочных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вкладов.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Ориентируясь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комплексное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удовлетворение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потребностей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более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5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увеличил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объем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эмиссии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карт,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внедрил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ряд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связанных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инновационных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овердрафтные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карты,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«Мобильный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банк»,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расширил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функции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банкоматов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перечислению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пополнению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создал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основы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расширения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каналов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продаж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будущем.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целях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совершенствования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юридических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лиц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Сбербанке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сформировано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корпоративных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заложены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основы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персональных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менеджеров,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создана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системная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работы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VIP-клиентами,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внедрены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современные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технологии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дистанционного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обслуживания,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многофилиальных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услуги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филиалов,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расположенных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различных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регионах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Федерации.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лиц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остаются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одним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важнейших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источников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ресурсной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базы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порядка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25%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привлеченных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соответствует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целевому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ориентиру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Концепции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развития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2005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года.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условиях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стабилизации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экономики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развивал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корпоративных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путем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расширения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продуктового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ряда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углубления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специализации,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диверсифицировал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отраслевую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структуру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портфеля.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созданы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машиностроения,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финансирования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строительных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проектов,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повышенное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внимание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уделяется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развитию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проектного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финансирования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инвестиционного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кредитования,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только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проектов,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комплексное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финансирование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клиента.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снижения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топливно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энергетического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комплекса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ссудном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портфеле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особое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внимание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уделялось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кредитованию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обрабатывающей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промышленности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техническому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перевооружению,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увеличению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задолженности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отраслей,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ориентированных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внутренний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спрос,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высокотехнологичных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отраслей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экономики.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внедрены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продукты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отдельных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групп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военно-технической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внешне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торговой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сферы,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строительных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организаций,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субъектов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малого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бизнеса,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предоставляются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займы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драгоценных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металлах.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корпоративных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превысила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50%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нетто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Банка.</w:t>
      </w:r>
    </w:p>
    <w:p w:rsidR="00900478" w:rsidRPr="0096081C" w:rsidRDefault="00900478" w:rsidP="00782006">
      <w:pPr>
        <w:pStyle w:val="a3"/>
        <w:tabs>
          <w:tab w:val="left" w:pos="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00478" w:rsidRPr="0096081C" w:rsidRDefault="00E52741" w:rsidP="00782006">
      <w:pPr>
        <w:pStyle w:val="a3"/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6081C">
        <w:rPr>
          <w:bCs/>
          <w:color w:val="000000"/>
          <w:sz w:val="28"/>
          <w:szCs w:val="28"/>
        </w:rPr>
        <w:br w:type="page"/>
      </w:r>
      <w:r w:rsidR="00900478" w:rsidRPr="0096081C">
        <w:rPr>
          <w:b/>
          <w:bCs/>
          <w:color w:val="000000"/>
          <w:sz w:val="28"/>
          <w:szCs w:val="28"/>
        </w:rPr>
        <w:t>1.</w:t>
      </w:r>
      <w:r w:rsidRPr="0096081C">
        <w:rPr>
          <w:b/>
          <w:bCs/>
          <w:color w:val="000000"/>
          <w:sz w:val="28"/>
          <w:szCs w:val="28"/>
        </w:rPr>
        <w:t xml:space="preserve"> </w:t>
      </w:r>
      <w:r w:rsidR="00900478" w:rsidRPr="0096081C">
        <w:rPr>
          <w:b/>
          <w:bCs/>
          <w:color w:val="000000"/>
          <w:sz w:val="28"/>
          <w:szCs w:val="28"/>
        </w:rPr>
        <w:t>Краткая</w:t>
      </w:r>
      <w:r w:rsidRPr="0096081C">
        <w:rPr>
          <w:b/>
          <w:bCs/>
          <w:color w:val="000000"/>
          <w:sz w:val="28"/>
          <w:szCs w:val="28"/>
        </w:rPr>
        <w:t xml:space="preserve"> характеристика</w:t>
      </w:r>
    </w:p>
    <w:p w:rsidR="00E52741" w:rsidRPr="0096081C" w:rsidRDefault="00E52741" w:rsidP="00782006">
      <w:pPr>
        <w:pStyle w:val="a8"/>
        <w:spacing w:before="0" w:beforeAutospacing="0" w:after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00478" w:rsidRPr="0096081C" w:rsidRDefault="00900478" w:rsidP="00782006">
      <w:pPr>
        <w:pStyle w:val="a8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81C">
        <w:rPr>
          <w:bCs/>
          <w:color w:val="000000"/>
          <w:sz w:val="28"/>
          <w:szCs w:val="28"/>
        </w:rPr>
        <w:t>Объектом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исследования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является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Поволжский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банк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Сбербанка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России.</w:t>
      </w:r>
    </w:p>
    <w:p w:rsidR="00900478" w:rsidRPr="0096081C" w:rsidRDefault="00900478" w:rsidP="00782006">
      <w:pPr>
        <w:pStyle w:val="a8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81C">
        <w:rPr>
          <w:color w:val="000000"/>
          <w:sz w:val="28"/>
          <w:szCs w:val="28"/>
        </w:rPr>
        <w:t>Филиальная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сеть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Сбербанка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России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является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самой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развитой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среди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всех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российских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банков.</w:t>
      </w:r>
    </w:p>
    <w:p w:rsidR="00900478" w:rsidRPr="0096081C" w:rsidRDefault="00900478" w:rsidP="00782006">
      <w:pPr>
        <w:pStyle w:val="a8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81C">
        <w:rPr>
          <w:color w:val="000000"/>
          <w:sz w:val="28"/>
          <w:szCs w:val="28"/>
        </w:rPr>
        <w:t>По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состоянию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на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1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июля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2008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года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филиальная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сеть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состояла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из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20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383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подразделений,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включая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17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территориальных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банков,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783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отделения,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19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583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внутренних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структурных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подразделения.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Последние,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свою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очередь,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включали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9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034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дополнительных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офиса,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10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487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операционных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касс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вне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кассового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узла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56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передвижных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пунктов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кассовых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операций.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Кроме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того,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функционировало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30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отдельно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стоящих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обменных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пунктов.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Для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реализации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основной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стратегической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задачи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увеличению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доступности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банковских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услуг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путем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существенного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увеличения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точек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банковского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обслуживания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I-м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полугодии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2008г.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было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открыто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88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новых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подразделений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Банка.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Поволжский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сегодня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крупнейший,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динамично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развивающийся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региона.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Филиальная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сеть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представлена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широко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разветвленной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структурой,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что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позволяет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сделать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услуги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доступными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практически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каждого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жителя.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Поволжский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действующий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января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2001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года,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функционирует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территории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Самарской,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Астраханской,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Волгоградской,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Оренбургской,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Пензенской,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Саратовской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Ульяновской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областей.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Территориально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это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хребет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страны,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ее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сердцевина,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которой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проходит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главная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улица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река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Волга.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Названные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области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представляют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собой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промышленно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развитые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регионы,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входящие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Южный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федеральный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округ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(Астраханская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Волгоградская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области)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Приволжский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федеральный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округ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(остальные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области).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Экономика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этих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семи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областей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представлена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такими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отраслями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промышленности,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энергетика,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машиностроение,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металлообработка,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топливная,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химическая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нефтехимическая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промышленность,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военно-промышленный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агропромышленный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комплексы.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Практически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все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крупные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предприятия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региона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обслуживаются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отделениях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Сбербанка.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финансовом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рынке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региона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действует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более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430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кредитных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организаций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филиалов.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Крупнейшим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финансово-кредитным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учреждением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этого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рынка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является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Поволжский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России,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причем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всем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качественным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количественным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характеристикам.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помощью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финансовых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ресурсов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регионе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осуществляются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крупные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инвестиционные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строительные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проекты.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числу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таковых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можно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отнести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финансирование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организации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производства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гранулята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полиамида-6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кордной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ткани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(ЗАО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«КуйбышевАзот»,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Тольятти),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финансирование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увеличения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мощности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производства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стали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(ЗАО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«Волгоградский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металлургический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завод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«Красный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Октябрь»»,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Волгоград),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финансирование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программы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развития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бройлерного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птицеводства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(ОАО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«Птицефабрика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«Васильевская»»,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Пенза),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финансирование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инвестиционной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программы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текстильного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производства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(ООО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«Криста»,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Самара),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финансирование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затрат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строительство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офисного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комплекса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класса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(ООО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«Поволжский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региональный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центр»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г.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Самара)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многие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другие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проекты.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региональном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рынке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кредитования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физических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лиц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Поволжский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сохраняет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лидирующие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позиции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доля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составляет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свыше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30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процентов.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Общее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число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банковских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карт,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выпущенных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Поволжским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банком,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начало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2008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года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превысило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миллиона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100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тысяч.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последнее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время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значительно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расширил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сеть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устройств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обслуживания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держателей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пластиковых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карт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сейчас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это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953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пункта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выдачи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наличных,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1078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банкоматов,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3580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предприятий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торговли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сервиса,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принимающих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обслуживанию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банковские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карты.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Поволжский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по-прежнему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уверенно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удерживает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долю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(свыше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30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процентов)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региональном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рынке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банковских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карт.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планирует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дальше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развивать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инфраструктуру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держателей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банковских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карт,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том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числе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счет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установки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платежных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киосков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самообслуживания,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банкоматов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функцией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«Cash-in».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величине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филиальной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сети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(2934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учреждений)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Поволжский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считается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самым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крупным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среди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всех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территориальных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банков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России.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85-летие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отметят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2008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году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старейшие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отделения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Поволжье: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Самарское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28,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Сызранское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113,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Бугурусланское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130.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Фирменное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(полное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официальное)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наименование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банка: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Акционерный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коммерческий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Сберегательный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Российской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Федерации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(открытое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акционерное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общество)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Сокращенное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наименование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банка: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Сбербанк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ОАО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Генеральная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лицензия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осуществление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банковских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операций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1481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октября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2002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года</w:t>
      </w:r>
    </w:p>
    <w:p w:rsidR="00900478" w:rsidRPr="0096081C" w:rsidRDefault="00900478" w:rsidP="00782006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96081C">
        <w:rPr>
          <w:rFonts w:ascii="Times New Roman" w:hAnsi="Times New Roman"/>
          <w:color w:val="000000"/>
        </w:rPr>
        <w:t>Устав</w:t>
      </w:r>
      <w:r w:rsidR="00E52741" w:rsidRPr="0096081C">
        <w:rPr>
          <w:rFonts w:ascii="Times New Roman" w:hAnsi="Times New Roman"/>
          <w:color w:val="000000"/>
        </w:rPr>
        <w:t xml:space="preserve"> </w:t>
      </w:r>
      <w:r w:rsidRPr="0096081C">
        <w:rPr>
          <w:rFonts w:ascii="Times New Roman" w:hAnsi="Times New Roman"/>
          <w:color w:val="000000"/>
        </w:rPr>
        <w:t>и</w:t>
      </w:r>
      <w:r w:rsidR="00E52741" w:rsidRPr="0096081C">
        <w:rPr>
          <w:rFonts w:ascii="Times New Roman" w:hAnsi="Times New Roman"/>
          <w:color w:val="000000"/>
        </w:rPr>
        <w:t xml:space="preserve"> </w:t>
      </w:r>
      <w:r w:rsidRPr="0096081C">
        <w:rPr>
          <w:rFonts w:ascii="Times New Roman" w:hAnsi="Times New Roman"/>
          <w:color w:val="000000"/>
        </w:rPr>
        <w:t>кодексы</w:t>
      </w:r>
    </w:p>
    <w:p w:rsidR="00900478" w:rsidRPr="0096081C" w:rsidRDefault="00900478" w:rsidP="00782006">
      <w:pPr>
        <w:pStyle w:val="a8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81C">
        <w:rPr>
          <w:color w:val="000000"/>
          <w:sz w:val="28"/>
          <w:szCs w:val="28"/>
        </w:rPr>
        <w:t>Основными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документами,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регулирующими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деятельность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Сбербанка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России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соответствии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законодательством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Российской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Федерации,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являются:</w:t>
      </w:r>
    </w:p>
    <w:p w:rsidR="00900478" w:rsidRPr="0096081C" w:rsidRDefault="00900478" w:rsidP="00782006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Устав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утвержденный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годовым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общим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собранием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акционеров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24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июня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2005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года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изменениями);</w:t>
      </w:r>
    </w:p>
    <w:p w:rsidR="00900478" w:rsidRPr="0096081C" w:rsidRDefault="00900478" w:rsidP="00782006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Кодекс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корпоративного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утвержденный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годовым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общим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собранием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акционеров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июне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2005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года;</w:t>
      </w:r>
    </w:p>
    <w:p w:rsidR="00900478" w:rsidRPr="0096081C" w:rsidRDefault="00900478" w:rsidP="00782006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Кодекс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корпоративной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этики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сотрудника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Органами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управления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Банком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являются:</w:t>
      </w:r>
    </w:p>
    <w:p w:rsidR="00900478" w:rsidRPr="0096081C" w:rsidRDefault="00900478" w:rsidP="00782006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Общее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собрание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акционеров;</w:t>
      </w:r>
    </w:p>
    <w:p w:rsidR="00900478" w:rsidRPr="0096081C" w:rsidRDefault="00900478" w:rsidP="00782006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Наблюдательный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совет;</w:t>
      </w:r>
    </w:p>
    <w:p w:rsidR="00900478" w:rsidRPr="0096081C" w:rsidRDefault="00900478" w:rsidP="00782006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коллегиальный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исполнительный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орган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—Правление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Банка;</w:t>
      </w:r>
    </w:p>
    <w:p w:rsidR="00900478" w:rsidRPr="0096081C" w:rsidRDefault="00900478" w:rsidP="00782006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9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единоличный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исполнительный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орган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—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Президент.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Председатель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Правления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Банка.</w:t>
      </w:r>
    </w:p>
    <w:p w:rsidR="00900478" w:rsidRPr="0096081C" w:rsidRDefault="00900478" w:rsidP="00782006">
      <w:pPr>
        <w:pStyle w:val="a8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81C">
        <w:rPr>
          <w:color w:val="000000"/>
          <w:sz w:val="28"/>
          <w:szCs w:val="28"/>
        </w:rPr>
        <w:t>Сейчас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число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вкладчиков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Сбербанка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России,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доверивших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свои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денежные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средства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крупнейшему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банку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страны,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исчисляется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сотнями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тысяч.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итогам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прошлого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года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доля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на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рынке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вкладов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составила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51,4%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—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больше,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чем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доля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всех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остальных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российских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банков,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вместе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взятых.</w:t>
      </w:r>
    </w:p>
    <w:p w:rsidR="00900478" w:rsidRPr="0096081C" w:rsidRDefault="00900478" w:rsidP="00782006">
      <w:pPr>
        <w:pStyle w:val="a8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81C">
        <w:rPr>
          <w:color w:val="000000"/>
          <w:sz w:val="28"/>
          <w:szCs w:val="28"/>
        </w:rPr>
        <w:t>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началось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все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1842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году,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когда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служащий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Ссудной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казны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Николай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Антонович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Кристофари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внес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10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рублей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на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свой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счет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первой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сберегательной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кассе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России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получил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первую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сберегательную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книжку.</w:t>
      </w:r>
    </w:p>
    <w:p w:rsidR="00900478" w:rsidRPr="0096081C" w:rsidRDefault="00900478" w:rsidP="00782006">
      <w:pPr>
        <w:pStyle w:val="a8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81C">
        <w:rPr>
          <w:color w:val="000000"/>
          <w:sz w:val="28"/>
          <w:szCs w:val="28"/>
        </w:rPr>
        <w:t>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настоящее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время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Сбербанк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России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продолжает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совершенствовать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свою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филиальную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сеть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целью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улучшения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условий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обслуживания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клиентов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увеличения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объемов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продаж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банковских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продуктов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услуг.</w:t>
      </w:r>
    </w:p>
    <w:p w:rsidR="00900478" w:rsidRPr="0096081C" w:rsidRDefault="00900478" w:rsidP="00782006">
      <w:pPr>
        <w:pStyle w:val="a3"/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6081C">
        <w:rPr>
          <w:bCs/>
          <w:color w:val="000000"/>
          <w:sz w:val="28"/>
          <w:szCs w:val="28"/>
        </w:rPr>
        <w:t>Банк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осуществляет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следующие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операции: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привлечение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во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вклады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денежных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средств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физических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юридических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лиц,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размещение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указанных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средств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от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своего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имени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за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свой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счет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на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условиях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возвратности,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платности,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срочности,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открытия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ведения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банковских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счетов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физических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юридических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лиц.</w:t>
      </w:r>
    </w:p>
    <w:p w:rsidR="00900478" w:rsidRPr="0096081C" w:rsidRDefault="00900478" w:rsidP="00782006">
      <w:pPr>
        <w:pStyle w:val="a5"/>
        <w:tabs>
          <w:tab w:val="left" w:pos="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6081C">
        <w:rPr>
          <w:bCs/>
          <w:color w:val="000000"/>
          <w:sz w:val="28"/>
          <w:szCs w:val="28"/>
        </w:rPr>
        <w:t>Основное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назначение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банка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–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посредничество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перемещении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денежных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средств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от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кредиторов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к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заемщикам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от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продавцов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к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покупателям.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Наряду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банками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перемещение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денежных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средств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на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рынках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осуществляется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другие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финансовые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кредитно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-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финансовые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учреждения: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инвестиционные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фонды,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страховые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компании,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брокерские,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дилерские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фирмы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т.д.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Но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банки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как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субъекты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финансового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риска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имеют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два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существенных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признака,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отличающие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от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всех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других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субъектов.</w:t>
      </w:r>
    </w:p>
    <w:p w:rsidR="00900478" w:rsidRPr="0096081C" w:rsidRDefault="00900478" w:rsidP="00782006">
      <w:pPr>
        <w:pStyle w:val="a5"/>
        <w:tabs>
          <w:tab w:val="left" w:pos="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6081C">
        <w:rPr>
          <w:bCs/>
          <w:iCs/>
          <w:color w:val="000000"/>
          <w:sz w:val="28"/>
          <w:szCs w:val="28"/>
        </w:rPr>
        <w:t>Во</w:t>
      </w:r>
      <w:r w:rsidR="00E52741" w:rsidRPr="0096081C">
        <w:rPr>
          <w:bCs/>
          <w:iCs/>
          <w:color w:val="000000"/>
          <w:sz w:val="28"/>
          <w:szCs w:val="28"/>
        </w:rPr>
        <w:t xml:space="preserve"> </w:t>
      </w:r>
      <w:r w:rsidRPr="0096081C">
        <w:rPr>
          <w:bCs/>
          <w:iCs/>
          <w:color w:val="000000"/>
          <w:sz w:val="28"/>
          <w:szCs w:val="28"/>
        </w:rPr>
        <w:t>–</w:t>
      </w:r>
      <w:r w:rsidR="00E52741" w:rsidRPr="0096081C">
        <w:rPr>
          <w:bCs/>
          <w:iCs/>
          <w:color w:val="000000"/>
          <w:sz w:val="28"/>
          <w:szCs w:val="28"/>
        </w:rPr>
        <w:t xml:space="preserve"> </w:t>
      </w:r>
      <w:r w:rsidRPr="0096081C">
        <w:rPr>
          <w:bCs/>
          <w:iCs/>
          <w:color w:val="000000"/>
          <w:sz w:val="28"/>
          <w:szCs w:val="28"/>
        </w:rPr>
        <w:t>первых</w:t>
      </w:r>
      <w:r w:rsidRPr="0096081C">
        <w:rPr>
          <w:bCs/>
          <w:i/>
          <w:iCs/>
          <w:color w:val="000000"/>
          <w:sz w:val="28"/>
          <w:szCs w:val="28"/>
        </w:rPr>
        <w:t>,</w:t>
      </w:r>
      <w:r w:rsidR="00E52741" w:rsidRPr="0096081C">
        <w:rPr>
          <w:bCs/>
          <w:i/>
          <w:i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для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банков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характерен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двойной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обмен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долговыми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обязательствами: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они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размещают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свои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собственные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долговые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обязательства(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депозиты,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вкладные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свидетельства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пр.),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мобилизованные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на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этой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основе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средства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размещают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долговые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обязательства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ценные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бумаги,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выпущенные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другими.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Это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отличает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банки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от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финансовых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брокеров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дилеров,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осуществляющих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свою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деятельность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на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финансовом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рынке,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не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выпуская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собственных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долговых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обязательств.</w:t>
      </w:r>
    </w:p>
    <w:p w:rsidR="00900478" w:rsidRPr="0096081C" w:rsidRDefault="00900478" w:rsidP="00782006">
      <w:pPr>
        <w:pStyle w:val="a5"/>
        <w:tabs>
          <w:tab w:val="left" w:pos="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6081C">
        <w:rPr>
          <w:bCs/>
          <w:iCs/>
          <w:color w:val="000000"/>
          <w:sz w:val="28"/>
          <w:szCs w:val="28"/>
        </w:rPr>
        <w:t>Во</w:t>
      </w:r>
      <w:r w:rsidR="00E52741" w:rsidRPr="0096081C">
        <w:rPr>
          <w:bCs/>
          <w:iCs/>
          <w:color w:val="000000"/>
          <w:sz w:val="28"/>
          <w:szCs w:val="28"/>
        </w:rPr>
        <w:t xml:space="preserve"> </w:t>
      </w:r>
      <w:r w:rsidRPr="0096081C">
        <w:rPr>
          <w:bCs/>
          <w:iCs/>
          <w:color w:val="000000"/>
          <w:sz w:val="28"/>
          <w:szCs w:val="28"/>
        </w:rPr>
        <w:t>–</w:t>
      </w:r>
      <w:r w:rsidR="00E52741" w:rsidRPr="0096081C">
        <w:rPr>
          <w:bCs/>
          <w:iCs/>
          <w:color w:val="000000"/>
          <w:sz w:val="28"/>
          <w:szCs w:val="28"/>
        </w:rPr>
        <w:t xml:space="preserve"> </w:t>
      </w:r>
      <w:r w:rsidRPr="0096081C">
        <w:rPr>
          <w:bCs/>
          <w:iCs/>
          <w:color w:val="000000"/>
          <w:sz w:val="28"/>
          <w:szCs w:val="28"/>
        </w:rPr>
        <w:t>вторых</w:t>
      </w:r>
      <w:r w:rsidRPr="0096081C">
        <w:rPr>
          <w:bCs/>
          <w:i/>
          <w:iCs/>
          <w:color w:val="000000"/>
          <w:sz w:val="28"/>
          <w:szCs w:val="28"/>
        </w:rPr>
        <w:t>,</w:t>
      </w:r>
      <w:r w:rsidR="00E52741" w:rsidRPr="0096081C">
        <w:rPr>
          <w:bCs/>
          <w:i/>
          <w:i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банки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отличает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принятие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на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себя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безусловных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обязательств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фиксированной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суммой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долга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перед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юридическими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физическими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лицами,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например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при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помещении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средств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клиентов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на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счета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вклады,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при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выпуске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депозитных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сертификатов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т.п.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Этим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банки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отличаются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от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различных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инвестиционных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фондов,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мобилизующих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ресурсы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на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основе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собственных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акций.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Фиксированные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по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сумме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обязательства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несут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себе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наибольший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риск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для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посредников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(банков),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поскольку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должны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быть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оплачены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полной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сумме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независимо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от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рыночной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конъюнктуры,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то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время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как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инвестиционная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компания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(фонд)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все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риски,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связанные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изменением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стоимости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ее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активов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пассивов,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распределяет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среди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своих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акционеров.</w:t>
      </w:r>
    </w:p>
    <w:p w:rsidR="00900478" w:rsidRPr="0096081C" w:rsidRDefault="00900478" w:rsidP="00782006">
      <w:pPr>
        <w:pStyle w:val="a5"/>
        <w:tabs>
          <w:tab w:val="left" w:pos="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6081C">
        <w:rPr>
          <w:bCs/>
          <w:color w:val="000000"/>
          <w:sz w:val="28"/>
          <w:szCs w:val="28"/>
        </w:rPr>
        <w:t>Услуги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банка</w:t>
      </w:r>
    </w:p>
    <w:p w:rsidR="00900478" w:rsidRPr="0096081C" w:rsidRDefault="00900478" w:rsidP="00782006">
      <w:pPr>
        <w:pStyle w:val="a5"/>
        <w:tabs>
          <w:tab w:val="left" w:pos="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6081C">
        <w:rPr>
          <w:bCs/>
          <w:color w:val="000000"/>
          <w:sz w:val="28"/>
          <w:szCs w:val="28"/>
        </w:rPr>
        <w:t>Для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физических</w:t>
      </w:r>
      <w:r w:rsidR="00E52741" w:rsidRPr="0096081C">
        <w:rPr>
          <w:bCs/>
          <w:color w:val="000000"/>
          <w:sz w:val="28"/>
          <w:szCs w:val="28"/>
        </w:rPr>
        <w:t xml:space="preserve"> </w:t>
      </w:r>
      <w:r w:rsidRPr="0096081C">
        <w:rPr>
          <w:bCs/>
          <w:color w:val="000000"/>
          <w:sz w:val="28"/>
          <w:szCs w:val="28"/>
        </w:rPr>
        <w:t>лиц</w:t>
      </w:r>
    </w:p>
    <w:p w:rsidR="00900478" w:rsidRPr="0096081C" w:rsidRDefault="00900478" w:rsidP="00782006">
      <w:pPr>
        <w:pStyle w:val="a5"/>
        <w:tabs>
          <w:tab w:val="left" w:pos="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6081C">
        <w:rPr>
          <w:bCs/>
          <w:color w:val="000000"/>
          <w:sz w:val="28"/>
          <w:szCs w:val="28"/>
        </w:rPr>
        <w:t>Кредитование:</w:t>
      </w:r>
    </w:p>
    <w:p w:rsidR="00900478" w:rsidRPr="0096081C" w:rsidRDefault="00900478" w:rsidP="00782006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Кредиты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предоставляются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физическим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лицам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гражданам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Федерации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возрасте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18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условии,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срок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возврата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договору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наступает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75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лет.</w:t>
      </w:r>
    </w:p>
    <w:p w:rsidR="00900478" w:rsidRPr="0096081C" w:rsidRDefault="00900478" w:rsidP="00782006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Кредиты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сумме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45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000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рублей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эквивалента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суммы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валюте)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включительно,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сроком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1,5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лет,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могут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предоставляться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без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обеспечения.</w:t>
      </w:r>
    </w:p>
    <w:p w:rsidR="00900478" w:rsidRPr="0096081C" w:rsidRDefault="00900478" w:rsidP="00782006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Минимальная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сумма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15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000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рублей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эквивалент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суммы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иностранной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валюте).</w:t>
      </w:r>
    </w:p>
    <w:p w:rsidR="00900478" w:rsidRPr="0096081C" w:rsidRDefault="00900478" w:rsidP="00782006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Максимальный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размер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каждого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заемщика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основании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оценки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платежеспособности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предоставленного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возврата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учетом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благонадежности.</w:t>
      </w:r>
    </w:p>
    <w:p w:rsidR="00900478" w:rsidRPr="0096081C" w:rsidRDefault="00900478" w:rsidP="00782006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качестве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основного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принимает:</w:t>
      </w:r>
    </w:p>
    <w:p w:rsidR="00900478" w:rsidRPr="0096081C" w:rsidRDefault="00900478" w:rsidP="00782006">
      <w:pPr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поручительства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граждан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Федерации,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имеющих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постоянный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источник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дохода;</w:t>
      </w:r>
    </w:p>
    <w:p w:rsidR="00900478" w:rsidRPr="0096081C" w:rsidRDefault="00900478" w:rsidP="00782006">
      <w:pPr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поручительства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лиц;</w:t>
      </w:r>
    </w:p>
    <w:p w:rsidR="00900478" w:rsidRPr="0096081C" w:rsidRDefault="00900478" w:rsidP="00782006">
      <w:pPr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залог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недвижимого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имущества;</w:t>
      </w:r>
    </w:p>
    <w:p w:rsidR="00900478" w:rsidRPr="0096081C" w:rsidRDefault="00900478" w:rsidP="00782006">
      <w:pPr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залог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незавершенного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строительством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недвижимого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имущества;</w:t>
      </w:r>
    </w:p>
    <w:p w:rsidR="00900478" w:rsidRPr="0096081C" w:rsidRDefault="00900478" w:rsidP="00782006">
      <w:pPr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залог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имущества;</w:t>
      </w:r>
    </w:p>
    <w:p w:rsidR="00900478" w:rsidRPr="0096081C" w:rsidRDefault="00900478" w:rsidP="00782006">
      <w:pPr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залог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мерных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слитков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драгоценных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металлов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обязательным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хранением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закладываемого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имущества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Банке;</w:t>
      </w:r>
    </w:p>
    <w:p w:rsidR="00900478" w:rsidRPr="0096081C" w:rsidRDefault="00900478" w:rsidP="00782006">
      <w:pPr>
        <w:numPr>
          <w:ilvl w:val="1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залог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эмиссионных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неэмиссионных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бумаг;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лиц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Расчетно-кассовое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обслуживание</w:t>
      </w:r>
    </w:p>
    <w:p w:rsidR="00900478" w:rsidRPr="0096081C" w:rsidRDefault="00900478" w:rsidP="00782006">
      <w:pPr>
        <w:pStyle w:val="a8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81C">
        <w:rPr>
          <w:color w:val="000000"/>
          <w:sz w:val="28"/>
          <w:szCs w:val="28"/>
        </w:rPr>
        <w:t>На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1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января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2005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г.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количество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клиентов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-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юридических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лиц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-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b/>
          <w:bCs/>
          <w:color w:val="000000"/>
          <w:sz w:val="28"/>
          <w:szCs w:val="28"/>
        </w:rPr>
        <w:t>132</w:t>
      </w:r>
      <w:r w:rsidR="00E52741" w:rsidRPr="0096081C">
        <w:rPr>
          <w:b/>
          <w:bCs/>
          <w:color w:val="000000"/>
          <w:sz w:val="28"/>
          <w:szCs w:val="28"/>
        </w:rPr>
        <w:t xml:space="preserve"> </w:t>
      </w:r>
      <w:r w:rsidRPr="0096081C">
        <w:rPr>
          <w:b/>
          <w:bCs/>
          <w:color w:val="000000"/>
          <w:sz w:val="28"/>
          <w:szCs w:val="28"/>
        </w:rPr>
        <w:t>627</w:t>
      </w:r>
      <w:r w:rsidRPr="0096081C">
        <w:rPr>
          <w:color w:val="000000"/>
          <w:sz w:val="28"/>
          <w:szCs w:val="28"/>
        </w:rPr>
        <w:t>.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На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сегодняшний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день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стратегической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целью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является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предоставление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полного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спектра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банковских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услуг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максимально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большому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числу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клиентов.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Уникальное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положение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на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финансовом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рынке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обуславливается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имеющимися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гарантиями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государства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(в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лице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Центрального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РФ),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устойчивой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клиентской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базой,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высокопрофессиональным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коллективом,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взвешенным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гибким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подходом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обслуживаю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всех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клиентов.</w:t>
      </w:r>
    </w:p>
    <w:p w:rsidR="00900478" w:rsidRPr="0096081C" w:rsidRDefault="00900478" w:rsidP="00782006">
      <w:pPr>
        <w:pStyle w:val="a8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81C">
        <w:rPr>
          <w:color w:val="000000"/>
          <w:sz w:val="28"/>
          <w:szCs w:val="28"/>
        </w:rPr>
        <w:t>Имеющийся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собственный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расчетный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центр,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современные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средства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связи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используемая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система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удаленного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доступа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управлению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счетами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для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юридических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лиц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"Клиент-Сбербанк"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позволяют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сделать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Ваши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расчеты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максимально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быстрыми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комфортными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-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все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платежи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клиентов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осуществляются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течение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одного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банковского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дня.</w:t>
      </w:r>
    </w:p>
    <w:p w:rsidR="00900478" w:rsidRPr="0096081C" w:rsidRDefault="00900478" w:rsidP="00782006">
      <w:pPr>
        <w:pStyle w:val="a8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81C">
        <w:rPr>
          <w:color w:val="000000"/>
          <w:sz w:val="28"/>
          <w:szCs w:val="28"/>
        </w:rPr>
        <w:t>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учреждениях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Сберегательного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Вы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получаете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доступ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всем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возможным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банковским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услугам,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предоставляемым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на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основе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принципов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точности,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конфиденциальности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оперативности.</w:t>
      </w:r>
    </w:p>
    <w:p w:rsidR="00E52741" w:rsidRPr="0096081C" w:rsidRDefault="00900478" w:rsidP="00782006">
      <w:pPr>
        <w:pStyle w:val="a8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81C">
        <w:rPr>
          <w:color w:val="000000"/>
          <w:sz w:val="28"/>
          <w:szCs w:val="28"/>
        </w:rPr>
        <w:t>Поволжский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СБ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РФ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для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повышения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качества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обслуживания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крупных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клиентов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предлагает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услуги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персональных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менеджеров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–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консультантов: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именно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участием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происходит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"общение"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клиента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Банком.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Помимо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решения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технических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вопросов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обслуживания,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основная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функция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консультанта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-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создание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целостной,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комфортной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системы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банковского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обслуживания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целью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предоставления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клиенту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возможности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максимально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сосредоточиться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на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своем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бизнесе.</w:t>
      </w:r>
    </w:p>
    <w:p w:rsidR="00900478" w:rsidRPr="0096081C" w:rsidRDefault="00E52741" w:rsidP="00782006">
      <w:pPr>
        <w:pStyle w:val="a8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81C">
        <w:rPr>
          <w:color w:val="000000"/>
          <w:sz w:val="28"/>
          <w:szCs w:val="28"/>
        </w:rPr>
        <w:br w:type="page"/>
      </w:r>
      <w:r w:rsidR="00900478" w:rsidRPr="0096081C">
        <w:rPr>
          <w:b/>
          <w:bCs/>
          <w:color w:val="000000"/>
          <w:sz w:val="28"/>
          <w:szCs w:val="28"/>
        </w:rPr>
        <w:t>Основные</w:t>
      </w:r>
      <w:r w:rsidRPr="0096081C">
        <w:rPr>
          <w:b/>
          <w:bCs/>
          <w:color w:val="000000"/>
          <w:sz w:val="28"/>
          <w:szCs w:val="28"/>
        </w:rPr>
        <w:t xml:space="preserve"> </w:t>
      </w:r>
      <w:r w:rsidR="00900478" w:rsidRPr="0096081C">
        <w:rPr>
          <w:b/>
          <w:bCs/>
          <w:color w:val="000000"/>
          <w:sz w:val="28"/>
          <w:szCs w:val="28"/>
        </w:rPr>
        <w:t>функции</w:t>
      </w:r>
      <w:r w:rsidRPr="0096081C">
        <w:rPr>
          <w:b/>
          <w:bCs/>
          <w:color w:val="000000"/>
          <w:sz w:val="28"/>
          <w:szCs w:val="28"/>
        </w:rPr>
        <w:t xml:space="preserve"> </w:t>
      </w:r>
      <w:r w:rsidR="00900478" w:rsidRPr="0096081C">
        <w:rPr>
          <w:b/>
          <w:bCs/>
          <w:color w:val="000000"/>
          <w:sz w:val="28"/>
          <w:szCs w:val="28"/>
        </w:rPr>
        <w:t>консультантов:</w:t>
      </w:r>
    </w:p>
    <w:p w:rsidR="00900478" w:rsidRPr="0096081C" w:rsidRDefault="00900478" w:rsidP="00782006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оказание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консультационных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услуг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числе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выездом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офис)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вопросам,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связанным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обслуживанием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бизнеса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клиента;</w:t>
      </w:r>
    </w:p>
    <w:p w:rsidR="00900478" w:rsidRPr="0096081C" w:rsidRDefault="00900478" w:rsidP="00782006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оценка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выяснение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потребности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взаимоотношениях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структурами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Сберегательного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(расчетно-кассовое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обслуживание,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услуги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бумагам,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инкассации,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кредитованию,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депозитарные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услуги,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консультации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личными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руководителей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т.п.);</w:t>
      </w:r>
    </w:p>
    <w:p w:rsidR="00900478" w:rsidRPr="0096081C" w:rsidRDefault="00900478" w:rsidP="00782006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контроля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движением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денежных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счетам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клиентов;</w:t>
      </w:r>
    </w:p>
    <w:p w:rsidR="00900478" w:rsidRPr="0096081C" w:rsidRDefault="00900478" w:rsidP="00782006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помощь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установлении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партнерских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отношений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другими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клиентами;</w:t>
      </w:r>
    </w:p>
    <w:p w:rsidR="00900478" w:rsidRPr="0096081C" w:rsidRDefault="00900478" w:rsidP="00782006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оказание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технической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помощи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оформлении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документации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т.д.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478" w:rsidRPr="0096081C" w:rsidRDefault="00E52741" w:rsidP="00782006">
      <w:pPr>
        <w:pStyle w:val="a5"/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6081C">
        <w:rPr>
          <w:b/>
          <w:bCs/>
          <w:color w:val="000000"/>
          <w:sz w:val="28"/>
          <w:szCs w:val="28"/>
        </w:rPr>
        <w:br w:type="page"/>
      </w:r>
      <w:r w:rsidR="00900478" w:rsidRPr="0096081C">
        <w:rPr>
          <w:b/>
          <w:bCs/>
          <w:color w:val="000000"/>
          <w:sz w:val="28"/>
          <w:szCs w:val="28"/>
        </w:rPr>
        <w:t>2.</w:t>
      </w:r>
      <w:r w:rsidRPr="0096081C">
        <w:rPr>
          <w:b/>
          <w:bCs/>
          <w:color w:val="000000"/>
          <w:sz w:val="28"/>
          <w:szCs w:val="28"/>
        </w:rPr>
        <w:t xml:space="preserve"> </w:t>
      </w:r>
      <w:r w:rsidR="00900478" w:rsidRPr="0096081C">
        <w:rPr>
          <w:b/>
          <w:bCs/>
          <w:color w:val="000000"/>
          <w:sz w:val="28"/>
          <w:szCs w:val="28"/>
        </w:rPr>
        <w:t>Имущественное</w:t>
      </w:r>
      <w:r w:rsidRPr="0096081C">
        <w:rPr>
          <w:b/>
          <w:bCs/>
          <w:color w:val="000000"/>
          <w:sz w:val="28"/>
          <w:szCs w:val="28"/>
        </w:rPr>
        <w:t xml:space="preserve"> </w:t>
      </w:r>
      <w:r w:rsidR="00900478" w:rsidRPr="0096081C">
        <w:rPr>
          <w:b/>
          <w:bCs/>
          <w:color w:val="000000"/>
          <w:sz w:val="28"/>
          <w:szCs w:val="28"/>
        </w:rPr>
        <w:t>состояние</w:t>
      </w:r>
      <w:r w:rsidRPr="0096081C">
        <w:rPr>
          <w:b/>
          <w:bCs/>
          <w:color w:val="000000"/>
          <w:sz w:val="28"/>
          <w:szCs w:val="28"/>
        </w:rPr>
        <w:t xml:space="preserve"> банка</w:t>
      </w:r>
    </w:p>
    <w:p w:rsidR="00E52741" w:rsidRPr="0096081C" w:rsidRDefault="00E52741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Банковский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бизнес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отличается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бизнеса.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вовлечены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традиционную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операционную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такую,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приобретение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запасов,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оборудования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внеоборотных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производят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материальные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продукты,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тесно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связанные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деятельностью.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Однако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настоящий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момент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они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расширили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спектр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направлений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охватывают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сферы,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инвестиционный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бизнес,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структурирование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деривативов,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торговля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инструментами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исследований.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определении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рыночной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стоимости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коммерческого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отдельных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следует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помнить,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оценка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бизнеса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коммерческих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многом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обусловлена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рядом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определяющих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факторов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развития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сектора,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обычно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относят:</w:t>
      </w:r>
    </w:p>
    <w:p w:rsidR="00900478" w:rsidRPr="0096081C" w:rsidRDefault="00900478" w:rsidP="00782006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Представляя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особую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роль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центре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подлежат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строгому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регулированию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стороны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государства.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Необходимостью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создания.</w:t>
      </w:r>
    </w:p>
    <w:p w:rsidR="00900478" w:rsidRPr="0096081C" w:rsidRDefault="00900478" w:rsidP="00782006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Форма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учета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отличается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традиционных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форм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отчетности.</w:t>
      </w:r>
    </w:p>
    <w:p w:rsidR="00900478" w:rsidRPr="0096081C" w:rsidRDefault="00900478" w:rsidP="00782006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Специфика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бизнеса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значительную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заемных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низкий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уровень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собственного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балансе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Обязательства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состоят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двух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компонентов: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первый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компонент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обязательства,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возникающие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заимствований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заемного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капитала;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второй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привлекаемые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свободные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денежные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населения.</w:t>
      </w:r>
    </w:p>
    <w:p w:rsidR="00900478" w:rsidRPr="0096081C" w:rsidRDefault="00900478" w:rsidP="00782006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Показатели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ориентируются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сочетания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приемлемого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уровня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дохода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относительно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высоком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риске.</w:t>
      </w:r>
    </w:p>
    <w:p w:rsidR="00900478" w:rsidRPr="0096081C" w:rsidRDefault="00900478" w:rsidP="00782006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Сложность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совершении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оформлении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ряда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(например,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производными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инструментами).</w:t>
      </w:r>
    </w:p>
    <w:p w:rsidR="00900478" w:rsidRPr="0096081C" w:rsidRDefault="00900478" w:rsidP="00782006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Наличие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коммерческого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неосязаемых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виде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гарантий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правительства,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учитывать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оценке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рыночной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стоимости.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478" w:rsidRPr="0096081C" w:rsidRDefault="00E52741" w:rsidP="007820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900478" w:rsidRPr="0096081C">
        <w:rPr>
          <w:rFonts w:ascii="Times New Roman" w:hAnsi="Times New Roman"/>
          <w:b/>
          <w:bCs/>
          <w:color w:val="000000"/>
          <w:sz w:val="28"/>
          <w:szCs w:val="28"/>
        </w:rPr>
        <w:t>3.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bCs/>
          <w:color w:val="000000"/>
          <w:sz w:val="28"/>
          <w:szCs w:val="28"/>
        </w:rPr>
        <w:t>Формирование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bCs/>
          <w:color w:val="000000"/>
          <w:sz w:val="28"/>
          <w:szCs w:val="28"/>
        </w:rPr>
        <w:t>ресурсов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bCs/>
          <w:color w:val="000000"/>
          <w:sz w:val="28"/>
          <w:szCs w:val="28"/>
        </w:rPr>
        <w:t>банка: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bCs/>
          <w:color w:val="000000"/>
          <w:sz w:val="28"/>
          <w:szCs w:val="28"/>
        </w:rPr>
        <w:t>активные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bCs/>
          <w:color w:val="000000"/>
          <w:sz w:val="28"/>
          <w:szCs w:val="28"/>
        </w:rPr>
        <w:t>пассивные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bCs/>
          <w:color w:val="000000"/>
          <w:sz w:val="28"/>
          <w:szCs w:val="28"/>
        </w:rPr>
        <w:t>операции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банка</w:t>
      </w:r>
    </w:p>
    <w:p w:rsidR="00E52741" w:rsidRPr="0096081C" w:rsidRDefault="00E52741" w:rsidP="007820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Ресурсы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осуществляются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через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операции.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Они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подразделяются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88"/>
        <w:gridCol w:w="5382"/>
      </w:tblGrid>
      <w:tr w:rsidR="00900478" w:rsidRPr="0096081C" w:rsidTr="0096081C">
        <w:trPr>
          <w:jc w:val="center"/>
        </w:trPr>
        <w:tc>
          <w:tcPr>
            <w:tcW w:w="0" w:type="auto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пассивные:</w:t>
            </w:r>
          </w:p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операции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связанные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формированием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банков.</w:t>
            </w:r>
          </w:p>
        </w:tc>
        <w:tc>
          <w:tcPr>
            <w:tcW w:w="0" w:type="auto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активные:</w:t>
            </w:r>
          </w:p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операции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связанные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размещением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привлеченных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средств.</w:t>
            </w:r>
          </w:p>
        </w:tc>
      </w:tr>
    </w:tbl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081C">
        <w:rPr>
          <w:rFonts w:ascii="Times New Roman" w:hAnsi="Times New Roman"/>
          <w:b/>
          <w:color w:val="000000"/>
          <w:sz w:val="28"/>
          <w:szCs w:val="28"/>
        </w:rPr>
        <w:t>3.1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Рассмотрим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пассивные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операции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коммерческих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44BA4" w:rsidRPr="0096081C">
        <w:rPr>
          <w:rFonts w:ascii="Times New Roman" w:hAnsi="Times New Roman"/>
          <w:b/>
          <w:color w:val="000000"/>
          <w:sz w:val="28"/>
          <w:szCs w:val="28"/>
        </w:rPr>
        <w:t>банков</w:t>
      </w:r>
    </w:p>
    <w:p w:rsidR="00E52741" w:rsidRPr="0096081C" w:rsidRDefault="00E52741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ресурсы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формируются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собственных,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привлеченных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эмитированных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собственным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средствам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относятся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акционерный,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резервный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нераспределенная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прибыль.</w:t>
      </w:r>
    </w:p>
    <w:p w:rsidR="00900478" w:rsidRPr="0096081C" w:rsidRDefault="00900478" w:rsidP="00782006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акционерный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(Уставный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фонд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банка)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создается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путем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выпуска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размещения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акций.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правило,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мере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развития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расширения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последовательно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осуществляют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новые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выпуски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акций.</w:t>
      </w:r>
    </w:p>
    <w:p w:rsidR="00900478" w:rsidRPr="0096081C" w:rsidRDefault="00900478" w:rsidP="00782006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резервный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резервный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фонд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образуется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отчислений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прибыли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предназначен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покрытия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непредвиденных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убытков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потерь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падения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курсов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бумаг.</w:t>
      </w:r>
    </w:p>
    <w:p w:rsidR="00900478" w:rsidRPr="0096081C" w:rsidRDefault="00900478" w:rsidP="00782006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нераспределенная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прибыль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часть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прибыли,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оставшаяся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после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выплаты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дивидендов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отчислений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резервный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фонд.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Собственные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имеют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важное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значение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коммерческих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периоды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экономических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кризисов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недостаточно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продуманная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политика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области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пассивов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размещения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приводит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крахам.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Привлеченные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составляют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основную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часть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ресурсов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коммерческих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депозиты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(вклады)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контокоррентные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корреспондентские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счета:</w:t>
      </w:r>
    </w:p>
    <w:p w:rsidR="00900478" w:rsidRPr="0096081C" w:rsidRDefault="00900478" w:rsidP="00782006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депозиты,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очередь,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подразделяются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на:</w:t>
      </w:r>
    </w:p>
    <w:p w:rsidR="00900478" w:rsidRPr="0096081C" w:rsidRDefault="00900478" w:rsidP="00782006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вклады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востребования;</w:t>
      </w:r>
    </w:p>
    <w:p w:rsidR="00900478" w:rsidRPr="0096081C" w:rsidRDefault="00900478" w:rsidP="00782006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срочные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вклады;</w:t>
      </w:r>
    </w:p>
    <w:p w:rsidR="00900478" w:rsidRPr="0096081C" w:rsidRDefault="00900478" w:rsidP="00782006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сберегательные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вклады.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Вклады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востребования,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текущие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могут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быть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изъяты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вкладчиками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первому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требованию.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полученной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чековой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книжке,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владелец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праве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сам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получать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деньги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расплачиваться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агентами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экономических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отношений.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данные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вклады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коммерческие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платят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проценты.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Срочные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вклады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вносятся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определенный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срок,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уплачиваются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повышенные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проценты.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Ставка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процента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зависит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размера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срока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вклада.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Сберегательные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вклады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вносятся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изымаются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сумме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частично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удостоверяются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выдачей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сберегательной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книжки.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наиболее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привлекательными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срочные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вклады,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усиливают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ликвидные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позиции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Важным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источником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ресурсов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выступают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межбанковские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т.е.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получаемые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рынке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преобладают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краткосрочные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межбанковские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числе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называемые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"короткие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деньги"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(кредиты,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выдаваемые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одного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дня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двух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недель)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Значение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межбанковских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состоит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что,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перераспределяя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избыточные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некоторых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ресурсы,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ранок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повышает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ресурсов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целом.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Кроме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того,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наличие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развитого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межбанковских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позволяет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сосредотачивать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оперативных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резервах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меньше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поддержания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ликвидности.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Коммерческие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получают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Центрального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форме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переучета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перезалога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векселей,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порядке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рефинансирования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форме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ломбардных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кредитов.</w:t>
      </w:r>
    </w:p>
    <w:p w:rsidR="00900478" w:rsidRPr="0096081C" w:rsidRDefault="00900478" w:rsidP="00782006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контокоррент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единственный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производятся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расчетные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между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банком.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отдельные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периоды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пассивным,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активным: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наличии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пассивным,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отсутствии,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когда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выставляет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платежное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поручение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выписывает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чеки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активным.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Кредит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контокоррентному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предоставляется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коммерческими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векселями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либо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форме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необеспеченных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т.е.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без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всякого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обеспечения.</w:t>
      </w:r>
    </w:p>
    <w:p w:rsidR="00900478" w:rsidRPr="0096081C" w:rsidRDefault="00900478" w:rsidP="00782006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ценные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находятся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балансе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продаются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соглашением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обратном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выкупе.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Эмитированные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клиентуры,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можно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пользоваться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длительный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период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(облигационные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займы,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векселя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т.д.)</w:t>
      </w:r>
    </w:p>
    <w:p w:rsidR="00900478" w:rsidRPr="0096081C" w:rsidRDefault="00900478" w:rsidP="00782006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Облигационные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займы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эмитируются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виде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облигаций.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Выпуск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объектом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жесткой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регламентации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стороны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государственных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органов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территориальных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подразделений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ЦБР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самого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ЦБР: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без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утверждения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проспекта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эмиссии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облигационного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займа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выпуск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незаконным.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081C">
        <w:rPr>
          <w:rFonts w:ascii="Times New Roman" w:hAnsi="Times New Roman"/>
          <w:b/>
          <w:color w:val="000000"/>
          <w:sz w:val="28"/>
          <w:szCs w:val="28"/>
        </w:rPr>
        <w:t>3.2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Рассмотрим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активные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операции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коммерческих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банков</w:t>
      </w:r>
    </w:p>
    <w:p w:rsidR="00E52741" w:rsidRPr="0096081C" w:rsidRDefault="00E52741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Мобилизованные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денежные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используют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клиентуры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предпринимательской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деятельности.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срока,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предоставляют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клиентам,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они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подразделяются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срочные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(выдаются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определенный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срок)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локальные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англ.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on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call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требованию)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должны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быть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возвращены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первому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требованию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обеспечения,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выдаются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различают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вексельные,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подтоварные,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фондовые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бланковые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операции.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Вексельные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подразделяются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учету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векселей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векселя.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Учет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(дисконтирование)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векселей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означает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покупку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векселей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истечения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срока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погашения,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очередь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если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он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начал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испытывать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затруднения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средствах,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сам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может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переучесть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данные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векселя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региональном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Центрального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он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владельцем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векселя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выплачивает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лицу,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эмитировавшему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вексель,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определенную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сумму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денег.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взимает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определенный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процент,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называется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учетным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процентом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(дисконтом).</w:t>
      </w:r>
    </w:p>
    <w:p w:rsidR="00900478" w:rsidRPr="0096081C" w:rsidRDefault="00900478" w:rsidP="00782006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вексель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коммерческий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возникает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основе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товарного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обращения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(наиболее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надежен)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;</w:t>
      </w:r>
    </w:p>
    <w:p w:rsidR="00900478" w:rsidRPr="0096081C" w:rsidRDefault="00900478" w:rsidP="00782006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"дружеские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векселя"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векселя,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лица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выставляют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получения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без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всякого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движения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товаров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(бронзовые)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Подтоварные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залог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товаров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товарораспорядительных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документов.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Они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выдаются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полном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размере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рыночной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стоимости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товара,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её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части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(обычно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более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50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%)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Поскольку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условиях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рыночной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экономики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главная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проблема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реализация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товара,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произведенный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отправленный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товар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может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найти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покупателя.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состоит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главное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отличие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отношений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условиях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административно-командной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где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практически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производится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рамках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жесткого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плана,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учтены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потребности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общества.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условиях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рыночных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отношений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изобилии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товаров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необходим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просто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спрос,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платежеспособный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спрос.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Фондовые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операции.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объектом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служат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различные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виды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выступают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виде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покупки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счёт.</w:t>
      </w:r>
    </w:p>
    <w:p w:rsidR="00900478" w:rsidRPr="0096081C" w:rsidRDefault="00900478" w:rsidP="00782006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Ссуды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выдаются,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правило,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полном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размере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курсовой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рыночной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стоимости,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определенной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части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(50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60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%)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Ценные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представляют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собой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фиктивный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правило,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связаны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действительным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производством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товаров.</w:t>
      </w:r>
    </w:p>
    <w:p w:rsidR="00900478" w:rsidRPr="0096081C" w:rsidRDefault="00900478" w:rsidP="00782006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Банковские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инвестиции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(покупка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различных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эмитентов)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инвестиций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владельцем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портфеля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Цель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покупки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либо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стремление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дальнейшей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перепродаже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либо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долгосрочное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вложение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капитала.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можно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получить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могут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предоставить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учреждения.</w:t>
      </w:r>
    </w:p>
    <w:p w:rsidR="00900478" w:rsidRPr="0096081C" w:rsidRDefault="00900478" w:rsidP="00782006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действующих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рейтингах,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присвоенных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Сбербанку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международными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рейтинговыми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агентствами</w:t>
      </w:r>
    </w:p>
    <w:p w:rsidR="00E52741" w:rsidRPr="0096081C" w:rsidRDefault="00E52741" w:rsidP="00782006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478" w:rsidRPr="0096081C" w:rsidRDefault="00E52741" w:rsidP="00782006">
      <w:pPr>
        <w:pStyle w:val="2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 xml:space="preserve">Таблица 1 </w:t>
      </w:r>
      <w:r w:rsidR="00900478" w:rsidRPr="0096081C">
        <w:rPr>
          <w:rFonts w:ascii="Times New Roman" w:hAnsi="Times New Roman"/>
          <w:color w:val="000000"/>
          <w:sz w:val="28"/>
          <w:szCs w:val="28"/>
        </w:rPr>
        <w:t>Агентство</w:t>
      </w:r>
      <w:r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color w:val="000000"/>
          <w:sz w:val="28"/>
          <w:szCs w:val="28"/>
        </w:rPr>
        <w:t>Fitch</w:t>
      </w:r>
      <w:r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color w:val="000000"/>
          <w:sz w:val="28"/>
          <w:szCs w:val="28"/>
        </w:rPr>
        <w:t>Ratings:</w:t>
      </w:r>
    </w:p>
    <w:tbl>
      <w:tblPr>
        <w:tblW w:w="92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364"/>
        <w:gridCol w:w="929"/>
      </w:tblGrid>
      <w:tr w:rsidR="00900478" w:rsidRPr="0096081C" w:rsidTr="0096081C">
        <w:trPr>
          <w:jc w:val="center"/>
        </w:trPr>
        <w:tc>
          <w:tcPr>
            <w:tcW w:w="9293" w:type="dxa"/>
            <w:gridSpan w:val="2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Рейтинги</w:t>
            </w:r>
            <w:r w:rsidR="00E52741" w:rsidRPr="009608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</w:t>
            </w:r>
            <w:r w:rsidR="00E52741" w:rsidRPr="009608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международной</w:t>
            </w:r>
            <w:r w:rsidR="00E52741" w:rsidRPr="009608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шкале:</w:t>
            </w:r>
          </w:p>
        </w:tc>
      </w:tr>
      <w:tr w:rsidR="00900478" w:rsidRPr="0096081C" w:rsidTr="0096081C">
        <w:trPr>
          <w:jc w:val="center"/>
        </w:trPr>
        <w:tc>
          <w:tcPr>
            <w:tcW w:w="8364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дефолта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эмитента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иностранной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валюте</w:t>
            </w:r>
          </w:p>
        </w:tc>
        <w:tc>
          <w:tcPr>
            <w:tcW w:w="92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«ВВВ+»</w:t>
            </w:r>
          </w:p>
        </w:tc>
      </w:tr>
      <w:tr w:rsidR="00900478" w:rsidRPr="0096081C" w:rsidTr="0096081C">
        <w:trPr>
          <w:jc w:val="center"/>
        </w:trPr>
        <w:tc>
          <w:tcPr>
            <w:tcW w:w="8364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дефолта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эмитента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иностранной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валюте</w:t>
            </w:r>
          </w:p>
        </w:tc>
        <w:tc>
          <w:tcPr>
            <w:tcW w:w="92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«F2»</w:t>
            </w:r>
          </w:p>
        </w:tc>
      </w:tr>
      <w:tr w:rsidR="00900478" w:rsidRPr="0096081C" w:rsidTr="0096081C">
        <w:trPr>
          <w:jc w:val="center"/>
        </w:trPr>
        <w:tc>
          <w:tcPr>
            <w:tcW w:w="8364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Уровень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поддержки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долгосрочного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рейтинга</w:t>
            </w:r>
          </w:p>
        </w:tc>
        <w:tc>
          <w:tcPr>
            <w:tcW w:w="92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«ВВВ+»</w:t>
            </w:r>
          </w:p>
        </w:tc>
      </w:tr>
      <w:tr w:rsidR="00900478" w:rsidRPr="0096081C" w:rsidTr="0096081C">
        <w:trPr>
          <w:jc w:val="center"/>
        </w:trPr>
        <w:tc>
          <w:tcPr>
            <w:tcW w:w="8364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92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«С»</w:t>
            </w:r>
          </w:p>
        </w:tc>
      </w:tr>
      <w:tr w:rsidR="00900478" w:rsidRPr="0096081C" w:rsidTr="0096081C">
        <w:trPr>
          <w:jc w:val="center"/>
        </w:trPr>
        <w:tc>
          <w:tcPr>
            <w:tcW w:w="8364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поддержки</w:t>
            </w:r>
          </w:p>
        </w:tc>
        <w:tc>
          <w:tcPr>
            <w:tcW w:w="92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«2»</w:t>
            </w:r>
          </w:p>
        </w:tc>
      </w:tr>
      <w:tr w:rsidR="00900478" w:rsidRPr="0096081C" w:rsidTr="0096081C">
        <w:trPr>
          <w:jc w:val="center"/>
        </w:trPr>
        <w:tc>
          <w:tcPr>
            <w:tcW w:w="8364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выпуска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международных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облигаций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участия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субординированном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кредите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единственной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целью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субординированного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кредита,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предоставляемого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Сбербанку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России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(выпуск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года)</w:t>
            </w:r>
          </w:p>
        </w:tc>
        <w:tc>
          <w:tcPr>
            <w:tcW w:w="92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«ВВВ»</w:t>
            </w:r>
          </w:p>
        </w:tc>
      </w:tr>
      <w:tr w:rsidR="00900478" w:rsidRPr="0096081C" w:rsidTr="0096081C">
        <w:trPr>
          <w:jc w:val="center"/>
        </w:trPr>
        <w:tc>
          <w:tcPr>
            <w:tcW w:w="8364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Рейтинги,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присвоенные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программе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выпуска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среднесрочных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облигаций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(MTN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программа)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участия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кредитах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единственной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целью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кредитов,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предоставляемых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Сбербанку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России: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«ВВВ+»,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92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«F2»</w:t>
            </w:r>
          </w:p>
        </w:tc>
      </w:tr>
      <w:tr w:rsidR="00900478" w:rsidRPr="0096081C" w:rsidTr="0096081C">
        <w:trPr>
          <w:jc w:val="center"/>
        </w:trPr>
        <w:tc>
          <w:tcPr>
            <w:tcW w:w="8364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выпуска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международных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облигаций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участия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кредите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единственной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целью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кредита,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предоставляемого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Сбербанку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России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(первый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выпуск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рамках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MTN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программы,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выпуск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мае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2006г.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погашением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2013г.)</w:t>
            </w:r>
          </w:p>
        </w:tc>
        <w:tc>
          <w:tcPr>
            <w:tcW w:w="92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«ВВВ+»</w:t>
            </w:r>
          </w:p>
        </w:tc>
      </w:tr>
      <w:tr w:rsidR="00900478" w:rsidRPr="0096081C" w:rsidTr="0096081C">
        <w:trPr>
          <w:jc w:val="center"/>
        </w:trPr>
        <w:tc>
          <w:tcPr>
            <w:tcW w:w="8364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выпуска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международных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облигаций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участия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кредите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единственной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целью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кредита,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предоставляемого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Сбербанку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России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(второй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выпуск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рамках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MTN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—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программы,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выпуск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ноябре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2006г.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погашением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2011г.)</w:t>
            </w:r>
          </w:p>
        </w:tc>
        <w:tc>
          <w:tcPr>
            <w:tcW w:w="92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«ВВВ+»</w:t>
            </w:r>
          </w:p>
        </w:tc>
      </w:tr>
      <w:tr w:rsidR="00900478" w:rsidRPr="0096081C" w:rsidTr="0096081C">
        <w:trPr>
          <w:jc w:val="center"/>
        </w:trPr>
        <w:tc>
          <w:tcPr>
            <w:tcW w:w="8364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выпуска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международных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облигаций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участия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кредите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единственной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целью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кредита,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предоставляемого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Сбербанку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России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(третий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выпуск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рамках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MTN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программы,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выпуск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июле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2008г.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погашением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2013г.)</w:t>
            </w:r>
          </w:p>
        </w:tc>
        <w:tc>
          <w:tcPr>
            <w:tcW w:w="92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0"/>
              </w:rPr>
              <w:t>«ВВВ+»</w:t>
            </w:r>
          </w:p>
        </w:tc>
      </w:tr>
    </w:tbl>
    <w:p w:rsidR="00E52741" w:rsidRDefault="00E52741" w:rsidP="00782006">
      <w:pPr>
        <w:jc w:val="both"/>
      </w:pPr>
    </w:p>
    <w:p w:rsidR="00900478" w:rsidRPr="00E52741" w:rsidRDefault="00E52741" w:rsidP="00782006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E52741">
        <w:rPr>
          <w:rFonts w:ascii="Times New Roman" w:hAnsi="Times New Roman"/>
          <w:sz w:val="28"/>
          <w:szCs w:val="28"/>
        </w:rPr>
        <w:t>Таблица</w:t>
      </w:r>
      <w:r w:rsidRPr="00E52741">
        <w:rPr>
          <w:rFonts w:ascii="Times New Roman" w:hAnsi="Times New Roman"/>
          <w:sz w:val="28"/>
          <w:szCs w:val="28"/>
          <w:lang w:val="en-US"/>
        </w:rPr>
        <w:t xml:space="preserve"> 2 - </w:t>
      </w:r>
      <w:r w:rsidR="00900478" w:rsidRPr="00E52741">
        <w:rPr>
          <w:rFonts w:ascii="Times New Roman" w:hAnsi="Times New Roman"/>
          <w:sz w:val="28"/>
          <w:szCs w:val="28"/>
        </w:rPr>
        <w:t>Агентство</w:t>
      </w:r>
      <w:r w:rsidRPr="00E5274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0478" w:rsidRPr="00E52741">
        <w:rPr>
          <w:rFonts w:ascii="Times New Roman" w:hAnsi="Times New Roman"/>
          <w:sz w:val="28"/>
          <w:szCs w:val="28"/>
          <w:lang w:val="en-US"/>
        </w:rPr>
        <w:t>Moody's</w:t>
      </w:r>
      <w:r w:rsidRPr="00E5274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0478" w:rsidRPr="00E52741">
        <w:rPr>
          <w:rFonts w:ascii="Times New Roman" w:hAnsi="Times New Roman"/>
          <w:sz w:val="28"/>
          <w:szCs w:val="28"/>
          <w:lang w:val="en-US"/>
        </w:rPr>
        <w:t>Investors</w:t>
      </w:r>
      <w:r w:rsidRPr="00E5274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00478" w:rsidRPr="00E52741">
        <w:rPr>
          <w:rFonts w:ascii="Times New Roman" w:hAnsi="Times New Roman"/>
          <w:sz w:val="28"/>
          <w:szCs w:val="28"/>
          <w:lang w:val="en-US"/>
        </w:rPr>
        <w:t>Service:</w:t>
      </w:r>
    </w:p>
    <w:tbl>
      <w:tblPr>
        <w:tblW w:w="9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339"/>
        <w:gridCol w:w="1066"/>
      </w:tblGrid>
      <w:tr w:rsidR="00900478" w:rsidRPr="0096081C" w:rsidTr="0096081C">
        <w:trPr>
          <w:jc w:val="center"/>
        </w:trPr>
        <w:tc>
          <w:tcPr>
            <w:tcW w:w="9405" w:type="dxa"/>
            <w:gridSpan w:val="2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Рейтинги</w:t>
            </w:r>
            <w:r w:rsidR="00E52741" w:rsidRPr="0096081C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по</w:t>
            </w:r>
            <w:r w:rsidR="00E52741" w:rsidRPr="0096081C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международной</w:t>
            </w:r>
            <w:r w:rsidR="00E52741" w:rsidRPr="0096081C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шкале:</w:t>
            </w:r>
          </w:p>
        </w:tc>
      </w:tr>
      <w:tr w:rsidR="00900478" w:rsidRPr="0096081C" w:rsidTr="0096081C">
        <w:trPr>
          <w:jc w:val="center"/>
        </w:trPr>
        <w:tc>
          <w:tcPr>
            <w:tcW w:w="833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Долгосрочный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депозитов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иностранной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валюте</w:t>
            </w:r>
          </w:p>
        </w:tc>
        <w:tc>
          <w:tcPr>
            <w:tcW w:w="0" w:type="auto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«Ваa1»</w:t>
            </w:r>
          </w:p>
        </w:tc>
      </w:tr>
      <w:tr w:rsidR="00900478" w:rsidRPr="0096081C" w:rsidTr="0096081C">
        <w:trPr>
          <w:jc w:val="center"/>
        </w:trPr>
        <w:tc>
          <w:tcPr>
            <w:tcW w:w="833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Краткосрочный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депозитов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иностранной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валюте</w:t>
            </w:r>
          </w:p>
        </w:tc>
        <w:tc>
          <w:tcPr>
            <w:tcW w:w="0" w:type="auto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«Prime-2»</w:t>
            </w:r>
          </w:p>
        </w:tc>
      </w:tr>
      <w:tr w:rsidR="00900478" w:rsidRPr="0096081C" w:rsidTr="0096081C">
        <w:trPr>
          <w:jc w:val="center"/>
        </w:trPr>
        <w:tc>
          <w:tcPr>
            <w:tcW w:w="833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Долгосрочный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депозитов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национальной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валюте</w:t>
            </w:r>
          </w:p>
        </w:tc>
        <w:tc>
          <w:tcPr>
            <w:tcW w:w="0" w:type="auto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«А1»</w:t>
            </w:r>
          </w:p>
        </w:tc>
      </w:tr>
      <w:tr w:rsidR="00900478" w:rsidRPr="0096081C" w:rsidTr="0096081C">
        <w:trPr>
          <w:jc w:val="center"/>
        </w:trPr>
        <w:tc>
          <w:tcPr>
            <w:tcW w:w="833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Краткосрочный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депозитов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национальной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валюте</w:t>
            </w:r>
          </w:p>
        </w:tc>
        <w:tc>
          <w:tcPr>
            <w:tcW w:w="0" w:type="auto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«Prime-1»</w:t>
            </w:r>
          </w:p>
        </w:tc>
      </w:tr>
      <w:tr w:rsidR="00900478" w:rsidRPr="0096081C" w:rsidTr="0096081C">
        <w:trPr>
          <w:jc w:val="center"/>
        </w:trPr>
        <w:tc>
          <w:tcPr>
            <w:tcW w:w="833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финансовой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силы</w:t>
            </w:r>
          </w:p>
        </w:tc>
        <w:tc>
          <w:tcPr>
            <w:tcW w:w="0" w:type="auto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«D+»</w:t>
            </w:r>
          </w:p>
        </w:tc>
      </w:tr>
      <w:tr w:rsidR="00900478" w:rsidRPr="0096081C" w:rsidTr="0096081C">
        <w:trPr>
          <w:jc w:val="center"/>
        </w:trPr>
        <w:tc>
          <w:tcPr>
            <w:tcW w:w="833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выпуска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международных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облигаций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участия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субординированном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кредите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единственной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целью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финансирования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субординированного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кредита,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предоставляемого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Сбербанку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России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(выпуск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2005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года)</w:t>
            </w:r>
          </w:p>
        </w:tc>
        <w:tc>
          <w:tcPr>
            <w:tcW w:w="0" w:type="auto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«A2»</w:t>
            </w:r>
          </w:p>
        </w:tc>
      </w:tr>
      <w:tr w:rsidR="00900478" w:rsidRPr="0096081C" w:rsidTr="0096081C">
        <w:trPr>
          <w:jc w:val="center"/>
        </w:trPr>
        <w:tc>
          <w:tcPr>
            <w:tcW w:w="833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Рейтинги,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присвоенные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программе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выпуска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среднесрочных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облигаций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(MTN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—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программа)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участия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кредитах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единственной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целью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финансирования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кредитов,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предоставляемых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Сбербанку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России: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долгосрочный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рейтинг</w:t>
            </w:r>
          </w:p>
        </w:tc>
        <w:tc>
          <w:tcPr>
            <w:tcW w:w="0" w:type="auto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«A2»</w:t>
            </w:r>
          </w:p>
        </w:tc>
      </w:tr>
      <w:tr w:rsidR="00900478" w:rsidRPr="0096081C" w:rsidTr="0096081C">
        <w:trPr>
          <w:jc w:val="center"/>
        </w:trPr>
        <w:tc>
          <w:tcPr>
            <w:tcW w:w="833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Рейтинги,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присвоенные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программе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выпуска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среднесрочных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облигаций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(MTN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—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программа)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участия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кредитах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единственной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целью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финансирования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кредитов,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предоставляемых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Сбербанку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России: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краткосрочный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рейтинг</w:t>
            </w:r>
          </w:p>
        </w:tc>
        <w:tc>
          <w:tcPr>
            <w:tcW w:w="0" w:type="auto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«Prime-1»</w:t>
            </w:r>
          </w:p>
        </w:tc>
      </w:tr>
      <w:tr w:rsidR="00900478" w:rsidRPr="0096081C" w:rsidTr="0096081C">
        <w:trPr>
          <w:jc w:val="center"/>
        </w:trPr>
        <w:tc>
          <w:tcPr>
            <w:tcW w:w="833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Долгосрочный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выпуска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международных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облигаций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участия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кредите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единственной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целью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финансирования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кредита,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предоставляемого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Сбербанку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России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(первый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выпуск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рамках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MTN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—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программы,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выпуск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мае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2006г.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погашением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2013г.)</w:t>
            </w:r>
          </w:p>
        </w:tc>
        <w:tc>
          <w:tcPr>
            <w:tcW w:w="0" w:type="auto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«A2»</w:t>
            </w:r>
          </w:p>
        </w:tc>
      </w:tr>
      <w:tr w:rsidR="00900478" w:rsidRPr="0096081C" w:rsidTr="0096081C">
        <w:trPr>
          <w:jc w:val="center"/>
        </w:trPr>
        <w:tc>
          <w:tcPr>
            <w:tcW w:w="833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Долгосрочный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выпуска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международных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облигаций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участия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кредите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единственной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целью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финансирования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кредита,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предоставляемого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Сбербанку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России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(второй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выпуск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рамках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MTN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—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программы,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выпуск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ноябре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2006г.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погашением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2011г.)</w:t>
            </w:r>
          </w:p>
        </w:tc>
        <w:tc>
          <w:tcPr>
            <w:tcW w:w="0" w:type="auto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«A2»</w:t>
            </w:r>
          </w:p>
        </w:tc>
      </w:tr>
      <w:tr w:rsidR="00900478" w:rsidRPr="0096081C" w:rsidTr="0096081C">
        <w:trPr>
          <w:jc w:val="center"/>
        </w:trPr>
        <w:tc>
          <w:tcPr>
            <w:tcW w:w="833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Долгосрочный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выпуска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международных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облигаций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участия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кредите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единственной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целью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финансирования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кредита,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предоставляемого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Сбербанку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России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(третий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выпуск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рамках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MTN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–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программы,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выпуск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июле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2008г.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с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погашением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в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2013г.</w:t>
            </w:r>
          </w:p>
        </w:tc>
        <w:tc>
          <w:tcPr>
            <w:tcW w:w="0" w:type="auto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«A2»</w:t>
            </w:r>
          </w:p>
        </w:tc>
      </w:tr>
      <w:tr w:rsidR="00900478" w:rsidRPr="0096081C" w:rsidTr="0096081C">
        <w:trPr>
          <w:jc w:val="center"/>
        </w:trPr>
        <w:tc>
          <w:tcPr>
            <w:tcW w:w="9405" w:type="dxa"/>
            <w:gridSpan w:val="2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Style w:val="a7"/>
                <w:rFonts w:ascii="Times New Roman" w:hAnsi="Times New Roman"/>
                <w:b w:val="0"/>
                <w:color w:val="000000"/>
                <w:sz w:val="20"/>
                <w:szCs w:val="28"/>
              </w:rPr>
              <w:t>Рейтинги</w:t>
            </w:r>
            <w:r w:rsidR="00E52741" w:rsidRPr="0096081C">
              <w:rPr>
                <w:rStyle w:val="a7"/>
                <w:rFonts w:ascii="Times New Roman" w:hAnsi="Times New Roman"/>
                <w:b w:val="0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Style w:val="a7"/>
                <w:rFonts w:ascii="Times New Roman" w:hAnsi="Times New Roman"/>
                <w:b w:val="0"/>
                <w:color w:val="000000"/>
                <w:sz w:val="20"/>
                <w:szCs w:val="28"/>
              </w:rPr>
              <w:t>по</w:t>
            </w:r>
            <w:r w:rsidR="00E52741" w:rsidRPr="0096081C">
              <w:rPr>
                <w:rStyle w:val="a7"/>
                <w:rFonts w:ascii="Times New Roman" w:hAnsi="Times New Roman"/>
                <w:b w:val="0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Style w:val="a7"/>
                <w:rFonts w:ascii="Times New Roman" w:hAnsi="Times New Roman"/>
                <w:b w:val="0"/>
                <w:color w:val="000000"/>
                <w:sz w:val="20"/>
                <w:szCs w:val="28"/>
              </w:rPr>
              <w:t>национальной</w:t>
            </w:r>
            <w:r w:rsidR="00E52741" w:rsidRPr="0096081C">
              <w:rPr>
                <w:rStyle w:val="a7"/>
                <w:rFonts w:ascii="Times New Roman" w:hAnsi="Times New Roman"/>
                <w:b w:val="0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Style w:val="a7"/>
                <w:rFonts w:ascii="Times New Roman" w:hAnsi="Times New Roman"/>
                <w:b w:val="0"/>
                <w:color w:val="000000"/>
                <w:sz w:val="20"/>
                <w:szCs w:val="28"/>
              </w:rPr>
              <w:t>шкале:</w:t>
            </w:r>
          </w:p>
        </w:tc>
      </w:tr>
      <w:tr w:rsidR="00900478" w:rsidRPr="0096081C" w:rsidTr="0096081C">
        <w:trPr>
          <w:jc w:val="center"/>
        </w:trPr>
        <w:tc>
          <w:tcPr>
            <w:tcW w:w="8339" w:type="dxa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рейтинг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банка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по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национальной</w:t>
            </w:r>
            <w:r w:rsidR="00E52741"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шкале</w:t>
            </w:r>
          </w:p>
        </w:tc>
        <w:tc>
          <w:tcPr>
            <w:tcW w:w="0" w:type="auto"/>
            <w:shd w:val="clear" w:color="auto" w:fill="auto"/>
          </w:tcPr>
          <w:p w:rsidR="00900478" w:rsidRPr="0096081C" w:rsidRDefault="00900478" w:rsidP="009608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96081C">
              <w:rPr>
                <w:rFonts w:ascii="Times New Roman" w:hAnsi="Times New Roman"/>
                <w:color w:val="000000"/>
                <w:sz w:val="20"/>
                <w:szCs w:val="28"/>
              </w:rPr>
              <w:t>«ААА.ru»</w:t>
            </w:r>
          </w:p>
        </w:tc>
      </w:tr>
    </w:tbl>
    <w:p w:rsidR="00F44BA4" w:rsidRPr="0096081C" w:rsidRDefault="00F44BA4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данному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рейтингу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можно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сделать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следующий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вывод: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BA4" w:rsidRPr="0096081C">
        <w:rPr>
          <w:rFonts w:ascii="Times New Roman" w:hAnsi="Times New Roman"/>
          <w:color w:val="000000"/>
          <w:sz w:val="28"/>
          <w:szCs w:val="28"/>
        </w:rPr>
        <w:t>устойчивая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ситуация.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478" w:rsidRPr="0096081C" w:rsidRDefault="00E52741" w:rsidP="0078200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081C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900478" w:rsidRPr="0096081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  <w:szCs w:val="28"/>
        </w:rPr>
        <w:t>Анализ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  <w:szCs w:val="28"/>
        </w:rPr>
        <w:t>платежеспособности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  <w:szCs w:val="28"/>
        </w:rPr>
        <w:t>финансовой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 xml:space="preserve"> устойчивости</w:t>
      </w:r>
    </w:p>
    <w:p w:rsidR="00E52741" w:rsidRPr="0096081C" w:rsidRDefault="00E52741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платежеспособностью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различают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несколько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теорий.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b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первой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теории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ликвидность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лежит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основе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платежеспособности.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Платежеспособность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трактуется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должные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сроки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сумме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отвечать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обязательствам.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Одна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зависит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только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ликвидности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баланса,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ряда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факторов.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числу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относятся: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политическая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экономическая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ситуация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стране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регионе,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состояние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денежного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рынка,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рефинансирования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Национальном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банке,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развитие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наличие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совершенство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залогового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законодательства,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обеспеченность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собственным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надежность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банков-партнеров,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уровень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менеджмента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банке,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специализация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разнообразие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услуг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данного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факторов.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Одновременно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указанные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факторы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влияют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прямо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косвенно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ликвидность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баланса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находятся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определенной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взаимосвязи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другом.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Сказанное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можно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проиллюстрировать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виде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рисунка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(см.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№5).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b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второй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теории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платежеспособностью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понимают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надежность,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любой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ситуации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рынке,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наступающими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сроками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платежей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выполнять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взятые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себя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обязательства.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Надежность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зависит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множества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различных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факторов.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Условно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можно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разделить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внешние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внутренние.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внешним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относятся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факторы,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обусловленные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действием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внешней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факторы,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определяющие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состояние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рынка,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национальной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мировой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экономики,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политический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климат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стране,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форс-мажорные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обстоятельства.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внутренним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относятся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факторы,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обусловленные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профессиональным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уровнем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персонала,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числе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высшего,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уровнем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контроля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проводимыми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операциями.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Вероятность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неблагоприятного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влияния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конкретных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факторов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комбинации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надежность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характеризуется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рисками.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Под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риском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понимается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угроза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потери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части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ресурсов,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недополучение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доходов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произведение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дополнительных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расходов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(размер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возможных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потерь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определяет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уровень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рискованности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операций).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появляются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несоответствия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прогнозов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реально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развивающимся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событиям.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Риски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очень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сложно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классифицировать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факторам,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вызывающим,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проявлению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воздействие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совокупности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различных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внешних,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внутренних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факторов.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Например,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причиной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ликвидности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может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быть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только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невозможность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оперативного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привлечения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денежных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ресурсов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межбанковском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рынке,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ошибки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планировании,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некомпетентность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персонала,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низкое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качество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портфеля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(угроза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невозврата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большой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выданных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кредитов).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Приведенные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факторы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могут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причиной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следующих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наиболее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распространенных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рисков: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риск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ликвидности;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процентный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кредитный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рыночный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политический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валютный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риск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изменения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конъюнктуры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рынка;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страновой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риск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форс-мажорных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обстоятельств.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Коммерческие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управляют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платежеспособностью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помощи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методов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распознавания,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оценки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контролирования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потери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ликвидности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платежеспособности.</w:t>
      </w:r>
    </w:p>
    <w:p w:rsidR="00900478" w:rsidRPr="0096081C" w:rsidRDefault="00E52741" w:rsidP="00782006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br w:type="page"/>
      </w:r>
      <w:r w:rsidR="00900478" w:rsidRPr="0096081C">
        <w:rPr>
          <w:rFonts w:ascii="Times New Roman" w:hAnsi="Times New Roman"/>
          <w:color w:val="000000"/>
          <w:sz w:val="28"/>
          <w:szCs w:val="28"/>
        </w:rPr>
        <w:t>Функции</w:t>
      </w:r>
      <w:r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color w:val="000000"/>
          <w:sz w:val="28"/>
          <w:szCs w:val="28"/>
        </w:rPr>
        <w:t>Поволжского</w:t>
      </w:r>
      <w:r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color w:val="000000"/>
          <w:sz w:val="28"/>
          <w:szCs w:val="28"/>
        </w:rPr>
        <w:t>г.</w:t>
      </w:r>
      <w:r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color w:val="000000"/>
          <w:sz w:val="28"/>
          <w:szCs w:val="28"/>
        </w:rPr>
        <w:t>Ульяновска,</w:t>
      </w:r>
      <w:r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color w:val="000000"/>
          <w:sz w:val="28"/>
          <w:szCs w:val="28"/>
        </w:rPr>
        <w:t>направленные</w:t>
      </w:r>
      <w:r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color w:val="000000"/>
          <w:sz w:val="28"/>
          <w:szCs w:val="28"/>
        </w:rPr>
        <w:t>поддержание</w:t>
      </w:r>
      <w:r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color w:val="000000"/>
          <w:sz w:val="28"/>
          <w:szCs w:val="28"/>
        </w:rPr>
        <w:t>финансовой</w:t>
      </w:r>
      <w:r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color w:val="000000"/>
          <w:sz w:val="28"/>
          <w:szCs w:val="28"/>
        </w:rPr>
        <w:t>устойчивости</w:t>
      </w:r>
      <w:r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color w:val="000000"/>
          <w:sz w:val="28"/>
          <w:szCs w:val="28"/>
        </w:rPr>
        <w:t>банковской</w:t>
      </w:r>
      <w:r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color w:val="000000"/>
          <w:sz w:val="28"/>
          <w:szCs w:val="28"/>
        </w:rPr>
        <w:t>системы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Центральные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стран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рыночной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экономики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регулируют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платежеспособность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коммерческих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установления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ограничений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обязательств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предела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задолженности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одного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заемщика,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введения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особого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контроля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выдачей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крупных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создания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рефинансирования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коммерческих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обязательного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резервирование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части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привлеченных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проведения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процентной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политики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открытом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рынке.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настоящее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время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нашей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стране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регулируется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платежеспособность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коммерческих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Поволжский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выполняет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роль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главного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координирующего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регулирующего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органа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денежно-кр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>е</w:t>
      </w:r>
      <w:r w:rsidRPr="0096081C">
        <w:rPr>
          <w:rFonts w:ascii="Times New Roman" w:hAnsi="Times New Roman"/>
          <w:color w:val="000000"/>
          <w:sz w:val="28"/>
          <w:szCs w:val="28"/>
        </w:rPr>
        <w:t>дитной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Ульяновска.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Одной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основных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целей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эффективной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стабильной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работы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системы.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связи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РФ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возложен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ряд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функций: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разработка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кредитно-денежной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политики;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регулирование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денежного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обращения;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регулирование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контроля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ними;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безналичных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расчетов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общенациональном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масштабе;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валютного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регулирования;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хранение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золотовалютных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резервов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страны.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РФ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использует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следующие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инструменты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методы: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правил,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регламентирующих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организаций;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надзора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деятельностью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организаций;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контроля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соблюдением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обязательных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экономических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нормативов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организациями;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установление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резервных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требований;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рефинансирование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организаций;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дисконтной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политики;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открытом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рынке;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осуществление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валютных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интервенций.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поддержания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надежности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Поволжским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численные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выше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инструменты.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отмечалось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раньше,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одной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основных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функций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надзор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деятельностью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коммерческих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образом,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регулирование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платежеспособности.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успешном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решении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задачи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большую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роль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играет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оценки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состояния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оценка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базируется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на: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расчете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обязательных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нормативов;</w:t>
      </w:r>
    </w:p>
    <w:p w:rsidR="00900478" w:rsidRPr="0096081C" w:rsidRDefault="00900478" w:rsidP="00782006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анализе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общей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отчетности.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правило,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текущей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работе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подразделений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оценок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используются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комплексно.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Информационной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базой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анализа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служат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данные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балансов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отчетов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прибылях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убытках,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оборотные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ведомости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балансовым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счетам,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общая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финансовая,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данные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выполнении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установленных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экономических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нормативов,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расшифровки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дебиторско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кредиторской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задолженности,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формы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имеющаяся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информация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данного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коммерческого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(вплоть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публикаций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печатных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издани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>я</w:t>
      </w:r>
      <w:r w:rsidRPr="0096081C">
        <w:rPr>
          <w:rFonts w:ascii="Times New Roman" w:hAnsi="Times New Roman"/>
          <w:color w:val="000000"/>
          <w:sz w:val="28"/>
          <w:szCs w:val="28"/>
        </w:rPr>
        <w:t>х).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основным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синтезирующим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источником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формации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коммерческого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баланс.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ходе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анализа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баланса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определяются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специализация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состояние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ликвидности,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доходности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степени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рискованности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отдельных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операций.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Анализ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упомянутых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выше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форм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отчетности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имеющейся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информации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производится:</w:t>
      </w:r>
    </w:p>
    <w:p w:rsidR="00900478" w:rsidRPr="0096081C" w:rsidRDefault="00900478" w:rsidP="00782006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динамике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ряд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отчетных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дат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сравнении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чалом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года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другими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отчетными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датами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од,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менее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одного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года;</w:t>
      </w:r>
    </w:p>
    <w:p w:rsidR="00900478" w:rsidRPr="0096081C" w:rsidRDefault="00900478" w:rsidP="00782006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сравнении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показателями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региона,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имеющих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примерно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одинаковый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размер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уставного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фонда,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собственных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(капитала).</w:t>
      </w:r>
    </w:p>
    <w:p w:rsidR="00E52741" w:rsidRPr="0096081C" w:rsidRDefault="00E52741" w:rsidP="0078200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0478" w:rsidRPr="0096081C" w:rsidRDefault="00E52741" w:rsidP="0078200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081C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900478" w:rsidRPr="0096081C"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  <w:szCs w:val="28"/>
        </w:rPr>
        <w:t>Деловая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  <w:szCs w:val="28"/>
        </w:rPr>
        <w:t>активность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 xml:space="preserve"> предприятия</w:t>
      </w:r>
    </w:p>
    <w:p w:rsidR="00E52741" w:rsidRPr="0096081C" w:rsidRDefault="00F44BA4" w:rsidP="00782006">
      <w:pPr>
        <w:pStyle w:val="a8"/>
        <w:spacing w:before="0" w:beforeAutospacing="0" w:after="0" w:line="360" w:lineRule="auto"/>
        <w:ind w:firstLine="709"/>
        <w:jc w:val="both"/>
        <w:rPr>
          <w:color w:val="FFFFFF"/>
          <w:sz w:val="28"/>
          <w:szCs w:val="28"/>
        </w:rPr>
      </w:pPr>
      <w:r w:rsidRPr="0096081C">
        <w:rPr>
          <w:color w:val="FFFFFF"/>
          <w:sz w:val="28"/>
          <w:szCs w:val="28"/>
        </w:rPr>
        <w:t>банк рентабельность операция финансовый</w:t>
      </w:r>
    </w:p>
    <w:p w:rsidR="00900478" w:rsidRPr="0096081C" w:rsidRDefault="00900478" w:rsidP="00782006">
      <w:pPr>
        <w:pStyle w:val="a8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81C">
        <w:rPr>
          <w:color w:val="000000"/>
          <w:sz w:val="28"/>
          <w:szCs w:val="28"/>
        </w:rPr>
        <w:t>Среди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всех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российских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банков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Сбербанк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России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отличает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проверенная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временем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надежность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Банка,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его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достижения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безупречная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деловая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репутация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России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за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рубежом.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Высокую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степень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доверия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Сбербанку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России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частными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клиентами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крупными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организациями-партнерами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подтверждают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аналитические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исследования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деятельности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Банка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ведущими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мировыми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рейтинговыми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агентствами.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КОНКУРЕНТНЫЕ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ПРЕИМУЩЕСТВА</w:t>
      </w:r>
    </w:p>
    <w:p w:rsidR="00900478" w:rsidRPr="0096081C" w:rsidRDefault="00900478" w:rsidP="00C82F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Одним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главных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конкурентных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преимуществ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является</w:t>
      </w:r>
      <w:r w:rsidR="00C82FDF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обширная,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диверсифицированная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клиентская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база</w:t>
      </w:r>
      <w:r w:rsidRPr="0096081C">
        <w:rPr>
          <w:rFonts w:ascii="Times New Roman" w:hAnsi="Times New Roman"/>
          <w:color w:val="000000"/>
          <w:sz w:val="28"/>
          <w:szCs w:val="28"/>
        </w:rPr>
        <w:t>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Сотрудничество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всеми</w:t>
      </w:r>
    </w:p>
    <w:p w:rsidR="00900478" w:rsidRPr="0096081C" w:rsidRDefault="00900478" w:rsidP="00C82F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группами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позволяет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успешно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управлять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ресурсами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минимизировать</w:t>
      </w:r>
      <w:r w:rsidR="00C82FDF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риски.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Привлекая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населения,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формирует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стабильный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источник</w:t>
      </w:r>
      <w:r w:rsidR="00C82FDF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различных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секторов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экономики.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Сбербанк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имеет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обширный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опыт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массового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обслуживания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клиентов</w:t>
      </w:r>
      <w:r w:rsidRPr="0096081C">
        <w:rPr>
          <w:rFonts w:ascii="Times New Roman" w:hAnsi="Times New Roman"/>
          <w:color w:val="000000"/>
          <w:sz w:val="28"/>
          <w:szCs w:val="28"/>
        </w:rPr>
        <w:t>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позволяет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оставаться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безусловным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лидером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розничном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рынке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услуг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создавать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стандарты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работы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нем.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Наличие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отработанных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технологий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позволяет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осуществлять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большое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обслуживать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значительные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потоки.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Уникальным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конкурентным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преимуществом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крупномасштабная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сбытовая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сеть</w:t>
      </w:r>
      <w:r w:rsidRPr="0096081C">
        <w:rPr>
          <w:rFonts w:ascii="Times New Roman" w:hAnsi="Times New Roman"/>
          <w:color w:val="000000"/>
          <w:sz w:val="28"/>
          <w:szCs w:val="28"/>
        </w:rPr>
        <w:t>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включающая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операционные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устройства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самообслуживания,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доступность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услуг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Кроме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того,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разветвленная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сеть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подразделений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комплексного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единым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стандартам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многофилиальных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корпоративных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создает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уникальные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условия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тиражирования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широкого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внедрения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организационных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решений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технологий,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быстрого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продвижения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новых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продуктов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услуг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страны.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Значительным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конкурентным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преимуществом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расчетная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система</w:t>
      </w:r>
      <w:r w:rsidRPr="0096081C">
        <w:rPr>
          <w:rFonts w:ascii="Times New Roman" w:hAnsi="Times New Roman"/>
          <w:color w:val="000000"/>
          <w:sz w:val="28"/>
          <w:szCs w:val="28"/>
        </w:rPr>
        <w:t>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охватывающая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территорию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страны,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позволяющая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проводить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существенные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объёмы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платежей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внутри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между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регионами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режиме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реального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времени.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технология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преимущества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развитии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уникальных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услуг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клиентам,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ведущим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бизнес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различных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регионах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Ключевым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фактором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успеха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конкурентной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борьбе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слаженная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работа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профессионального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коллектива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сотрудников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Банка</w:t>
      </w:r>
      <w:r w:rsidRPr="0096081C">
        <w:rPr>
          <w:rFonts w:ascii="Times New Roman" w:hAnsi="Times New Roman"/>
          <w:color w:val="000000"/>
          <w:sz w:val="28"/>
          <w:szCs w:val="28"/>
        </w:rPr>
        <w:t>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Созданная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внутри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обучения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сотрудников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поддержание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квалификации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персонала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конкурентоспособном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уровне.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Важной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составляющей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успеха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бизнеса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сложившаяся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Сбербанке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корпоративная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культура</w:t>
      </w:r>
      <w:r w:rsidRPr="0096081C">
        <w:rPr>
          <w:rFonts w:ascii="Times New Roman" w:hAnsi="Times New Roman"/>
          <w:color w:val="000000"/>
          <w:sz w:val="28"/>
          <w:szCs w:val="28"/>
        </w:rPr>
        <w:t>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позволяющая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мобилизовать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решение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задач,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стоящих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перед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Банком.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Репутация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крупного,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стабильного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надежного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безусловным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конкурентным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преимуществом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лидерство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основных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сегментах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российского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рынка.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Репутация,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широкий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ассортимент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оказываемых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услуг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доступность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сделали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бренд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одним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самых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6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брендов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страны.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Кредитный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рейтинг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инвестиционного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уровня</w:t>
      </w:r>
      <w:r w:rsidRPr="0096081C">
        <w:rPr>
          <w:rFonts w:ascii="Times New Roman" w:hAnsi="Times New Roman"/>
          <w:color w:val="000000"/>
          <w:sz w:val="28"/>
          <w:szCs w:val="28"/>
        </w:rPr>
        <w:t>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присвоенный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Сбербанку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ведущими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мировыми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рейтинговыми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агентствами,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позволяет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привлекать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дополнительные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долгосрочные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ресурсы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международного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условиях.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Доверие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Сбербанку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рынках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обусловлено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транспарентностью,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устойчивым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положением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прозрачностью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структуры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позволяет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успешно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сотрудничать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крупнейшими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зарубежными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институтами.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Используя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своё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существенное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превосходство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величине</w:t>
      </w:r>
      <w:r w:rsidR="00E52741" w:rsidRPr="0096081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bCs/>
          <w:color w:val="000000"/>
          <w:sz w:val="28"/>
          <w:szCs w:val="28"/>
        </w:rPr>
        <w:t>капитала</w:t>
      </w:r>
      <w:r w:rsidRPr="0096081C">
        <w:rPr>
          <w:rFonts w:ascii="Times New Roman" w:hAnsi="Times New Roman"/>
          <w:color w:val="000000"/>
          <w:sz w:val="28"/>
          <w:szCs w:val="28"/>
        </w:rPr>
        <w:t>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рекордного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российского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рынка,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предоставляет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крупные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долгосрочные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инвестиции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российским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предприятиям,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позволяет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успешно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конкурировать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только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отечественными,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зарубежными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кредиторами.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Наличие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значительного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позволяет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осуществлять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крупные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инвестиции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развитие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собственной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инфраструктуры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внедрять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современные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информационные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технологии.</w:t>
      </w:r>
    </w:p>
    <w:p w:rsidR="00900478" w:rsidRPr="0096081C" w:rsidRDefault="00900478" w:rsidP="00782006">
      <w:pPr>
        <w:pStyle w:val="a8"/>
        <w:spacing w:before="0" w:beforeAutospacing="0" w:after="0" w:line="360" w:lineRule="auto"/>
        <w:ind w:firstLine="709"/>
        <w:jc w:val="both"/>
        <w:rPr>
          <w:color w:val="000000"/>
          <w:sz w:val="28"/>
        </w:rPr>
      </w:pPr>
    </w:p>
    <w:p w:rsidR="00900478" w:rsidRPr="0096081C" w:rsidRDefault="00E52741" w:rsidP="00782006">
      <w:pPr>
        <w:pStyle w:val="a8"/>
        <w:spacing w:before="0" w:beforeAutospacing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081C">
        <w:rPr>
          <w:b/>
          <w:color w:val="000000"/>
          <w:sz w:val="28"/>
          <w:szCs w:val="28"/>
        </w:rPr>
        <w:br w:type="page"/>
      </w:r>
      <w:r w:rsidR="00900478" w:rsidRPr="0096081C">
        <w:rPr>
          <w:b/>
          <w:color w:val="000000"/>
          <w:sz w:val="28"/>
          <w:szCs w:val="28"/>
        </w:rPr>
        <w:t>6.</w:t>
      </w:r>
      <w:r w:rsidRPr="0096081C">
        <w:rPr>
          <w:b/>
          <w:color w:val="000000"/>
          <w:sz w:val="28"/>
          <w:szCs w:val="28"/>
        </w:rPr>
        <w:t xml:space="preserve"> </w:t>
      </w:r>
      <w:r w:rsidR="00900478" w:rsidRPr="0096081C">
        <w:rPr>
          <w:b/>
          <w:color w:val="000000"/>
          <w:sz w:val="28"/>
          <w:szCs w:val="28"/>
        </w:rPr>
        <w:t>Финансовый</w:t>
      </w:r>
      <w:r w:rsidRPr="0096081C">
        <w:rPr>
          <w:b/>
          <w:color w:val="000000"/>
          <w:sz w:val="28"/>
          <w:szCs w:val="28"/>
        </w:rPr>
        <w:t xml:space="preserve"> </w:t>
      </w:r>
      <w:r w:rsidR="00900478" w:rsidRPr="0096081C">
        <w:rPr>
          <w:b/>
          <w:color w:val="000000"/>
          <w:sz w:val="28"/>
          <w:szCs w:val="28"/>
        </w:rPr>
        <w:t>результат</w:t>
      </w:r>
      <w:r w:rsidRPr="0096081C">
        <w:rPr>
          <w:b/>
          <w:color w:val="000000"/>
          <w:sz w:val="28"/>
          <w:szCs w:val="28"/>
        </w:rPr>
        <w:t xml:space="preserve"> </w:t>
      </w:r>
      <w:r w:rsidR="00900478" w:rsidRPr="0096081C">
        <w:rPr>
          <w:b/>
          <w:color w:val="000000"/>
          <w:sz w:val="28"/>
          <w:szCs w:val="28"/>
        </w:rPr>
        <w:t>и</w:t>
      </w:r>
      <w:r w:rsidRPr="0096081C">
        <w:rPr>
          <w:b/>
          <w:color w:val="000000"/>
          <w:sz w:val="28"/>
          <w:szCs w:val="28"/>
        </w:rPr>
        <w:t xml:space="preserve"> </w:t>
      </w:r>
      <w:r w:rsidR="00900478" w:rsidRPr="0096081C">
        <w:rPr>
          <w:b/>
          <w:color w:val="000000"/>
          <w:sz w:val="28"/>
          <w:szCs w:val="28"/>
        </w:rPr>
        <w:t>рентабельность</w:t>
      </w:r>
      <w:r w:rsidRPr="0096081C">
        <w:rPr>
          <w:b/>
          <w:color w:val="000000"/>
          <w:sz w:val="28"/>
          <w:szCs w:val="28"/>
        </w:rPr>
        <w:t xml:space="preserve"> </w:t>
      </w:r>
      <w:r w:rsidR="00900478" w:rsidRPr="0096081C">
        <w:rPr>
          <w:b/>
          <w:color w:val="000000"/>
          <w:sz w:val="28"/>
          <w:szCs w:val="28"/>
        </w:rPr>
        <w:t>по</w:t>
      </w:r>
      <w:r w:rsidRPr="0096081C">
        <w:rPr>
          <w:b/>
          <w:color w:val="000000"/>
          <w:sz w:val="28"/>
          <w:szCs w:val="28"/>
        </w:rPr>
        <w:t xml:space="preserve"> банку</w:t>
      </w:r>
    </w:p>
    <w:p w:rsidR="00E52741" w:rsidRPr="0096081C" w:rsidRDefault="00E52741" w:rsidP="00782006">
      <w:pPr>
        <w:pStyle w:val="a8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00478" w:rsidRPr="0096081C" w:rsidRDefault="00900478" w:rsidP="00782006">
      <w:pPr>
        <w:pStyle w:val="a8"/>
        <w:spacing w:before="0" w:beforeAutospacing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81C">
        <w:rPr>
          <w:color w:val="000000"/>
          <w:sz w:val="28"/>
          <w:szCs w:val="28"/>
        </w:rPr>
        <w:t>Приложение</w:t>
      </w:r>
      <w:r w:rsidR="00E52741" w:rsidRPr="0096081C">
        <w:rPr>
          <w:color w:val="000000"/>
          <w:sz w:val="28"/>
          <w:szCs w:val="28"/>
        </w:rPr>
        <w:t xml:space="preserve"> </w:t>
      </w:r>
      <w:r w:rsidRPr="0096081C">
        <w:rPr>
          <w:color w:val="000000"/>
          <w:sz w:val="28"/>
          <w:szCs w:val="28"/>
        </w:rPr>
        <w:t>№1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Информация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деятельности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России</w:t>
      </w:r>
      <w:r w:rsidR="00F44BA4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состоянию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01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января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2007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г.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(по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данным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бухгалтерского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баланса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декабрь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2006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года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без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учета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событий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после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отчетной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даты)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капитал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348,7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млрд.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руб.;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прибыль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112,8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млрд.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руб.;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чистая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прибыль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89,3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млрд.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руб.;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кредитный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портфель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2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712,4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млрд.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руб.,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числе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лиц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(без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МБК)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929,4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млрд.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руб.;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остаток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счетах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лиц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2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028,6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млрд.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руб.;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доля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общем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остатке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вкладов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лиц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коммерческих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1.11.2006г.):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рублевых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56,7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%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инвалютных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41,8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%;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остаток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лиц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858,7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млрд.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руб.;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филиальная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сеть,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ед.: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территориальные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17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отделения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840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внутренние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структурные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19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244.</w:t>
      </w: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6081C">
        <w:rPr>
          <w:rFonts w:ascii="Times New Roman" w:hAnsi="Times New Roman"/>
          <w:color w:val="000000"/>
          <w:sz w:val="28"/>
        </w:rPr>
        <w:t>Приложение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№2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Информация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деятельности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России</w:t>
      </w:r>
      <w:r w:rsidR="00F44BA4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состоянию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января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2008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г.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bCs/>
          <w:color w:val="000000"/>
          <w:sz w:val="28"/>
          <w:szCs w:val="28"/>
        </w:rPr>
        <w:t>(без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учета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событий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после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отчетной</w:t>
      </w:r>
      <w:r w:rsidR="00E52741" w:rsidRPr="009608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Cs/>
          <w:color w:val="000000"/>
          <w:sz w:val="28"/>
          <w:szCs w:val="28"/>
        </w:rPr>
        <w:t>даты)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капитал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667,4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млрд.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руб.;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прибыль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160,2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млрд.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руб.;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чистая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прибыль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126,1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млрд.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руб.;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кредитный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портфель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4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103,9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млрд.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руб.,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числе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лиц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(без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МБК)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3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076,7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млрд.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руб.;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остаток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счетах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лиц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2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656,2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млрд.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руб.;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доля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общем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остатке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вкладов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физических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лиц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коммерческих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01.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11.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2007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г.):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рублевых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54,7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%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инвалютных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38,8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%;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остаток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юридических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лиц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286,9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млрд.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руб.;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филиальная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сеть,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ед.: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территориальные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17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отделения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791</w:t>
      </w:r>
    </w:p>
    <w:p w:rsidR="00900478" w:rsidRPr="0096081C" w:rsidRDefault="00900478" w:rsidP="00782006">
      <w:pPr>
        <w:tabs>
          <w:tab w:val="left" w:pos="92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внутренние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структурные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подразделения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19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499.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целях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снижения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принимаемых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будет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стремиться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диверсификации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базы,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формированию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сбалансированной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срокам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структуры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пассивов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позиций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соблюдения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ликвидности,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точки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зрения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процентным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спрэдом.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Следуя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принципу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умеренного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консерватизма,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планирует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осуществлять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вложения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повышенной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степенью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риска.</w:t>
      </w:r>
    </w:p>
    <w:p w:rsidR="00E52741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будет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поддерживать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существенную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корпоративным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заемщикам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физическим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лицам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портфеле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операций,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инструмент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сдерживания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падения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доходности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работающих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условиях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снижения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процентных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ставок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инструментам.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усилит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контроль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качеством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i/>
          <w:iCs/>
          <w:color w:val="000000"/>
          <w:sz w:val="28"/>
          <w:szCs w:val="28"/>
        </w:rPr>
        <w:t>кредитным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i/>
          <w:iCs/>
          <w:color w:val="000000"/>
          <w:sz w:val="28"/>
          <w:szCs w:val="28"/>
        </w:rPr>
        <w:t>риском</w:t>
      </w:r>
      <w:r w:rsidR="00E52741" w:rsidRPr="0096081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современных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методов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идентификации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контроля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основанных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лучшей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международной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практике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рекомендациях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Базель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II.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Будет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усовершенствована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действующая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присвоения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индивидуальных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рейтингов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корпоративным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клиентам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усилено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внимание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контролю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качеством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розничных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Продолжится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снижение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концентрации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задолженности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13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расширения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малого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среднего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бизнеса.</w:t>
      </w:r>
    </w:p>
    <w:p w:rsidR="00E52741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Также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получат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распространение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инструменты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риском,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секьюритизация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синдицированного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кредитования.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Данные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меры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позволят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управлять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уровнем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просроченной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задолженности,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допустить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существенного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отношения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расходов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резервов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отношению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объему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портфеля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корпоративных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населения.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Повышенный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спрос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долгосрочные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значительная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портфеле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потребуют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специальной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политики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отношении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фондирования,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позволяющей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избегать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неоправданных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потерь,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связанных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i/>
          <w:iCs/>
          <w:color w:val="000000"/>
          <w:sz w:val="28"/>
          <w:szCs w:val="28"/>
        </w:rPr>
        <w:t>процентным</w:t>
      </w:r>
      <w:r w:rsidR="00E52741" w:rsidRPr="0096081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i/>
          <w:iCs/>
          <w:color w:val="000000"/>
          <w:sz w:val="28"/>
          <w:szCs w:val="28"/>
        </w:rPr>
        <w:t>риском</w:t>
      </w:r>
      <w:r w:rsidR="00E52741" w:rsidRPr="0096081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i/>
          <w:iCs/>
          <w:color w:val="000000"/>
          <w:sz w:val="28"/>
          <w:szCs w:val="28"/>
        </w:rPr>
        <w:t>риском</w:t>
      </w:r>
      <w:r w:rsidR="00E52741" w:rsidRPr="0096081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i/>
          <w:iCs/>
          <w:color w:val="000000"/>
          <w:sz w:val="28"/>
          <w:szCs w:val="28"/>
        </w:rPr>
        <w:t>ликвидности</w:t>
      </w:r>
      <w:r w:rsidRPr="0096081C">
        <w:rPr>
          <w:rFonts w:ascii="Times New Roman" w:hAnsi="Times New Roman"/>
          <w:color w:val="000000"/>
          <w:sz w:val="28"/>
          <w:szCs w:val="28"/>
        </w:rPr>
        <w:t>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целях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планирует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сохранить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стабильный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состав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пассивов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источникам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привлечения,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включающий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население,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корпоративных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международных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инвесторов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увеличить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долгосрочных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пассивов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привлеченных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средствах.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гибкой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продуктовой,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процентной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тарифной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политики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позволит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сдерживать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сужение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спрэдов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пассивным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операциям,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связанное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макроэкономическими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тенденциями,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процессами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удлинения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сроков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привлечения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ресурсов.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Увеличение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объема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потребует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дополнительных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мер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повышению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контроля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уровнем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i/>
          <w:iCs/>
          <w:color w:val="000000"/>
          <w:sz w:val="28"/>
          <w:szCs w:val="28"/>
        </w:rPr>
        <w:t>операционного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i/>
          <w:iCs/>
          <w:color w:val="000000"/>
          <w:sz w:val="28"/>
          <w:szCs w:val="28"/>
        </w:rPr>
        <w:t>риска.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учетом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экономической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отдачи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планируемых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рассмотрит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целесообразность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затрат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развитие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автоматизированных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позволяющих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определять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потенциальные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источники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нацеленных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повышение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полноты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точности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поступающей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контрольной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информации.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Активное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развитие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операций,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числе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розничных,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совершенствования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технологий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автоматизации,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техническая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модернизация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потребуют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течение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периода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действия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Концепции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значительного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объема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инвестиций,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могут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повлиять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увеличение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административно-хозяйственных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затрат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общих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расходах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Банка.</w:t>
      </w:r>
    </w:p>
    <w:p w:rsidR="00900478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Повышение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производительности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труда,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оптимизация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штатной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численности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сокращение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неавтоматизированных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операций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направлениях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позволят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снизить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оплаты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труда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расходах.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будет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устанавливать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уровень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материального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вознаграждения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сотрудников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учетом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результатов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стремиться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поддержанию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заработной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конкурентоспособном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уровне.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Стабильно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высокая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эффективность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деятельности,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оптимизация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структуры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поступательный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абсолютной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величины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результата,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эффективное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административно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хозяйственными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издержками,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высокая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лояльность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окажут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позитивное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влияние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инвестиционную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привлекательность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глазах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акционеров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потенциальных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инвесторов,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укрепят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репутацию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самого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надежного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страны.</w:t>
      </w: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00478" w:rsidRPr="0096081C" w:rsidRDefault="00E52741" w:rsidP="0078200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081C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900478" w:rsidRPr="0096081C">
        <w:rPr>
          <w:rFonts w:ascii="Times New Roman" w:hAnsi="Times New Roman"/>
          <w:b/>
          <w:color w:val="000000"/>
          <w:sz w:val="28"/>
          <w:szCs w:val="28"/>
        </w:rPr>
        <w:t>7.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  <w:szCs w:val="28"/>
        </w:rPr>
        <w:t>Управление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  <w:szCs w:val="28"/>
        </w:rPr>
        <w:t>дебиторской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  <w:szCs w:val="28"/>
        </w:rPr>
        <w:t>кредиторской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 xml:space="preserve"> задолженностями</w:t>
      </w:r>
    </w:p>
    <w:p w:rsidR="00E52741" w:rsidRPr="0096081C" w:rsidRDefault="00E52741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081C">
        <w:rPr>
          <w:rFonts w:ascii="Times New Roman" w:hAnsi="Times New Roman"/>
          <w:b/>
          <w:color w:val="000000"/>
          <w:sz w:val="28"/>
          <w:szCs w:val="28"/>
        </w:rPr>
        <w:t>7.1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Классификация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дебиторской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кредиторской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задолженности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структуре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оборотных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>средств</w:t>
      </w:r>
      <w:r w:rsidR="00E52741" w:rsidRPr="0096081C">
        <w:rPr>
          <w:rFonts w:ascii="Times New Roman" w:hAnsi="Times New Roman"/>
          <w:b/>
          <w:color w:val="000000"/>
          <w:sz w:val="28"/>
          <w:szCs w:val="28"/>
        </w:rPr>
        <w:t xml:space="preserve"> предприятия</w:t>
      </w:r>
    </w:p>
    <w:p w:rsidR="00E52741" w:rsidRPr="0096081C" w:rsidRDefault="00E52741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наиболее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общем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виде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структура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оборотных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источников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показана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бухгалтерском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балансе.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Чистый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оборотный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представляет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собой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между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текущими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краткосрочной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кредиторской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задолженностью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(ОК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=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ТА-КЗ),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поэтому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любые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изменения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составе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компонентов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прямо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косвенно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влияют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размер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качество.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правило,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разумный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чистого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оборотного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рассматривается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положительная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тенденция,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однако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могут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быть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исключения.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Например,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увеличения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безнадежных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дебиторов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вряд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удовлетворит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менеджера.</w:t>
      </w: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Одной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основных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составляющих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оборотного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производственные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запасы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которые,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очередь,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включают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"в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себя: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сырье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материалы,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незавершенное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производство,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готовую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продукцию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прочие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запасы.</w:t>
      </w: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Поскольку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вкладывает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образование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запасов,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издержки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хранения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запасов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связаны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только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складскими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расходами,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порчи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устаревания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товаров,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вмененной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стоимостью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т.е.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нормой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прибыли,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могла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быть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получена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инвестиционных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возможностей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эквивалентной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степенью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риска.</w:t>
      </w: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Большинство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допускает,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образование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запасов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имеет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степень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типичные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данного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капитальные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вложения,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поэтому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расчете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издержек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хранения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использует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среднюю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вмененную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стоимость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предприятия.</w:t>
      </w: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Экономический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организационно-производственный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результаты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хранения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определенного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вида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текущих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объеме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носят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специфический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данного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вида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характер.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Например,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большой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запас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готовой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продукции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(связанный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предполагаемым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объемом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продаж)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сокращает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дефицита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продукции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неожиданно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высоком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спросе.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Подобным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образом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большой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запас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сырья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материалов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спасает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случае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неожиданной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нехватки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запасов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прекращения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процесса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покупки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более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дорогостоящих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материалов-заменителей.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Большое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заказов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приобретение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сырья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материалов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хотя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приводит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образованию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больших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запасов,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менее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имеет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смысл,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если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может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добиться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поставщиков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снижения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(так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больший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размер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заказа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обычно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предусматривает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некоторую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льготу,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предоставляемую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поставщиком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виде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скидки).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причинам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предпочитает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иметь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достаточный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запас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готовой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позволяет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дольше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более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экономично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управлять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производством.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само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предприятие,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правило,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предоставляет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скидку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клиентам.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Задача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менеджера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выявить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результат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затраты,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связанные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хранением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запасов,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подвести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разумный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баланс.</w:t>
      </w: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b/>
          <w:i/>
          <w:color w:val="000000"/>
          <w:sz w:val="28"/>
          <w:szCs w:val="28"/>
        </w:rPr>
        <w:t>Дебиторская</w:t>
      </w:r>
      <w:r w:rsidR="00E52741" w:rsidRPr="0096081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i/>
          <w:color w:val="000000"/>
          <w:sz w:val="28"/>
          <w:szCs w:val="28"/>
        </w:rPr>
        <w:t>задолженность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важный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компонент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оборотного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капитала.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Когда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одно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товары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другому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организации,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совсем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значит,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товары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будут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оплачены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немедленно.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Неоплаченные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поставленную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продукцию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получению)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составляют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большую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часть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дебиторской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задолженности.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Специфический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элемент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дебиторской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задолженности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векселя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получению,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являющиеся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существу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(коммерческие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бумаги).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Одной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задач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менеджера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дебиторской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задолженностью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степени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неплатежеспособности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покупателей,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расчет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прогнозного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значения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резерва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сомнительным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долгам,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рекомендаций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работе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фактически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потенциально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неплатежеспособными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покупателями.</w:t>
      </w: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Денежные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наиболее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ликвидная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часть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текущих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составляющей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оборотного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капитала.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денежным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средствам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относятся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деньги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кассе,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расчетных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депозитных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счетах.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составляющие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краткосрочные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вложения,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включают: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предприятий,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государственные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казначейские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билеты,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государственные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облигации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выпущенные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местными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органами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власти.</w:t>
      </w: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Выбирая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между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наличными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бумагами,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менеджер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решает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задачу,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подобную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той,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которую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решает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менеджер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производству.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Всегда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существуют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преимущества,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связанные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созданием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большого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запаса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денежных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они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позволяют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сократить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риск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истощения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наличности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дают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удовлетворить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требование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оплатить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тариф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ранее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установленного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законом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срока.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стороны,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издержки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хранения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временно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свободных,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неиспользуемых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денежных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гораздо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выше,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затраты,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связанные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краткосрочным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вложением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денег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бумаги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(в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частности,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можно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условно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принять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размере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неполученной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прибыли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возможном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краткосрочном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инвестировании).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Таким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образом,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финансовому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менеджеру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решить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вопрос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оптимальном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запасе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наличных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средств.</w:t>
      </w:r>
    </w:p>
    <w:p w:rsidR="00E52741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текущим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обязательствам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относится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краткосрочная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i/>
          <w:color w:val="000000"/>
          <w:sz w:val="28"/>
          <w:szCs w:val="28"/>
        </w:rPr>
        <w:t>кредиторская</w:t>
      </w:r>
      <w:r w:rsidR="00E52741" w:rsidRPr="0096081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b/>
          <w:i/>
          <w:color w:val="000000"/>
          <w:sz w:val="28"/>
          <w:szCs w:val="28"/>
        </w:rPr>
        <w:t>задолженность</w:t>
      </w:r>
      <w:r w:rsidRPr="0096081C">
        <w:rPr>
          <w:rFonts w:ascii="Times New Roman" w:hAnsi="Times New Roman"/>
          <w:color w:val="000000"/>
          <w:sz w:val="28"/>
          <w:szCs w:val="28"/>
        </w:rPr>
        <w:t>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прежде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банковские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неоплаченные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предприятий.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условиях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рыночной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экономики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основным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источником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ссуд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являются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коммерческие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банки.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правило,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требуют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документального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подтверждения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обеспеченности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запрашиваемых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товарно-материальными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ценностями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заемщика.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Альтернативный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вариант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продаже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части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дебиторской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задолженности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финансовому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учреждению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предоставлением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получать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деньги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долговому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обязательству.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Следовательно,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одни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могут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решать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свои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проблемы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краткосрочного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финансирования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путем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залога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имеющихся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текущих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активов,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другие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частичной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продажи.</w:t>
      </w:r>
    </w:p>
    <w:p w:rsidR="00900478" w:rsidRPr="0096081C" w:rsidRDefault="00E52741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br w:type="page"/>
      </w:r>
      <w:r w:rsidR="00900478" w:rsidRPr="0096081C">
        <w:rPr>
          <w:rFonts w:ascii="Times New Roman" w:hAnsi="Times New Roman"/>
          <w:b/>
          <w:color w:val="000000"/>
          <w:sz w:val="28"/>
        </w:rPr>
        <w:t>7.2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Подходы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к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управлению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дебиторской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задолженности,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распределение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дебиторской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задолженности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по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срокам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образования,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анализ</w:t>
      </w:r>
      <w:r w:rsidRPr="0096081C">
        <w:rPr>
          <w:rFonts w:ascii="Times New Roman" w:hAnsi="Times New Roman"/>
          <w:b/>
          <w:color w:val="000000"/>
          <w:sz w:val="28"/>
        </w:rPr>
        <w:t xml:space="preserve"> оборачиваемости</w:t>
      </w:r>
    </w:p>
    <w:p w:rsidR="00E52741" w:rsidRPr="0096081C" w:rsidRDefault="00E52741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6081C">
        <w:rPr>
          <w:rFonts w:ascii="Times New Roman" w:hAnsi="Times New Roman"/>
          <w:color w:val="000000"/>
          <w:sz w:val="28"/>
        </w:rPr>
        <w:t>Управление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дебиторской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задолженностью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непосредственно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влияет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прибыльность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компании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определяет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дисконтную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кредитную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политику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малоэффективных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покупателей,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пути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ускорения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востребования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долгов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уменьшение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безнадежных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долгов,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также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выбор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условий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продажи,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обеспечивающих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гарантированное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поступление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денежных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средств.</w:t>
      </w: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6081C">
        <w:rPr>
          <w:rFonts w:ascii="Times New Roman" w:hAnsi="Times New Roman"/>
          <w:color w:val="000000"/>
          <w:sz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приемам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управления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дебиторской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задолженностью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относятся: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учет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заказов,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оформление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счетов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установление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характера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дебиторской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задолженности.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Среди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подлежащих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рассмотрению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моментов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есть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некоторые,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требующие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особого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внимания,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например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необходимость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поиска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путей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сокращения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среднего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промежутка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времени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между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завершением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операции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продаже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товара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выпиской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счета-фактуры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покупателю.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Вы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также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должны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оценивать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возможные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издержки,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связанные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дебиторской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задолженностью,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т.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е.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упущенная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выгода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неиспользования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средств,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вместо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инвестирования.</w:t>
      </w: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6081C">
        <w:rPr>
          <w:rFonts w:ascii="Times New Roman" w:hAnsi="Times New Roman"/>
          <w:color w:val="000000"/>
          <w:sz w:val="28"/>
        </w:rPr>
        <w:t>Управление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дебиторской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задолженностью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связано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двумя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видами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резервов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времени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выписку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счета-фактуры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отправку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почтой.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Время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выписку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счета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это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количество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дней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отправки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товара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покупателю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высылки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счета.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Очевидно,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что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компании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следует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отправлять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счета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одновременно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товаром.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Время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почтовой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доставки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между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подготовкой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счета-фактуры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н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получением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покупателем.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Время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почтового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прохождения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документов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может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быть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сокращено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счет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децентрализации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выписки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счета-фактуры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почтовой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отправки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(используя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службу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срочных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почтовых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отправлений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крупных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счетов-фактур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вручением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предусмотренные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сроки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либо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предоставляя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скидки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авансовые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платежи).</w:t>
      </w:r>
    </w:p>
    <w:p w:rsidR="00900478" w:rsidRPr="0096081C" w:rsidRDefault="00E52741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96081C">
        <w:rPr>
          <w:rFonts w:ascii="Times New Roman" w:hAnsi="Times New Roman"/>
          <w:b/>
          <w:color w:val="000000"/>
          <w:sz w:val="28"/>
        </w:rPr>
        <w:br w:type="page"/>
        <w:t xml:space="preserve">7.3 </w:t>
      </w:r>
      <w:r w:rsidR="00900478" w:rsidRPr="0096081C">
        <w:rPr>
          <w:rFonts w:ascii="Times New Roman" w:hAnsi="Times New Roman"/>
          <w:b/>
          <w:color w:val="000000"/>
          <w:sz w:val="28"/>
        </w:rPr>
        <w:t>Выборочный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и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сплошной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методы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анализа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расчетов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с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дебиторами</w:t>
      </w:r>
      <w:r w:rsidRPr="0096081C">
        <w:rPr>
          <w:rFonts w:ascii="Times New Roman" w:hAnsi="Times New Roman"/>
          <w:b/>
          <w:color w:val="000000"/>
          <w:sz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</w:rPr>
        <w:t>и</w:t>
      </w:r>
      <w:r w:rsidRPr="0096081C">
        <w:rPr>
          <w:rFonts w:ascii="Times New Roman" w:hAnsi="Times New Roman"/>
          <w:b/>
          <w:color w:val="000000"/>
          <w:sz w:val="28"/>
        </w:rPr>
        <w:t xml:space="preserve"> кредиторами</w:t>
      </w:r>
    </w:p>
    <w:p w:rsidR="00E52741" w:rsidRPr="0096081C" w:rsidRDefault="00E52741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6081C">
        <w:rPr>
          <w:rFonts w:ascii="Times New Roman" w:hAnsi="Times New Roman"/>
          <w:color w:val="000000"/>
          <w:sz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зависимости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размера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дебиторской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задолженности,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количества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расчетных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документов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дебиторов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анализ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ее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уровня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можно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проводить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сплошным,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так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выборочным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методом.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Общая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схема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контроля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анализа,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как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правило,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включает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себя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несколько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этапов.</w:t>
      </w: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6081C">
        <w:rPr>
          <w:rFonts w:ascii="Times New Roman" w:hAnsi="Times New Roman"/>
          <w:b/>
          <w:i/>
          <w:color w:val="000000"/>
          <w:sz w:val="28"/>
        </w:rPr>
        <w:t>Этап</w:t>
      </w:r>
      <w:r w:rsidR="00E52741" w:rsidRPr="0096081C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96081C">
        <w:rPr>
          <w:rFonts w:ascii="Times New Roman" w:hAnsi="Times New Roman"/>
          <w:b/>
          <w:i/>
          <w:color w:val="000000"/>
          <w:sz w:val="28"/>
        </w:rPr>
        <w:t>1.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Задается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критический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уровень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дебиторской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задолженности;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все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расчетные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документы,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относящиеся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задолженности,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превышающей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критический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уровень,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подвергаются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проверке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обязательном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порядке.</w:t>
      </w: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6081C">
        <w:rPr>
          <w:rFonts w:ascii="Times New Roman" w:hAnsi="Times New Roman"/>
          <w:b/>
          <w:i/>
          <w:color w:val="000000"/>
          <w:sz w:val="28"/>
        </w:rPr>
        <w:t>Этап</w:t>
      </w:r>
      <w:r w:rsidR="00E52741" w:rsidRPr="0096081C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96081C">
        <w:rPr>
          <w:rFonts w:ascii="Times New Roman" w:hAnsi="Times New Roman"/>
          <w:b/>
          <w:i/>
          <w:color w:val="000000"/>
          <w:sz w:val="28"/>
        </w:rPr>
        <w:t>2.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Из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оставшихся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расчетных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документов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делается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контрольная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выборка.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этого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применяются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различные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способы.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Одним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из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самых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простейших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является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lang w:val="en-US"/>
        </w:rPr>
        <w:t>n</w:t>
      </w:r>
      <w:r w:rsidRPr="0096081C">
        <w:rPr>
          <w:rFonts w:ascii="Times New Roman" w:hAnsi="Times New Roman"/>
          <w:color w:val="000000"/>
          <w:sz w:val="28"/>
        </w:rPr>
        <w:t>-процентный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тест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(так,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lang w:val="en-US"/>
        </w:rPr>
        <w:t>n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=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10%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проверяют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каждый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десятый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документ,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отбираемый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какому-либо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признаку,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например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времени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возникновения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обязательства).</w:t>
      </w: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6081C">
        <w:rPr>
          <w:rFonts w:ascii="Times New Roman" w:hAnsi="Times New Roman"/>
          <w:color w:val="000000"/>
          <w:sz w:val="28"/>
        </w:rPr>
        <w:t>Существуют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более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сложные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статистические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методы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отбора,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основанные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задании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критических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значений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уровня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значимости,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ошибки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выборки,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допустимого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отклонения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между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отраженным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отчетности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исчисленным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выборочным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данным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размером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дебиторской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задолженности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т.п.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этом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случае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определяют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интервал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выборки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денежному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измерителю,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каждый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расчетный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документ,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который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падает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граница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очередного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интервала,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отбирается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контроля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анализа.</w:t>
      </w: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6081C">
        <w:rPr>
          <w:rFonts w:ascii="Times New Roman" w:hAnsi="Times New Roman"/>
          <w:b/>
          <w:i/>
          <w:color w:val="000000"/>
          <w:sz w:val="28"/>
        </w:rPr>
        <w:t>Этап</w:t>
      </w:r>
      <w:r w:rsidR="00E52741" w:rsidRPr="0096081C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96081C">
        <w:rPr>
          <w:rFonts w:ascii="Times New Roman" w:hAnsi="Times New Roman"/>
          <w:b/>
          <w:i/>
          <w:color w:val="000000"/>
          <w:sz w:val="28"/>
        </w:rPr>
        <w:t>3.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Проверяется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реальность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сумм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дебиторской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задолженности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отобранных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расчетных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документах.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частности,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могут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направляться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письма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контрагентам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просьбой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подтвердить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реальность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проставленной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документе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или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проходящей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учете</w:t>
      </w:r>
    </w:p>
    <w:p w:rsidR="00900478" w:rsidRPr="0096081C" w:rsidRDefault="00900478" w:rsidP="00782006">
      <w:pPr>
        <w:pStyle w:val="ad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96081C">
        <w:rPr>
          <w:rFonts w:ascii="Times New Roman" w:hAnsi="Times New Roman"/>
          <w:b/>
          <w:i/>
          <w:color w:val="000000"/>
          <w:sz w:val="28"/>
        </w:rPr>
        <w:t>Этап</w:t>
      </w:r>
      <w:r w:rsidR="00E52741" w:rsidRPr="0096081C">
        <w:rPr>
          <w:rFonts w:ascii="Times New Roman" w:hAnsi="Times New Roman"/>
          <w:b/>
          <w:i/>
          <w:color w:val="000000"/>
          <w:sz w:val="28"/>
        </w:rPr>
        <w:t xml:space="preserve"> </w:t>
      </w:r>
      <w:r w:rsidRPr="0096081C">
        <w:rPr>
          <w:rFonts w:ascii="Times New Roman" w:hAnsi="Times New Roman"/>
          <w:b/>
          <w:i/>
          <w:color w:val="000000"/>
          <w:sz w:val="28"/>
        </w:rPr>
        <w:t>4.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Оценивается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существенность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выявленных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ошибок.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этом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могут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использоваться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различные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критерии.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Так,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национальными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учетными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стандартами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Австралии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отклонение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между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учетной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подтвержденной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результате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контрольной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проверки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суммами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размере,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превышающем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10%,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признается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существенным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(материальным).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Если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отклонение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варьирует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5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до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10%»,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решение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его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существенности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принимает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аналитик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(управляющий,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бухгалтер,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аудитор)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своему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усмотрению.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Отклонение,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не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превышающее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5%-наго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уровня,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признается</w:t>
      </w:r>
      <w:r w:rsidR="00E52741" w:rsidRPr="0096081C">
        <w:rPr>
          <w:rFonts w:ascii="Times New Roman" w:hAnsi="Times New Roman"/>
          <w:color w:val="000000"/>
          <w:sz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</w:rPr>
        <w:t>несущественным.</w:t>
      </w:r>
    </w:p>
    <w:p w:rsidR="00900478" w:rsidRPr="0096081C" w:rsidRDefault="00900478" w:rsidP="0078200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0478" w:rsidRPr="0096081C" w:rsidRDefault="00E52741" w:rsidP="0078200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081C">
        <w:rPr>
          <w:rFonts w:ascii="Times New Roman" w:hAnsi="Times New Roman"/>
          <w:b/>
          <w:color w:val="000000"/>
          <w:sz w:val="28"/>
          <w:szCs w:val="28"/>
        </w:rPr>
        <w:br w:type="page"/>
        <w:t>Заключение</w:t>
      </w:r>
    </w:p>
    <w:p w:rsidR="00E52741" w:rsidRPr="0096081C" w:rsidRDefault="00E52741" w:rsidP="0078200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52741" w:rsidRPr="0096081C" w:rsidRDefault="00900478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дальнейшей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успешной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бесперебойной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работы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создана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«Концепция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развития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России».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Концепции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комплексного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решения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стратегических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задач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будут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разработаны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целевые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программы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ключевым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направлениям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развития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направленные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детализацию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положений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Концепции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координацию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усилий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стратегической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цели.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Реализация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Концепции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предполагает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последовательное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решение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задач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следующих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ключевых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областях: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инвентаризация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реинжиниринг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технологических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процессов,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внедрение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новой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организационной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модели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совершенствование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филиальной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сетью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персоналом,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внедрение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новых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информационно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технологических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решений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каналов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сбыта,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единого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информационного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пространства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интегрированными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системами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управленческого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учета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бюджетирования.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Результатом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работы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станет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достижение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стратегических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целей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счет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максимально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эффективного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внедренных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инноваций,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повышения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качества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корпоративного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управления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информационной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прозрачности.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Решение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задач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потребовало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увеличения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срока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действия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Концепции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6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лет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выделения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двух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логических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этапов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переходом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бизнес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планирование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основе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трехлетних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планов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непрерывности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процесса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стратегии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преемственности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целей.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итогам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первого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этапа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должны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быть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разработаны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основные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технологические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решения,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необходимые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выхода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качественно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новый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уровень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развития,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начато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внедрение.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Второй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этап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необходим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для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завершения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процесса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модернизации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адаптации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работе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новых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условиях,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решения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всех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поставленных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бизнес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–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задач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максимального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экономического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эффекта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произведенных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изменений.</w:t>
      </w:r>
    </w:p>
    <w:p w:rsidR="00900478" w:rsidRPr="0096081C" w:rsidRDefault="00E52741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br w:type="page"/>
      </w:r>
      <w:r w:rsidR="00900478" w:rsidRPr="0096081C">
        <w:rPr>
          <w:rFonts w:ascii="Times New Roman" w:hAnsi="Times New Roman"/>
          <w:b/>
          <w:color w:val="000000"/>
          <w:sz w:val="28"/>
          <w:szCs w:val="28"/>
        </w:rPr>
        <w:t>Список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478" w:rsidRPr="0096081C">
        <w:rPr>
          <w:rFonts w:ascii="Times New Roman" w:hAnsi="Times New Roman"/>
          <w:b/>
          <w:color w:val="000000"/>
          <w:sz w:val="28"/>
          <w:szCs w:val="28"/>
        </w:rPr>
        <w:t>используемой</w:t>
      </w:r>
      <w:r w:rsidRPr="0096081C">
        <w:rPr>
          <w:rFonts w:ascii="Times New Roman" w:hAnsi="Times New Roman"/>
          <w:b/>
          <w:color w:val="000000"/>
          <w:sz w:val="28"/>
          <w:szCs w:val="28"/>
        </w:rPr>
        <w:t xml:space="preserve"> литературы</w:t>
      </w:r>
    </w:p>
    <w:p w:rsidR="00E52741" w:rsidRPr="0096081C" w:rsidRDefault="00E52741" w:rsidP="0078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00478" w:rsidRPr="0096081C" w:rsidRDefault="00900478" w:rsidP="00782006">
      <w:pPr>
        <w:pStyle w:val="af2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Гражданский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Кодекс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РФ</w:t>
      </w:r>
    </w:p>
    <w:p w:rsidR="00900478" w:rsidRPr="0096081C" w:rsidRDefault="00900478" w:rsidP="00782006">
      <w:pPr>
        <w:pStyle w:val="af2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Конституция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РФ</w:t>
      </w:r>
    </w:p>
    <w:p w:rsidR="00900478" w:rsidRPr="0096081C" w:rsidRDefault="00900478" w:rsidP="00782006">
      <w:pPr>
        <w:pStyle w:val="af2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Положения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Бухгалтерского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учета</w:t>
      </w:r>
    </w:p>
    <w:p w:rsidR="00900478" w:rsidRPr="0096081C" w:rsidRDefault="00900478" w:rsidP="00782006">
      <w:pPr>
        <w:pStyle w:val="af2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Ковалев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В.В.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Финансовый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анализ,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М.Экономика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1998</w:t>
      </w:r>
    </w:p>
    <w:p w:rsidR="00900478" w:rsidRPr="0096081C" w:rsidRDefault="00900478" w:rsidP="00782006">
      <w:pPr>
        <w:pStyle w:val="af2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Интернет,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сайт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г.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Ульяновска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  <w:lang w:val="en-US"/>
        </w:rPr>
        <w:t>pvbsbrf</w:t>
      </w:r>
      <w:r w:rsidRPr="0096081C">
        <w:rPr>
          <w:rFonts w:ascii="Times New Roman" w:hAnsi="Times New Roman"/>
          <w:color w:val="000000"/>
          <w:sz w:val="28"/>
          <w:szCs w:val="28"/>
        </w:rPr>
        <w:t>.</w:t>
      </w:r>
      <w:r w:rsidRPr="0096081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900478" w:rsidRPr="0096081C" w:rsidRDefault="00900478" w:rsidP="00782006">
      <w:pPr>
        <w:pStyle w:val="af2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Интернет,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сайт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Сбербанка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России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  <w:lang w:val="en-US"/>
        </w:rPr>
        <w:t>sbrf</w:t>
      </w:r>
      <w:r w:rsidRPr="0096081C">
        <w:rPr>
          <w:rFonts w:ascii="Times New Roman" w:hAnsi="Times New Roman"/>
          <w:color w:val="000000"/>
          <w:sz w:val="28"/>
          <w:szCs w:val="28"/>
        </w:rPr>
        <w:t>.</w:t>
      </w:r>
      <w:r w:rsidRPr="0096081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</w:p>
    <w:p w:rsidR="00900478" w:rsidRPr="0096081C" w:rsidRDefault="00900478" w:rsidP="00782006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Банковское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дело.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ред.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Лаврушина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О.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И..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Москва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"РоСТо",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1992</w:t>
      </w:r>
    </w:p>
    <w:p w:rsidR="00900478" w:rsidRPr="0096081C" w:rsidRDefault="00900478" w:rsidP="00782006">
      <w:pPr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081C">
        <w:rPr>
          <w:rFonts w:ascii="Times New Roman" w:hAnsi="Times New Roman"/>
          <w:color w:val="000000"/>
          <w:sz w:val="28"/>
          <w:szCs w:val="28"/>
        </w:rPr>
        <w:t>Общая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теория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денег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кредита: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Учебник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под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ред.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Е.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Ф.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Жукова.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-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М.: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Банки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и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биржи.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ЮНИТИ,</w:t>
      </w:r>
      <w:r w:rsidR="00E52741" w:rsidRPr="00960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081C">
        <w:rPr>
          <w:rFonts w:ascii="Times New Roman" w:hAnsi="Times New Roman"/>
          <w:color w:val="000000"/>
          <w:sz w:val="28"/>
          <w:szCs w:val="28"/>
        </w:rPr>
        <w:t>1995.</w:t>
      </w:r>
    </w:p>
    <w:p w:rsidR="0099031D" w:rsidRPr="0096081C" w:rsidRDefault="0099031D" w:rsidP="0099031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031D" w:rsidRDefault="0099031D" w:rsidP="0099031D">
      <w:pPr>
        <w:spacing w:line="360" w:lineRule="auto"/>
        <w:jc w:val="both"/>
        <w:rPr>
          <w:sz w:val="28"/>
          <w:szCs w:val="28"/>
        </w:rPr>
      </w:pPr>
    </w:p>
    <w:p w:rsidR="0099031D" w:rsidRPr="00F44BA4" w:rsidRDefault="0099031D" w:rsidP="00F44BA4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99031D" w:rsidRPr="00F44BA4" w:rsidSect="00F44BA4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A4" w:rsidRDefault="00B712A4" w:rsidP="00FF57AF">
      <w:pPr>
        <w:spacing w:after="0" w:line="240" w:lineRule="auto"/>
      </w:pPr>
      <w:r>
        <w:separator/>
      </w:r>
    </w:p>
  </w:endnote>
  <w:endnote w:type="continuationSeparator" w:id="0">
    <w:p w:rsidR="00B712A4" w:rsidRDefault="00B712A4" w:rsidP="00FF5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A4" w:rsidRDefault="00B712A4" w:rsidP="00FF57AF">
      <w:pPr>
        <w:spacing w:after="0" w:line="240" w:lineRule="auto"/>
      </w:pPr>
      <w:r>
        <w:separator/>
      </w:r>
    </w:p>
  </w:footnote>
  <w:footnote w:type="continuationSeparator" w:id="0">
    <w:p w:rsidR="00B712A4" w:rsidRDefault="00B712A4" w:rsidP="00FF5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31D" w:rsidRPr="0099031D" w:rsidRDefault="0099031D" w:rsidP="0099031D">
    <w:pPr>
      <w:pStyle w:val="a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4B60D3"/>
    <w:multiLevelType w:val="multilevel"/>
    <w:tmpl w:val="B534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C2BC5"/>
    <w:multiLevelType w:val="hybridMultilevel"/>
    <w:tmpl w:val="99A2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B421E5"/>
    <w:multiLevelType w:val="hybridMultilevel"/>
    <w:tmpl w:val="22FA19AC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">
    <w:nsid w:val="119A7F94"/>
    <w:multiLevelType w:val="singleLevel"/>
    <w:tmpl w:val="5BF8A28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28C36E8"/>
    <w:multiLevelType w:val="multilevel"/>
    <w:tmpl w:val="519E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EE7E62"/>
    <w:multiLevelType w:val="multilevel"/>
    <w:tmpl w:val="B326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51666"/>
    <w:multiLevelType w:val="multilevel"/>
    <w:tmpl w:val="EDEC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617689"/>
    <w:multiLevelType w:val="multilevel"/>
    <w:tmpl w:val="507E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A069B"/>
    <w:multiLevelType w:val="multilevel"/>
    <w:tmpl w:val="5270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8E22DC"/>
    <w:multiLevelType w:val="hybridMultilevel"/>
    <w:tmpl w:val="17428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67714"/>
    <w:multiLevelType w:val="multilevel"/>
    <w:tmpl w:val="4C4C76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A9808AB"/>
    <w:multiLevelType w:val="multilevel"/>
    <w:tmpl w:val="768C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FB0D7F"/>
    <w:multiLevelType w:val="hybridMultilevel"/>
    <w:tmpl w:val="07AA5CE4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4">
    <w:nsid w:val="439F7DCA"/>
    <w:multiLevelType w:val="multilevel"/>
    <w:tmpl w:val="F2FC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C23A17"/>
    <w:multiLevelType w:val="multilevel"/>
    <w:tmpl w:val="73E4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D73AF8"/>
    <w:multiLevelType w:val="multilevel"/>
    <w:tmpl w:val="102C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017EAE"/>
    <w:multiLevelType w:val="hybridMultilevel"/>
    <w:tmpl w:val="3EFE2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424BB1"/>
    <w:multiLevelType w:val="hybridMultilevel"/>
    <w:tmpl w:val="55A4E156"/>
    <w:lvl w:ilvl="0" w:tplc="3E42CC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98801EE"/>
    <w:multiLevelType w:val="multilevel"/>
    <w:tmpl w:val="6EDA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AB697D"/>
    <w:multiLevelType w:val="multilevel"/>
    <w:tmpl w:val="7178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0394352"/>
    <w:multiLevelType w:val="multilevel"/>
    <w:tmpl w:val="D996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107E22"/>
    <w:multiLevelType w:val="multilevel"/>
    <w:tmpl w:val="57A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887BAE"/>
    <w:multiLevelType w:val="hybridMultilevel"/>
    <w:tmpl w:val="2C644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164ED9"/>
    <w:multiLevelType w:val="hybridMultilevel"/>
    <w:tmpl w:val="22D6DD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72C12297"/>
    <w:multiLevelType w:val="hybridMultilevel"/>
    <w:tmpl w:val="7EE80B3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41C14CB"/>
    <w:multiLevelType w:val="hybridMultilevel"/>
    <w:tmpl w:val="AB40661E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7">
    <w:nsid w:val="747A35B1"/>
    <w:multiLevelType w:val="hybridMultilevel"/>
    <w:tmpl w:val="19AC2C60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8">
    <w:nsid w:val="754D66FD"/>
    <w:multiLevelType w:val="hybridMultilevel"/>
    <w:tmpl w:val="A860DC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5BE4319"/>
    <w:multiLevelType w:val="hybridMultilevel"/>
    <w:tmpl w:val="E9CE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D70A3E"/>
    <w:multiLevelType w:val="multilevel"/>
    <w:tmpl w:val="578C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BD10BC"/>
    <w:multiLevelType w:val="hybridMultilevel"/>
    <w:tmpl w:val="7EA4F094"/>
    <w:lvl w:ilvl="0" w:tplc="04190001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32">
    <w:nsid w:val="7B857E4D"/>
    <w:multiLevelType w:val="multilevel"/>
    <w:tmpl w:val="3534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D029F5"/>
    <w:multiLevelType w:val="multilevel"/>
    <w:tmpl w:val="AB0A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5"/>
  </w:num>
  <w:num w:numId="3">
    <w:abstractNumId w:val="13"/>
  </w:num>
  <w:num w:numId="4">
    <w:abstractNumId w:val="3"/>
  </w:num>
  <w:num w:numId="5">
    <w:abstractNumId w:val="27"/>
  </w:num>
  <w:num w:numId="6">
    <w:abstractNumId w:val="26"/>
  </w:num>
  <w:num w:numId="7">
    <w:abstractNumId w:val="31"/>
  </w:num>
  <w:num w:numId="8">
    <w:abstractNumId w:val="10"/>
  </w:num>
  <w:num w:numId="9">
    <w:abstractNumId w:val="23"/>
  </w:num>
  <w:num w:numId="10">
    <w:abstractNumId w:val="17"/>
  </w:num>
  <w:num w:numId="11">
    <w:abstractNumId w:val="8"/>
  </w:num>
  <w:num w:numId="12">
    <w:abstractNumId w:val="16"/>
  </w:num>
  <w:num w:numId="13">
    <w:abstractNumId w:val="21"/>
  </w:num>
  <w:num w:numId="14">
    <w:abstractNumId w:val="18"/>
  </w:num>
  <w:num w:numId="15">
    <w:abstractNumId w:val="30"/>
  </w:num>
  <w:num w:numId="16">
    <w:abstractNumId w:val="6"/>
  </w:num>
  <w:num w:numId="17">
    <w:abstractNumId w:val="19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0">
    <w:abstractNumId w:val="32"/>
  </w:num>
  <w:num w:numId="21">
    <w:abstractNumId w:val="7"/>
  </w:num>
  <w:num w:numId="22">
    <w:abstractNumId w:val="33"/>
  </w:num>
  <w:num w:numId="23">
    <w:abstractNumId w:val="14"/>
  </w:num>
  <w:num w:numId="24">
    <w:abstractNumId w:val="15"/>
  </w:num>
  <w:num w:numId="25">
    <w:abstractNumId w:val="12"/>
  </w:num>
  <w:num w:numId="26">
    <w:abstractNumId w:val="9"/>
  </w:num>
  <w:num w:numId="27">
    <w:abstractNumId w:val="22"/>
  </w:num>
  <w:num w:numId="28">
    <w:abstractNumId w:val="5"/>
  </w:num>
  <w:num w:numId="29">
    <w:abstractNumId w:val="1"/>
  </w:num>
  <w:num w:numId="30">
    <w:abstractNumId w:val="4"/>
  </w:num>
  <w:num w:numId="31">
    <w:abstractNumId w:val="24"/>
  </w:num>
  <w:num w:numId="32">
    <w:abstractNumId w:val="20"/>
  </w:num>
  <w:num w:numId="33">
    <w:abstractNumId w:val="2"/>
  </w:num>
  <w:num w:numId="34">
    <w:abstractNumId w:val="29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DB4"/>
    <w:rsid w:val="0002240E"/>
    <w:rsid w:val="0002340F"/>
    <w:rsid w:val="00031EF5"/>
    <w:rsid w:val="0009311D"/>
    <w:rsid w:val="000A4CC4"/>
    <w:rsid w:val="00137E80"/>
    <w:rsid w:val="00155ACB"/>
    <w:rsid w:val="001A51DE"/>
    <w:rsid w:val="001B5607"/>
    <w:rsid w:val="00215468"/>
    <w:rsid w:val="002C599E"/>
    <w:rsid w:val="002C6332"/>
    <w:rsid w:val="004700FB"/>
    <w:rsid w:val="004F723E"/>
    <w:rsid w:val="00504B6F"/>
    <w:rsid w:val="005153C3"/>
    <w:rsid w:val="00551A7A"/>
    <w:rsid w:val="0055289C"/>
    <w:rsid w:val="00564A40"/>
    <w:rsid w:val="005972BB"/>
    <w:rsid w:val="005B41F2"/>
    <w:rsid w:val="005C6DFE"/>
    <w:rsid w:val="00611FB5"/>
    <w:rsid w:val="00671E79"/>
    <w:rsid w:val="00673999"/>
    <w:rsid w:val="00694661"/>
    <w:rsid w:val="0074781A"/>
    <w:rsid w:val="00751BAA"/>
    <w:rsid w:val="00756488"/>
    <w:rsid w:val="00766730"/>
    <w:rsid w:val="0077756F"/>
    <w:rsid w:val="00782006"/>
    <w:rsid w:val="00782861"/>
    <w:rsid w:val="007F5E01"/>
    <w:rsid w:val="00865A84"/>
    <w:rsid w:val="00865B50"/>
    <w:rsid w:val="008729C0"/>
    <w:rsid w:val="00885DA6"/>
    <w:rsid w:val="008A3591"/>
    <w:rsid w:val="008B162A"/>
    <w:rsid w:val="008B267C"/>
    <w:rsid w:val="008B6BE8"/>
    <w:rsid w:val="008E29CD"/>
    <w:rsid w:val="00900478"/>
    <w:rsid w:val="009604FE"/>
    <w:rsid w:val="0096081C"/>
    <w:rsid w:val="0099031D"/>
    <w:rsid w:val="009C04C9"/>
    <w:rsid w:val="009C250B"/>
    <w:rsid w:val="00A00EC0"/>
    <w:rsid w:val="00A761AC"/>
    <w:rsid w:val="00AA0CA7"/>
    <w:rsid w:val="00AA122F"/>
    <w:rsid w:val="00B5204C"/>
    <w:rsid w:val="00B712A4"/>
    <w:rsid w:val="00B86FB6"/>
    <w:rsid w:val="00B87F36"/>
    <w:rsid w:val="00C82FDF"/>
    <w:rsid w:val="00CA2A1B"/>
    <w:rsid w:val="00CB50B2"/>
    <w:rsid w:val="00CB6B6D"/>
    <w:rsid w:val="00D2618B"/>
    <w:rsid w:val="00D264AF"/>
    <w:rsid w:val="00D7175D"/>
    <w:rsid w:val="00E020D8"/>
    <w:rsid w:val="00E33C83"/>
    <w:rsid w:val="00E5076F"/>
    <w:rsid w:val="00E52741"/>
    <w:rsid w:val="00E64DB4"/>
    <w:rsid w:val="00E963EE"/>
    <w:rsid w:val="00F44BA4"/>
    <w:rsid w:val="00F46926"/>
    <w:rsid w:val="00FF43F0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F005B6-6096-43AF-96B0-F7D36391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B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2340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2340F"/>
    <w:pPr>
      <w:spacing w:after="150" w:line="240" w:lineRule="auto"/>
      <w:outlineLvl w:val="1"/>
    </w:pPr>
    <w:rPr>
      <w:rFonts w:ascii="Georgia" w:hAnsi="Georgia"/>
      <w:color w:val="283933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9604F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340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2340F"/>
    <w:rPr>
      <w:rFonts w:ascii="Georgia" w:hAnsi="Georgia" w:cs="Times New Roman"/>
      <w:color w:val="283933"/>
      <w:sz w:val="36"/>
      <w:szCs w:val="36"/>
    </w:rPr>
  </w:style>
  <w:style w:type="character" w:customStyle="1" w:styleId="30">
    <w:name w:val="Заголовок 3 Знак"/>
    <w:link w:val="3"/>
    <w:uiPriority w:val="99"/>
    <w:semiHidden/>
    <w:locked/>
    <w:rsid w:val="009604FE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E64DB4"/>
    <w:pPr>
      <w:spacing w:after="0" w:line="240" w:lineRule="auto"/>
      <w:jc w:val="center"/>
    </w:pPr>
    <w:rPr>
      <w:rFonts w:ascii="Times New Roman" w:hAnsi="Times New Roman"/>
      <w:sz w:val="32"/>
      <w:szCs w:val="24"/>
    </w:rPr>
  </w:style>
  <w:style w:type="character" w:customStyle="1" w:styleId="a4">
    <w:name w:val="Назва Знак"/>
    <w:link w:val="a3"/>
    <w:uiPriority w:val="99"/>
    <w:locked/>
    <w:rsid w:val="00E64DB4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E64DB4"/>
    <w:pPr>
      <w:spacing w:after="0" w:line="240" w:lineRule="auto"/>
    </w:pPr>
    <w:rPr>
      <w:rFonts w:ascii="Times New Roman" w:hAnsi="Times New Roman"/>
      <w:sz w:val="36"/>
      <w:szCs w:val="24"/>
    </w:rPr>
  </w:style>
  <w:style w:type="character" w:customStyle="1" w:styleId="a6">
    <w:name w:val="Основний текст Знак"/>
    <w:link w:val="a5"/>
    <w:uiPriority w:val="99"/>
    <w:locked/>
    <w:rsid w:val="00E64DB4"/>
    <w:rPr>
      <w:rFonts w:ascii="Times New Roman" w:hAnsi="Times New Roman" w:cs="Times New Roman"/>
      <w:sz w:val="24"/>
      <w:szCs w:val="24"/>
    </w:rPr>
  </w:style>
  <w:style w:type="character" w:styleId="a7">
    <w:name w:val="Strong"/>
    <w:uiPriority w:val="99"/>
    <w:qFormat/>
    <w:rsid w:val="0002340F"/>
    <w:rPr>
      <w:rFonts w:cs="Times New Roman"/>
      <w:b/>
      <w:bCs/>
    </w:rPr>
  </w:style>
  <w:style w:type="paragraph" w:styleId="a8">
    <w:name w:val="Normal (Web)"/>
    <w:basedOn w:val="a"/>
    <w:uiPriority w:val="99"/>
    <w:rsid w:val="0002340F"/>
    <w:pPr>
      <w:spacing w:before="100" w:beforeAutospacing="1" w:after="240" w:line="319" w:lineRule="atLeast"/>
    </w:pPr>
    <w:rPr>
      <w:rFonts w:ascii="Times New Roman" w:hAnsi="Times New Roman"/>
      <w:color w:val="283933"/>
      <w:sz w:val="24"/>
      <w:szCs w:val="24"/>
    </w:rPr>
  </w:style>
  <w:style w:type="paragraph" w:styleId="a9">
    <w:name w:val="header"/>
    <w:basedOn w:val="a"/>
    <w:link w:val="aa"/>
    <w:uiPriority w:val="99"/>
    <w:rsid w:val="00FF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link w:val="a9"/>
    <w:uiPriority w:val="99"/>
    <w:semiHidden/>
    <w:locked/>
    <w:rsid w:val="00FF57AF"/>
    <w:rPr>
      <w:rFonts w:cs="Times New Roman"/>
    </w:rPr>
  </w:style>
  <w:style w:type="paragraph" w:styleId="ab">
    <w:name w:val="footer"/>
    <w:basedOn w:val="a"/>
    <w:link w:val="ac"/>
    <w:uiPriority w:val="99"/>
    <w:rsid w:val="00FF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link w:val="ab"/>
    <w:uiPriority w:val="99"/>
    <w:locked/>
    <w:rsid w:val="00FF57AF"/>
    <w:rPr>
      <w:rFonts w:cs="Times New Roman"/>
    </w:rPr>
  </w:style>
  <w:style w:type="paragraph" w:styleId="ad">
    <w:name w:val="Plain Text"/>
    <w:basedOn w:val="a"/>
    <w:link w:val="ae"/>
    <w:uiPriority w:val="99"/>
    <w:semiHidden/>
    <w:rsid w:val="00A00E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uiPriority w:val="99"/>
    <w:semiHidden/>
    <w:locked/>
    <w:rsid w:val="00A00EC0"/>
    <w:rPr>
      <w:rFonts w:ascii="Courier New" w:hAnsi="Courier New" w:cs="Times New Roman"/>
      <w:sz w:val="20"/>
      <w:szCs w:val="20"/>
    </w:rPr>
  </w:style>
  <w:style w:type="paragraph" w:styleId="af">
    <w:name w:val="footnote text"/>
    <w:basedOn w:val="a"/>
    <w:link w:val="af0"/>
    <w:uiPriority w:val="99"/>
    <w:semiHidden/>
    <w:rsid w:val="00A00EC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виноски Знак"/>
    <w:link w:val="af"/>
    <w:uiPriority w:val="99"/>
    <w:semiHidden/>
    <w:locked/>
    <w:rsid w:val="00A00EC0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uiPriority w:val="99"/>
    <w:semiHidden/>
    <w:rsid w:val="00A00EC0"/>
    <w:rPr>
      <w:rFonts w:cs="Times New Roman"/>
      <w:vertAlign w:val="superscript"/>
    </w:rPr>
  </w:style>
  <w:style w:type="paragraph" w:styleId="af2">
    <w:name w:val="List Paragraph"/>
    <w:basedOn w:val="a"/>
    <w:uiPriority w:val="99"/>
    <w:qFormat/>
    <w:rsid w:val="00215468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rsid w:val="00B86FB6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locked/>
    <w:rPr>
      <w:rFonts w:ascii="Times New Roman" w:hAnsi="Times New Roman" w:cs="Times New Roman"/>
      <w:sz w:val="2"/>
    </w:rPr>
  </w:style>
  <w:style w:type="table" w:styleId="af5">
    <w:name w:val="Table Grid"/>
    <w:basedOn w:val="a1"/>
    <w:uiPriority w:val="59"/>
    <w:locked/>
    <w:rsid w:val="00E5274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9903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2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599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982600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7903</Words>
  <Characters>45052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 и Денис</dc:creator>
  <cp:keywords/>
  <dc:description/>
  <cp:lastModifiedBy>Irina</cp:lastModifiedBy>
  <cp:revision>2</cp:revision>
  <cp:lastPrinted>2008-09-15T12:39:00Z</cp:lastPrinted>
  <dcterms:created xsi:type="dcterms:W3CDTF">2014-09-12T16:00:00Z</dcterms:created>
  <dcterms:modified xsi:type="dcterms:W3CDTF">2014-09-12T16:00:00Z</dcterms:modified>
</cp:coreProperties>
</file>