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  <w:r w:rsidRPr="00A8053F">
        <w:rPr>
          <w:sz w:val="28"/>
          <w:szCs w:val="28"/>
        </w:rPr>
        <w:t>МИНИСТЕРСТВО СЕЛЬСКОГО ХОЗЯЙСТВА РОССИЙСКОЙ ФЕДЕРАЦИИ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  <w:r w:rsidRPr="00A8053F">
        <w:rPr>
          <w:sz w:val="28"/>
          <w:szCs w:val="28"/>
        </w:rPr>
        <w:t>ФЕДЕРАЛЬНОЕ ГОСУДАРСТВЕННОЕ ОБРАЗОВАТЕЛЬНОЕ УЧРЕЖДЕНИЕ ВЫСШЕГО ПРОФЕСССИОНАЛЬНОГО ОБРАЗОВАНИЯ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  <w:r w:rsidRPr="00A8053F">
        <w:rPr>
          <w:sz w:val="28"/>
          <w:szCs w:val="28"/>
        </w:rPr>
        <w:t>ИЖЕВСКАЯ ГОСУДАРСТВЕННАЯ СЕЛЬСКОХОЗЯЙСТВЕННАЯ АКАДЕМИЯ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  <w:r w:rsidRPr="00A8053F">
        <w:rPr>
          <w:sz w:val="28"/>
          <w:szCs w:val="28"/>
        </w:rPr>
        <w:t>КАФЕДРА ЭМТП</w:t>
      </w:r>
    </w:p>
    <w:p w:rsidR="000F3CEB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A8053F" w:rsidRPr="00A8053F" w:rsidRDefault="00A8053F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053F">
        <w:rPr>
          <w:b/>
          <w:sz w:val="28"/>
          <w:szCs w:val="28"/>
        </w:rPr>
        <w:t>ОТЧЕТ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053F">
        <w:rPr>
          <w:b/>
          <w:sz w:val="28"/>
          <w:szCs w:val="28"/>
        </w:rPr>
        <w:t>ПО ПРОИЗВОДСТВЕННОЙ РЕМОНТНОЙ И ЭКСПЛУАТАЦИОННОЙ</w:t>
      </w:r>
      <w:r w:rsidR="00A8053F">
        <w:rPr>
          <w:b/>
          <w:sz w:val="28"/>
          <w:szCs w:val="28"/>
        </w:rPr>
        <w:t xml:space="preserve"> </w:t>
      </w:r>
      <w:r w:rsidRPr="00A8053F">
        <w:rPr>
          <w:b/>
          <w:sz w:val="28"/>
          <w:szCs w:val="28"/>
        </w:rPr>
        <w:t>ПРАКТИКЕ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left="4962"/>
        <w:rPr>
          <w:sz w:val="28"/>
          <w:szCs w:val="28"/>
        </w:rPr>
      </w:pPr>
      <w:r w:rsidRPr="00A8053F">
        <w:rPr>
          <w:sz w:val="28"/>
          <w:szCs w:val="28"/>
        </w:rPr>
        <w:t>Выполнил: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студент</w:t>
      </w:r>
    </w:p>
    <w:p w:rsidR="000F3CEB" w:rsidRPr="00A8053F" w:rsidRDefault="000F3CEB" w:rsidP="00A8053F">
      <w:pPr>
        <w:spacing w:line="360" w:lineRule="auto"/>
        <w:ind w:left="4962"/>
        <w:rPr>
          <w:sz w:val="28"/>
          <w:szCs w:val="28"/>
        </w:rPr>
      </w:pPr>
      <w:r w:rsidRPr="00A8053F">
        <w:rPr>
          <w:sz w:val="28"/>
          <w:szCs w:val="28"/>
        </w:rPr>
        <w:t>Бабинцев Д.Ю.</w:t>
      </w:r>
    </w:p>
    <w:p w:rsidR="000F3CEB" w:rsidRPr="00A8053F" w:rsidRDefault="000F3CEB" w:rsidP="00A8053F">
      <w:pPr>
        <w:spacing w:line="360" w:lineRule="auto"/>
        <w:ind w:left="4962"/>
        <w:rPr>
          <w:sz w:val="28"/>
          <w:szCs w:val="28"/>
        </w:rPr>
      </w:pPr>
      <w:r w:rsidRPr="00A8053F">
        <w:rPr>
          <w:sz w:val="28"/>
          <w:szCs w:val="28"/>
        </w:rPr>
        <w:t>Проверил: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кафедра ЭМТП:</w:t>
      </w:r>
    </w:p>
    <w:p w:rsidR="000F3CEB" w:rsidRPr="00A8053F" w:rsidRDefault="000F3CEB" w:rsidP="00A8053F">
      <w:pPr>
        <w:spacing w:line="360" w:lineRule="auto"/>
        <w:ind w:left="4962"/>
        <w:rPr>
          <w:sz w:val="28"/>
          <w:szCs w:val="28"/>
        </w:rPr>
      </w:pPr>
      <w:r w:rsidRPr="00A8053F">
        <w:rPr>
          <w:sz w:val="28"/>
          <w:szCs w:val="28"/>
        </w:rPr>
        <w:t>Корепанов Ю. Г.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Арсланов Ф.Р.</w:t>
      </w: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Pr="00A8053F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A8053F" w:rsidRDefault="00A8053F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48653C" w:rsidRPr="00A8053F" w:rsidRDefault="0048653C" w:rsidP="00A8053F">
      <w:pPr>
        <w:spacing w:line="360" w:lineRule="auto"/>
        <w:ind w:firstLine="709"/>
        <w:jc w:val="center"/>
        <w:rPr>
          <w:sz w:val="28"/>
          <w:szCs w:val="28"/>
        </w:rPr>
      </w:pPr>
    </w:p>
    <w:p w:rsidR="000F3CEB" w:rsidRDefault="000F3CEB" w:rsidP="00A8053F">
      <w:pPr>
        <w:spacing w:line="360" w:lineRule="auto"/>
        <w:ind w:firstLine="709"/>
        <w:jc w:val="center"/>
        <w:rPr>
          <w:sz w:val="28"/>
          <w:szCs w:val="28"/>
        </w:rPr>
      </w:pPr>
      <w:r w:rsidRPr="00A8053F">
        <w:rPr>
          <w:sz w:val="28"/>
          <w:szCs w:val="28"/>
        </w:rPr>
        <w:t>2008</w:t>
      </w:r>
    </w:p>
    <w:p w:rsidR="001309FF" w:rsidRPr="00A8053F" w:rsidRDefault="00A8053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3D5C" w:rsidRPr="00A8053F">
        <w:rPr>
          <w:b/>
          <w:sz w:val="28"/>
          <w:szCs w:val="28"/>
        </w:rPr>
        <w:lastRenderedPageBreak/>
        <w:t>В</w:t>
      </w:r>
      <w:r w:rsidRPr="00A8053F">
        <w:rPr>
          <w:b/>
          <w:sz w:val="28"/>
          <w:szCs w:val="28"/>
        </w:rPr>
        <w:t>ведение</w:t>
      </w:r>
    </w:p>
    <w:p w:rsidR="00D93D5C" w:rsidRPr="00A8053F" w:rsidRDefault="00D93D5C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977DAE" w:rsidRPr="00A8053F" w:rsidRDefault="00D93D5C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Главным условием выживаемости сельского товаропроизводителя в рыночных условиях, независимо от формы хозяйствования, является достижение определенного уровня эффективности производства. Причем этот уровень может быть различным в зависимости от того в каких условиях находится хозяйство: от качества земли, климатических условий, обеспеченности производственными фондами, рабочей силой; числа и состава отраслей сельского хозяйства и др. В зависимости от этого, а также с учетом платежеспособного спроса населения каждый товаропроизводитель должен строить свою </w:t>
      </w:r>
      <w:r w:rsidR="00977DAE" w:rsidRPr="00A8053F">
        <w:rPr>
          <w:sz w:val="28"/>
          <w:szCs w:val="28"/>
        </w:rPr>
        <w:t>производственно-финансовую деятельность, планировать целесообразный вид, объем продукции, ее качество, затраты на единицу, по какой цене и кому он сможет ее реализовать. Все это предопределит величину получаемой прибыли и рентабельность.</w:t>
      </w:r>
    </w:p>
    <w:p w:rsidR="00977DAE" w:rsidRPr="00A8053F" w:rsidRDefault="00977DAE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Проанализировать достигнутый в хозяйстве уровень рентабельности, выяснить причины, которые способствуют его формированию, установить факторы, используя которые можно повысить уровень рентабельности и спрогнозировать ее в перспективе, первоочередная и важнейшая задача руководителей и специалистов хозяйств каждого товаропроизводителя.</w:t>
      </w:r>
    </w:p>
    <w:p w:rsidR="00977DAE" w:rsidRPr="00A8053F" w:rsidRDefault="00977DAE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Сельскохозяйственное производство располагает огромным машинно-тракторным парком, имеющим в своем составе множество тракторов и автомобилей, большое число зерноуборочных комбайнов и другой сельскохозяйственной техники.</w:t>
      </w:r>
    </w:p>
    <w:p w:rsidR="00977DAE" w:rsidRPr="00A8053F" w:rsidRDefault="00977DAE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Чтобы поддержать такой машинно-тракторный парк в постоянном </w:t>
      </w:r>
      <w:r w:rsidR="00602863" w:rsidRPr="00A8053F">
        <w:rPr>
          <w:sz w:val="28"/>
          <w:szCs w:val="28"/>
        </w:rPr>
        <w:t>работоспособном состоянии и успешно его использовать, ежегодно затрачиваются большие суммы денег, поэтому повышение качества отремонтированной техники и снижение затрат на ее ремонт и обслуживание задача государственной важности.</w:t>
      </w:r>
    </w:p>
    <w:p w:rsidR="00602863" w:rsidRPr="00A8053F" w:rsidRDefault="0060286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Успешное и эффективное использование ремонтно-технической базы возможно только при наличии высококвалифицированных инженерно-технических работников, успешно организующих ремонт машин и оборудования.</w:t>
      </w:r>
    </w:p>
    <w:p w:rsidR="00602863" w:rsidRPr="00A8053F" w:rsidRDefault="00602863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474E2F" w:rsidRPr="00A8053F" w:rsidRDefault="00A8053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4E2F" w:rsidRPr="00A8053F">
        <w:rPr>
          <w:b/>
          <w:sz w:val="28"/>
          <w:szCs w:val="28"/>
        </w:rPr>
        <w:t>Краткая характеристика хозяйства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Хозяйство расположено в центральной части Глазовского района. Землепользование сравнительно компактное, состоит из одного участка, протяженность землепользования с севера на юг составляет 12 км, с запада на восток – 20 км.</w:t>
      </w:r>
    </w:p>
    <w:p w:rsidR="003143CF" w:rsidRPr="00A8053F" w:rsidRDefault="003143C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Основными видами деятельности хозяйства являются:</w:t>
      </w:r>
    </w:p>
    <w:p w:rsidR="003143CF" w:rsidRPr="00A8053F" w:rsidRDefault="003143CF" w:rsidP="00A8053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 заготовка, производство, переработка и реализация сельскохозяйственной продукции;</w:t>
      </w:r>
    </w:p>
    <w:p w:rsidR="003143CF" w:rsidRPr="00A8053F" w:rsidRDefault="003143CF" w:rsidP="00A8053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оказание различных видов услуг населению и работникам предприятия, а также иная деятельность, не запрещенная действующим законодательством.</w:t>
      </w:r>
    </w:p>
    <w:p w:rsidR="00DE7A97" w:rsidRPr="00A8053F" w:rsidRDefault="00DE7A97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Организационная структура управления предприятием представлена на рис.1.</w:t>
      </w:r>
    </w:p>
    <w:p w:rsidR="00DE7A97" w:rsidRPr="00A8053F" w:rsidRDefault="00DE7A97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Во главе предприятия стоит директор, которому непосредственно подчинены главный инженер, зам. по производству и бухгалтерия предприятия.</w:t>
      </w:r>
    </w:p>
    <w:p w:rsidR="00DE7A97" w:rsidRPr="00A8053F" w:rsidRDefault="00DE7A97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Главный инженер отвечает за эксплуатацию МТП, ведет работу по снабжению, а также ведет контроль за работой бригадиров, водителей и вспомогательных работников. В его обязанности входит разнарядка техники по местам по объектам работы, проводит инструктаж водителей об особенностях движения, и делает об этом отметки в журнале инструктажа, в котором расписывается водитель. Ведет учет рабочего времени, обработка путевок, учет ремонтных работ, контроль по расходу ГСМ.</w:t>
      </w:r>
    </w:p>
    <w:p w:rsidR="00DE7A97" w:rsidRPr="00A8053F" w:rsidRDefault="00DE7A97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Мастера (бригадиры) ответственны за рациональное использование МТП.</w:t>
      </w:r>
    </w:p>
    <w:p w:rsidR="00DE7A97" w:rsidRPr="00A8053F" w:rsidRDefault="00DE7A97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Диспетчером передаются распоряжения водителям, указания по выполнению того или иного вида работ в определенном объёме.</w:t>
      </w:r>
    </w:p>
    <w:p w:rsidR="00DE7A97" w:rsidRPr="00A8053F" w:rsidRDefault="00A8053F" w:rsidP="00A8053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014">
        <w:rPr>
          <w:sz w:val="28"/>
          <w:szCs w:val="28"/>
        </w:rPr>
      </w:r>
      <w:r w:rsidR="00702014">
        <w:rPr>
          <w:sz w:val="28"/>
          <w:szCs w:val="28"/>
        </w:rPr>
        <w:pict>
          <v:group id="_x0000_s1026" editas="canvas" style="width:459pt;height:225pt;mso-position-horizontal-relative:char;mso-position-vertical-relative:line" coordorigin="2277,10758" coordsize="7200,3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7;top:10758;width:7200;height:3484" o:preferrelative="f">
              <v:fill o:detectmouseclick="t"/>
              <v:path o:extrusionok="t" o:connecttype="none"/>
              <o:lock v:ext="edit" text="t"/>
            </v:shape>
            <v:rect id="_x0000_s1028" style="position:absolute;left:5383;top:10897;width:1129;height:418">
              <v:textbox style="mso-next-textbox:#_x0000_s1028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Директор</w:t>
                    </w:r>
                  </w:p>
                  <w:p w:rsidR="00DE7A97" w:rsidRDefault="00DE7A97" w:rsidP="00DE7A97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5524;top:11594;width:988;height:558">
              <v:textbox style="mso-next-textbox:#_x0000_s1029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Гл.</w:t>
                    </w:r>
                  </w:p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инженер</w:t>
                    </w:r>
                  </w:p>
                </w:txbxContent>
              </v:textbox>
            </v:rect>
            <v:rect id="_x0000_s1030" style="position:absolute;left:7924;top:11594;width:1412;height:558">
              <v:textbox style="mso-next-textbox:#_x0000_s1030">
                <w:txbxContent>
                  <w:p w:rsidR="00DE7A97" w:rsidRDefault="00DE7A97" w:rsidP="00DE7A9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Зам. по</w:t>
                    </w:r>
                  </w:p>
                  <w:p w:rsidR="00DE7A97" w:rsidRDefault="00DE7A97" w:rsidP="00DE7A9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производству</w:t>
                    </w:r>
                  </w:p>
                </w:txbxContent>
              </v:textbox>
            </v:rect>
            <v:rect id="_x0000_s1031" style="position:absolute;left:2418;top:11594;width:1271;height:418">
              <v:textbox style="mso-next-textbox:#_x0000_s1031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Бухгалтерия</w:t>
                    </w:r>
                  </w:p>
                </w:txbxContent>
              </v:textbox>
            </v:rect>
            <v:rect id="_x0000_s1032" style="position:absolute;left:5523;top:12710;width:849;height:556">
              <v:textbox style="mso-next-textbox:#_x0000_s1032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Диспетчер</w:t>
                    </w:r>
                  </w:p>
                </w:txbxContent>
              </v:textbox>
            </v:rect>
            <v:rect id="_x0000_s1033" style="position:absolute;left:6652;top:12710;width:1131;height:556">
              <v:textbox style="mso-next-textbox:#_x0000_s1033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Мастер</w:t>
                    </w:r>
                  </w:p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(бригадир)</w:t>
                    </w:r>
                  </w:p>
                </w:txbxContent>
              </v:textbox>
            </v:rect>
            <v:rect id="_x0000_s1034" style="position:absolute;left:6512;top:13545;width:1412;height:558">
              <v:textbox style="mso-next-textbox:#_x0000_s1034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Водители,</w:t>
                    </w:r>
                  </w:p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трактористы</w:t>
                    </w:r>
                  </w:p>
                </w:txbxContent>
              </v:textbox>
            </v:rect>
            <v:rect id="_x0000_s1035" style="position:absolute;left:4395;top:12710;width:988;height:835">
              <v:textbox style="mso-next-textbox:#_x0000_s1035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Вспомогательные</w:t>
                    </w:r>
                  </w:p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рабочие</w:t>
                    </w:r>
                  </w:p>
                </w:txbxContent>
              </v:textbox>
            </v:rect>
            <v:rect id="_x0000_s1036" style="position:absolute;left:2842;top:12709;width:1270;height:557">
              <v:textbox style="mso-next-textbox:#_x0000_s1036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Гл.</w:t>
                    </w:r>
                  </w:p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</w:t>
                    </w:r>
                  </w:p>
                </w:txbxContent>
              </v:textbox>
            </v:rect>
            <v:rect id="_x0000_s1037" style="position:absolute;left:2842;top:13545;width:1270;height:415">
              <v:textbox style="mso-next-textbox:#_x0000_s1037">
                <w:txbxContent>
                  <w:p w:rsidR="00DE7A97" w:rsidRDefault="00DE7A97" w:rsidP="00DE7A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Бухгалтера</w:t>
                    </w:r>
                  </w:p>
                </w:txbxContent>
              </v:textbox>
            </v:rect>
            <v:rect id="_x0000_s1038" style="position:absolute;left:8348;top:12709;width:988;height:415">
              <v:textbox>
                <w:txbxContent>
                  <w:p w:rsidR="00DE7A97" w:rsidRDefault="00DE7A97" w:rsidP="00DE7A9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Агроном</w:t>
                    </w:r>
                  </w:p>
                </w:txbxContent>
              </v:textbox>
            </v:rect>
            <v:rect id="_x0000_s1039" style="position:absolute;left:8348;top:13405;width:988;height:419">
              <v:textbox>
                <w:txbxContent>
                  <w:p w:rsidR="00DE7A97" w:rsidRDefault="00DE7A97" w:rsidP="00DE7A97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Мастера</w:t>
                    </w:r>
                  </w:p>
                </w:txbxContent>
              </v:textbox>
            </v:rect>
            <v:line id="_x0000_s1040" style="position:absolute" from="5948,11315" to="5948,11594">
              <v:stroke endarrow="block"/>
            </v:line>
            <v:line id="_x0000_s1041" style="position:absolute;flip:x" from="4959,12152" to="5948,12710">
              <v:stroke endarrow="block"/>
            </v:line>
            <v:line id="_x0000_s1042" style="position:absolute" from="5948,12152" to="5949,12710">
              <v:stroke endarrow="block"/>
            </v:line>
            <v:line id="_x0000_s1043" style="position:absolute" from="5948,12152" to="7076,12710">
              <v:stroke endarrow="block"/>
            </v:line>
            <v:line id="_x0000_s1044" style="position:absolute;flip:x" from="6371,12988" to="6653,12989">
              <v:stroke startarrow="block" endarrow="block"/>
            </v:line>
            <v:line id="_x0000_s1045" style="position:absolute" from="7218,13266" to="7218,13545">
              <v:stroke endarrow="block"/>
            </v:line>
            <v:line id="_x0000_s1046" style="position:absolute" from="5948,13266" to="6512,13824">
              <v:stroke endarrow="block"/>
            </v:line>
            <v:line id="_x0000_s1047" style="position:absolute" from="2559,12012" to="2559,13824"/>
            <v:line id="_x0000_s1048" style="position:absolute" from="2559,12988" to="2842,12988">
              <v:stroke endarrow="block"/>
            </v:line>
            <v:line id="_x0000_s1049" style="position:absolute" from="2559,13824" to="2842,13824">
              <v:stroke endarrow="block"/>
            </v:line>
            <v:line id="_x0000_s1050" style="position:absolute;flip:x" from="2983,11315" to="5383,11594">
              <v:stroke endarrow="block"/>
            </v:line>
            <v:line id="_x0000_s1051" style="position:absolute" from="8065,12152" to="8065,13684"/>
            <v:line id="_x0000_s1052" style="position:absolute" from="8065,12988" to="8348,12988">
              <v:stroke endarrow="block"/>
            </v:line>
            <v:line id="_x0000_s1053" style="position:absolute" from="8065,13684" to="8348,13684">
              <v:stroke endarrow="block"/>
            </v:line>
            <v:line id="_x0000_s1054" style="position:absolute" from="6512,11315" to="8489,11594">
              <v:stroke endarrow="block"/>
            </v:line>
            <w10:wrap type="none"/>
            <w10:anchorlock/>
          </v:group>
        </w:pict>
      </w:r>
    </w:p>
    <w:p w:rsidR="00DE7A97" w:rsidRPr="00A8053F" w:rsidRDefault="00413D78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Рис.</w:t>
      </w:r>
      <w:r w:rsidR="00DE7A97" w:rsidRPr="00A8053F">
        <w:rPr>
          <w:sz w:val="28"/>
          <w:szCs w:val="28"/>
        </w:rPr>
        <w:t>1 Структура управления предприятием</w:t>
      </w:r>
    </w:p>
    <w:p w:rsidR="00413D78" w:rsidRPr="00A8053F" w:rsidRDefault="00413D78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4E2F" w:rsidRPr="00A8053F" w:rsidRDefault="00474E2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053F">
        <w:rPr>
          <w:b/>
          <w:sz w:val="28"/>
          <w:szCs w:val="28"/>
        </w:rPr>
        <w:t>Природно-климатические условия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По климатическим условиям территория хозяйства входит в теплый умеренно-влажный агроклиматический район республики, характеризуется теплым летом и умеренно-холодной зимой с устойчивым снежным покровом. 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Продолжительность вегетационного периода составляет 169 дней. Среднегодовое количество осадков 490 – </w:t>
      </w:r>
      <w:smartTag w:uri="urn:schemas-microsoft-com:office:smarttags" w:element="metricconverter">
        <w:smartTagPr>
          <w:attr w:name="ProductID" w:val="525 мм"/>
        </w:smartTagPr>
        <w:r w:rsidRPr="00A8053F">
          <w:rPr>
            <w:sz w:val="28"/>
            <w:szCs w:val="28"/>
          </w:rPr>
          <w:t>525 мм</w:t>
        </w:r>
      </w:smartTag>
      <w:r w:rsidRPr="00A8053F">
        <w:rPr>
          <w:sz w:val="28"/>
          <w:szCs w:val="28"/>
        </w:rPr>
        <w:t xml:space="preserve">, в том числе за вегетационный период </w:t>
      </w:r>
      <w:smartTag w:uri="urn:schemas-microsoft-com:office:smarttags" w:element="metricconverter">
        <w:smartTagPr>
          <w:attr w:name="ProductID" w:val="250 мм"/>
        </w:smartTagPr>
        <w:r w:rsidRPr="00A8053F">
          <w:rPr>
            <w:sz w:val="28"/>
            <w:szCs w:val="28"/>
          </w:rPr>
          <w:t>250 мм</w:t>
        </w:r>
      </w:smartTag>
      <w:r w:rsidRPr="00A8053F">
        <w:rPr>
          <w:sz w:val="28"/>
          <w:szCs w:val="28"/>
        </w:rPr>
        <w:t xml:space="preserve">. 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Среднегодовая температура воздуха +2</w:t>
      </w:r>
      <w:r w:rsidRPr="00A8053F">
        <w:rPr>
          <w:sz w:val="28"/>
          <w:szCs w:val="28"/>
          <w:vertAlign w:val="superscript"/>
        </w:rPr>
        <w:t>0</w:t>
      </w:r>
      <w:r w:rsidRPr="00A8053F">
        <w:rPr>
          <w:sz w:val="28"/>
          <w:szCs w:val="28"/>
        </w:rPr>
        <w:t>С, температура в июле месяце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sym w:font="Symbol" w:char="F02D"/>
      </w:r>
      <w:r w:rsidRPr="00A8053F">
        <w:rPr>
          <w:sz w:val="28"/>
          <w:szCs w:val="28"/>
        </w:rPr>
        <w:t xml:space="preserve"> +18,3+ 18,4</w:t>
      </w:r>
      <w:r w:rsidRPr="00A8053F">
        <w:rPr>
          <w:sz w:val="28"/>
          <w:szCs w:val="28"/>
          <w:vertAlign w:val="superscript"/>
        </w:rPr>
        <w:t>0</w:t>
      </w:r>
      <w:r w:rsidRPr="00A8053F">
        <w:rPr>
          <w:sz w:val="28"/>
          <w:szCs w:val="28"/>
        </w:rPr>
        <w:t>С,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температура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 xml:space="preserve">самого холодного месяца года – января </w:t>
      </w:r>
      <w:r w:rsidRPr="00A8053F">
        <w:rPr>
          <w:sz w:val="28"/>
          <w:szCs w:val="28"/>
        </w:rPr>
        <w:sym w:font="Symbol" w:char="F02D"/>
      </w:r>
      <w:r w:rsidRP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sym w:font="Symbol" w:char="F02D"/>
      </w:r>
      <w:r w:rsidRPr="00A8053F">
        <w:rPr>
          <w:sz w:val="28"/>
          <w:szCs w:val="28"/>
        </w:rPr>
        <w:t>14 – 14,4</w:t>
      </w:r>
      <w:r w:rsidRPr="00A8053F">
        <w:rPr>
          <w:sz w:val="28"/>
          <w:szCs w:val="28"/>
          <w:vertAlign w:val="superscript"/>
        </w:rPr>
        <w:t>0</w:t>
      </w:r>
      <w:r w:rsidRPr="00A8053F">
        <w:rPr>
          <w:sz w:val="28"/>
          <w:szCs w:val="28"/>
        </w:rPr>
        <w:t>С. Рельеф местности – большая часть территории расположена на обширном нерасчлененном увале. Вершина его выровненная, платообразная, склоны пологие. Роза ветров располагается таким образом что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в осенне-зимний период преобладают ветра западного направления, а летом – в южном и южно-восточном направлении, благодаря чему вредные выбросы не попадают в центр поселка.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Наиболее распространенный тип почв дерново-подзолиствый. Коэффициент увлажнения повсеместно чуть больше 1, что приводит местами к избытку увлажнения и заболачиваемости.</w:t>
      </w:r>
      <w:r w:rsidR="00A8053F">
        <w:rPr>
          <w:sz w:val="28"/>
          <w:szCs w:val="28"/>
        </w:rPr>
        <w:t xml:space="preserve"> </w:t>
      </w:r>
    </w:p>
    <w:p w:rsidR="00474E2F" w:rsidRPr="00A8053F" w:rsidRDefault="00474E2F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413D78" w:rsidRPr="00A8053F" w:rsidRDefault="00413D78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053F">
        <w:rPr>
          <w:b/>
          <w:sz w:val="28"/>
          <w:szCs w:val="28"/>
        </w:rPr>
        <w:t>Рельеф и почвы</w:t>
      </w:r>
    </w:p>
    <w:p w:rsidR="00413D78" w:rsidRPr="00A8053F" w:rsidRDefault="00413D78" w:rsidP="00A805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3D78" w:rsidRPr="00A8053F" w:rsidRDefault="00413D78" w:rsidP="00A8053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Рельеф имеет важное значение в почвообразовании, т. к. на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его различные элементы поступает различное количество влаги, тепла, минеральных элементов. Землепользование хозяйства расположено на водораздельном пространстве реки и искусственно созданных водоемов. В целом рельеф хозяйства волнисто-увалистый и относится к эрозийному типу.</w:t>
      </w:r>
    </w:p>
    <w:p w:rsidR="00413D78" w:rsidRPr="00A8053F" w:rsidRDefault="00413D78" w:rsidP="00A8053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Наиболее распространенными элементами рельефа являются склоны. Склоны южного и западного направлений более короткие и покатые. Эрозионный процесс на этих склонах выражен сильнее в виде слабого либо среднего смыва и размыва. Северные склоны более длинные, ровные, меньшей крутизны. Эрозионный процесс здесь выражен слабее.</w:t>
      </w:r>
    </w:p>
    <w:p w:rsidR="00413D78" w:rsidRPr="00A8053F" w:rsidRDefault="00413D78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Растительный покров представлен, в основном, разными злаковыми травами на пастбище. Территория землепользования хозяйства пригодна для механизированной обработки и, при соблюдении соответствующих агротехнических приемов, можно получать высокие урожаи с.-х. культур.</w:t>
      </w:r>
    </w:p>
    <w:p w:rsidR="00413D78" w:rsidRPr="00A8053F" w:rsidRDefault="00413D78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Урожайность зерновых и зернобобовых культур в среднем за 2006-2007 годы составила 10,9 ц/га, сено однолетних и многолетних трав по 21,7 ц/га.</w:t>
      </w:r>
    </w:p>
    <w:p w:rsidR="00413D78" w:rsidRPr="00A8053F" w:rsidRDefault="00413D78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Хозяйство занимается животноводством, растениеводством, заготовкой и внесением органических удобрений, внесением минеральных удобрений.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Производственные ресурсы и основные показатели деятельности хозяйства за 2005-2007 года приведены в таблицах 1 и 2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B81013" w:rsidRPr="00A8053F" w:rsidRDefault="0048653C" w:rsidP="00A805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1013" w:rsidRPr="00A8053F">
        <w:rPr>
          <w:sz w:val="28"/>
          <w:szCs w:val="28"/>
        </w:rPr>
        <w:t>Таблица 1 - Производственные ресурсы хозяйства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215"/>
        <w:gridCol w:w="1215"/>
        <w:gridCol w:w="1215"/>
        <w:gridCol w:w="1215"/>
      </w:tblGrid>
      <w:tr w:rsidR="00B81013" w:rsidRPr="00A8053F" w:rsidTr="00B60407"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Наименование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2005г.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2006г.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2007г.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B60407">
              <w:rPr>
                <w:bCs/>
              </w:rPr>
              <w:t>2007г. в % к 2006г.</w:t>
            </w:r>
          </w:p>
        </w:tc>
      </w:tr>
      <w:tr w:rsidR="00B81013" w:rsidRPr="00A8053F" w:rsidTr="00B60407">
        <w:trPr>
          <w:trHeight w:val="501"/>
        </w:trPr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 Общая земельная площадь, га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в т.ч. сельхозугодий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4755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4755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4755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B81013" w:rsidRPr="00A8053F" w:rsidTr="00B60407"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 Среднегодовая численность работников, чел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в т.ч. трактористов-машинистов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144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135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134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99,26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91,30</w:t>
            </w:r>
          </w:p>
        </w:tc>
      </w:tr>
      <w:tr w:rsidR="00B81013" w:rsidRPr="00A8053F" w:rsidTr="00B60407">
        <w:trPr>
          <w:trHeight w:val="543"/>
        </w:trPr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3 Среднегодовая стоимость основных фондов, тыс. руб.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20956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21127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21274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100,69</w:t>
            </w:r>
          </w:p>
        </w:tc>
      </w:tr>
      <w:tr w:rsidR="00B81013" w:rsidRPr="00A8053F" w:rsidTr="00B60407">
        <w:trPr>
          <w:trHeight w:val="247"/>
        </w:trPr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 Всего энергетических мощностей, л.с.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5795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5813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5663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97,42</w:t>
            </w:r>
          </w:p>
        </w:tc>
      </w:tr>
      <w:tr w:rsidR="00B81013" w:rsidRPr="00A8053F" w:rsidTr="00B60407">
        <w:tc>
          <w:tcPr>
            <w:tcW w:w="4358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5 Среднегодовое поголовье скота: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- КРС, голов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- лошади, голов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- всего усл. голов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828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832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B81013" w:rsidRPr="00A8053F" w:rsidRDefault="00B81013" w:rsidP="00B60407">
            <w:pPr>
              <w:spacing w:line="360" w:lineRule="auto"/>
              <w:jc w:val="both"/>
            </w:pP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903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905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B81013" w:rsidRPr="00A8053F" w:rsidRDefault="00B81013" w:rsidP="00B60407">
            <w:pPr>
              <w:spacing w:line="360" w:lineRule="auto"/>
              <w:jc w:val="both"/>
            </w:pP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937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939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103,76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100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103,76</w:t>
            </w:r>
          </w:p>
        </w:tc>
      </w:tr>
    </w:tbl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Из таблицы 1 видно, что за базисный и отчетный год производственные ресурсы хозяйства изменились. Среднегодовая стоимость основных фондов увеличилась на 0,69 %, в связи с изменением стоимости транспортных средств, машин и оборудования, а также с изменением их количества. Уровень освоенности земель в хозяйстве достаточно высок. В среднегодовом поголовье КРС наметились тенденции роста (среднегодовое поголовье скота увеличилось на 3,76 %), за счет правильной организации животноводства.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 таблице 2 представлены основные показатели деятельности хозяйства.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Объем производства сельскохозяйственной продукции является одним из основных показателей, характеризующих деятельность сельскохозяйственных предприятий. От его величины зависит объем реализации продукции, уровень ее себестоимости, сумма прибыли, уровень рентабельности, финансовое положение предприятия и другие экономические показатели.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Таблица 2 - Основные показатели деятельности хозяйства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952"/>
        <w:gridCol w:w="749"/>
        <w:gridCol w:w="825"/>
        <w:gridCol w:w="1305"/>
      </w:tblGrid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Показатель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A65F60" w:rsidP="00B60407">
            <w:pPr>
              <w:spacing w:line="360" w:lineRule="auto"/>
              <w:jc w:val="both"/>
            </w:pPr>
            <w:r w:rsidRPr="00A8053F">
              <w:t>2005</w:t>
            </w:r>
            <w:r w:rsidR="00B81013" w:rsidRPr="00A8053F">
              <w:t>г.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A65F60" w:rsidP="00B60407">
            <w:pPr>
              <w:spacing w:line="360" w:lineRule="auto"/>
              <w:jc w:val="both"/>
            </w:pPr>
            <w:r w:rsidRPr="00A8053F">
              <w:t>2006</w:t>
            </w:r>
            <w:r w:rsidR="00B81013" w:rsidRPr="00A8053F">
              <w:t>г.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A65F60" w:rsidP="00B60407">
            <w:pPr>
              <w:spacing w:line="360" w:lineRule="auto"/>
              <w:jc w:val="both"/>
            </w:pPr>
            <w:r w:rsidRPr="00A8053F">
              <w:t>2007</w:t>
            </w:r>
            <w:r w:rsidR="00B81013" w:rsidRPr="00A8053F">
              <w:t>г.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A65F60" w:rsidP="00B60407">
            <w:pPr>
              <w:spacing w:line="360" w:lineRule="auto"/>
              <w:jc w:val="both"/>
            </w:pPr>
            <w:r w:rsidRPr="00B60407">
              <w:rPr>
                <w:bCs/>
              </w:rPr>
              <w:t>2007г. в % к 2006</w:t>
            </w:r>
            <w:r w:rsidR="00B81013" w:rsidRPr="00B60407">
              <w:rPr>
                <w:bCs/>
              </w:rPr>
              <w:t>г.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 Валовая продукция: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в т.ч. продукция растениеводства</w:t>
            </w:r>
          </w:p>
          <w:p w:rsidR="00B81013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B81013" w:rsidRPr="00A8053F">
              <w:t>продукция животноводства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15802</w:t>
            </w:r>
          </w:p>
          <w:p w:rsidR="00A8053F" w:rsidRDefault="00B81013" w:rsidP="00B60407">
            <w:pPr>
              <w:spacing w:line="360" w:lineRule="auto"/>
              <w:jc w:val="both"/>
            </w:pPr>
            <w:r w:rsidRPr="00A8053F">
              <w:t>7614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8623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16065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7520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8545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14822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6902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7920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92,31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91,78</w:t>
            </w:r>
          </w:p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92,69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 Выручка от реализации продукции, тыс.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11208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10984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11247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102,39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3 Себестоимость реализованной продукции, тыс.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10052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10335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9980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96,57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4 Прибыль (убыток) от реализации продукции, тыс. руб.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+175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+649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+1267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+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5 Уровень рентабельности (убыточности), %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3,51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6,27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12,70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+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6 Затраты труда, тыс. чел.- ч.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298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294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280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95,23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 Среднегодовая численность работников, чел.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144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135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134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99,26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8 Производительность труда, тыс. руб./чел.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72,88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76,56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74,48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97,28</w:t>
            </w:r>
          </w:p>
        </w:tc>
      </w:tr>
      <w:tr w:rsidR="00B81013" w:rsidRPr="00A8053F" w:rsidTr="00B60407">
        <w:tc>
          <w:tcPr>
            <w:tcW w:w="5387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9 Выполнено всего механизированных работ, усл.эт.га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12275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11256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13478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81013" w:rsidRPr="00A8053F" w:rsidRDefault="00B81013" w:rsidP="00B60407">
            <w:pPr>
              <w:spacing w:line="360" w:lineRule="auto"/>
              <w:jc w:val="both"/>
            </w:pPr>
            <w:r w:rsidRPr="00A8053F">
              <w:t>119,74</w:t>
            </w:r>
          </w:p>
        </w:tc>
      </w:tr>
    </w:tbl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Для оценки уровня производительности труда в сельском хозяйстве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используется система показателей: обобщающие, частные, вспомогательные и косвенные. Наиболее обобщающий показатель производительности труда –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выход валовой продукции на среднегодового работника. Величина его зависит не только от среднедневной и среднечасовой выработки, но и от удельного веса производственных рабочих в общей численности работников хозяйства, занятых в сельскохозяйственном производстве, количества отработанных дней одним рабочим за год и продолжительности рабочего дня.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Показатели рентабельности характеризуют эффективность работы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предприятия в целом, доходность различных направлений деятельности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(производственной, предпринимательской, инвестиционной), окупаемость затрат и т.д.</w:t>
      </w:r>
    </w:p>
    <w:p w:rsidR="00B81013" w:rsidRPr="00A8053F" w:rsidRDefault="00B81013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За отчетный год валовая продукция растениеводства и животноводства изменилась в меньшую сторону на 8,22 и 7,31 % соответственно, в связи с изменением направления специализации предприятия. Денежная выручка от реализации продукции возросла на 2,39 %. Прибыль отчетного периода по предприятию составила 1267 тыс. рублей. Это изменение обусловлено качеством, уровнем себестоимости, специализации и другими факторами.</w:t>
      </w:r>
    </w:p>
    <w:p w:rsidR="00D404CB" w:rsidRDefault="00D404CB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D404CB" w:rsidRPr="00A8053F" w:rsidRDefault="00A8053F" w:rsidP="00A805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04CB" w:rsidRPr="00A8053F">
        <w:rPr>
          <w:b/>
          <w:sz w:val="28"/>
          <w:szCs w:val="28"/>
        </w:rPr>
        <w:t>Структура земельных ресурсов и показатели их использования</w:t>
      </w:r>
    </w:p>
    <w:p w:rsidR="00D404CB" w:rsidRPr="00A8053F" w:rsidRDefault="00D404CB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D404CB" w:rsidRPr="00A8053F" w:rsidRDefault="00D404CB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Показатели использования сельскохозяйственных угодий, состав и структура посевных площадей приведены в таблицах 3 и 4.</w:t>
      </w:r>
    </w:p>
    <w:p w:rsidR="00D404CB" w:rsidRPr="00A8053F" w:rsidRDefault="00D404CB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D404CB" w:rsidRPr="00A8053F" w:rsidRDefault="00D404CB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Таблица 3 - Показатели использования сельскохозяйственных угодий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906"/>
        <w:gridCol w:w="1260"/>
        <w:gridCol w:w="1080"/>
        <w:gridCol w:w="1152"/>
      </w:tblGrid>
      <w:tr w:rsidR="00D404CB" w:rsidRPr="00A8053F" w:rsidTr="00B60407">
        <w:trPr>
          <w:trHeight w:val="753"/>
        </w:trPr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Показатель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A93D68" w:rsidP="00B60407">
            <w:pPr>
              <w:spacing w:line="360" w:lineRule="auto"/>
              <w:jc w:val="both"/>
            </w:pPr>
            <w:r w:rsidRPr="00A8053F">
              <w:t>2005</w:t>
            </w:r>
            <w:r w:rsidR="00D404CB" w:rsidRPr="00A8053F">
              <w:t>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A93D68" w:rsidP="00B60407">
            <w:pPr>
              <w:spacing w:line="360" w:lineRule="auto"/>
              <w:jc w:val="both"/>
            </w:pPr>
            <w:r w:rsidRPr="00A8053F">
              <w:t>2006</w:t>
            </w:r>
            <w:r w:rsidR="00D404CB" w:rsidRPr="00A8053F">
              <w:t>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A93D68" w:rsidP="00B60407">
            <w:pPr>
              <w:spacing w:line="360" w:lineRule="auto"/>
              <w:jc w:val="both"/>
            </w:pPr>
            <w:r w:rsidRPr="00A8053F">
              <w:t>2007</w:t>
            </w:r>
            <w:r w:rsidR="00D404CB" w:rsidRPr="00A8053F">
              <w:t>г.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A93D68" w:rsidP="00B60407">
            <w:pPr>
              <w:spacing w:line="360" w:lineRule="auto"/>
              <w:jc w:val="both"/>
            </w:pPr>
            <w:r w:rsidRPr="00B60407">
              <w:rPr>
                <w:bCs/>
              </w:rPr>
              <w:t>2007г. в % к 2006</w:t>
            </w:r>
            <w:r w:rsidR="00D404CB" w:rsidRPr="00B60407">
              <w:rPr>
                <w:bCs/>
              </w:rPr>
              <w:t>г.</w:t>
            </w:r>
          </w:p>
        </w:tc>
      </w:tr>
      <w:tr w:rsidR="00D404CB" w:rsidRPr="00A8053F" w:rsidTr="00B60407"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 Общая земельная площадь, га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В т.ч. 1.1 Площадь с.-х. угодий</w:t>
            </w:r>
          </w:p>
          <w:p w:rsidR="00D404CB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D404CB" w:rsidRPr="00A8053F">
              <w:t>1.2 Площадь пашни</w:t>
            </w:r>
          </w:p>
          <w:p w:rsidR="00D404CB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D404CB" w:rsidRPr="00A8053F">
              <w:t>1.3 Площадь посевов</w:t>
            </w:r>
          </w:p>
          <w:p w:rsidR="00D404CB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D404CB" w:rsidRPr="00A8053F">
              <w:t>1.4 Площадь сенокосов</w:t>
            </w:r>
          </w:p>
          <w:p w:rsidR="00D404CB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D404CB" w:rsidRPr="00A8053F">
              <w:t>1.5 Площадь пастбищ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4755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3354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2895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2504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111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4755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3354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2895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2504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111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4755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3354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2895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2500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111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348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99,84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D404CB" w:rsidRPr="00A8053F" w:rsidTr="00B60407"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2 Уровень освоенности земельных площадей, %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70,54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70,54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70,54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D404CB" w:rsidRPr="00A8053F" w:rsidTr="00B60407"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 Уровень распаханности с.-х. угодий, %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86,32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86,32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86,32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D404CB" w:rsidRPr="00A8053F" w:rsidTr="00B60407"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4 Удельный вес сенокосов в площади с.-х. угодий, %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3,31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3,31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3,31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D404CB" w:rsidRPr="00A8053F" w:rsidTr="00B60407">
        <w:tc>
          <w:tcPr>
            <w:tcW w:w="496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5 Удельный вес пастбищ в площади с.-х. угодий, %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10,38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10,38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10,38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404CB" w:rsidRPr="00A8053F" w:rsidRDefault="00D404CB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</w:tbl>
    <w:p w:rsidR="00C969A1" w:rsidRPr="00A8053F" w:rsidRDefault="00C969A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C969A1" w:rsidRPr="00A8053F" w:rsidRDefault="00C969A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Таблица 4 - Состав и структура посевных площадей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719"/>
        <w:gridCol w:w="756"/>
        <w:gridCol w:w="719"/>
        <w:gridCol w:w="756"/>
        <w:gridCol w:w="719"/>
        <w:gridCol w:w="756"/>
        <w:gridCol w:w="1126"/>
      </w:tblGrid>
      <w:tr w:rsidR="00C969A1" w:rsidRPr="00A8053F" w:rsidTr="00B60407">
        <w:trPr>
          <w:trHeight w:val="465"/>
        </w:trPr>
        <w:tc>
          <w:tcPr>
            <w:tcW w:w="3809" w:type="dxa"/>
            <w:vMerge w:val="restart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Культура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C969A1" w:rsidRPr="00A8053F" w:rsidRDefault="00A93D68" w:rsidP="00B60407">
            <w:pPr>
              <w:spacing w:line="360" w:lineRule="auto"/>
              <w:jc w:val="both"/>
            </w:pPr>
            <w:r w:rsidRPr="00A8053F">
              <w:t>2005</w:t>
            </w:r>
            <w:r w:rsidR="00C969A1" w:rsidRPr="00A8053F">
              <w:t>г.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C969A1" w:rsidRPr="00A8053F" w:rsidRDefault="00A93D68" w:rsidP="00B60407">
            <w:pPr>
              <w:spacing w:line="360" w:lineRule="auto"/>
              <w:jc w:val="both"/>
            </w:pPr>
            <w:r w:rsidRPr="00A8053F">
              <w:t>2006</w:t>
            </w:r>
            <w:r w:rsidR="00C969A1" w:rsidRPr="00A8053F">
              <w:t>г.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C969A1" w:rsidRPr="00A8053F" w:rsidRDefault="00A93D68" w:rsidP="00B60407">
            <w:pPr>
              <w:spacing w:line="360" w:lineRule="auto"/>
              <w:jc w:val="both"/>
            </w:pPr>
            <w:r w:rsidRPr="00A8053F">
              <w:t>2007</w:t>
            </w:r>
            <w:r w:rsidR="00C969A1" w:rsidRPr="00A8053F">
              <w:t>г.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C969A1" w:rsidRPr="00A8053F" w:rsidRDefault="00A93D68" w:rsidP="00B60407">
            <w:pPr>
              <w:spacing w:line="360" w:lineRule="auto"/>
              <w:jc w:val="both"/>
            </w:pPr>
            <w:r w:rsidRPr="00B60407">
              <w:rPr>
                <w:bCs/>
              </w:rPr>
              <w:t>2007г. в % к 2006</w:t>
            </w:r>
            <w:r w:rsidR="00C969A1" w:rsidRPr="00B60407">
              <w:rPr>
                <w:bCs/>
              </w:rPr>
              <w:t>г.</w:t>
            </w:r>
          </w:p>
        </w:tc>
      </w:tr>
      <w:tr w:rsidR="00C969A1" w:rsidRPr="00A8053F" w:rsidTr="00B60407">
        <w:trPr>
          <w:trHeight w:val="360"/>
        </w:trPr>
        <w:tc>
          <w:tcPr>
            <w:tcW w:w="0" w:type="auto"/>
            <w:vMerge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га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%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га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%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га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%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</w:p>
        </w:tc>
      </w:tr>
      <w:tr w:rsidR="00C969A1" w:rsidRPr="00A8053F" w:rsidTr="00B60407">
        <w:tc>
          <w:tcPr>
            <w:tcW w:w="380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 Зерновые и зернобобовые, всего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в т.ч. 1.1 Озимые зерновые</w:t>
            </w:r>
          </w:p>
          <w:p w:rsidR="00C969A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969A1" w:rsidRPr="00A8053F">
              <w:t>1.2 Яровые зерновые</w:t>
            </w:r>
          </w:p>
          <w:p w:rsidR="00C969A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969A1" w:rsidRPr="00A8053F">
              <w:t>1.3 Зернобобовые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1020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270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720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35,23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9,33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24,87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1,04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1084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287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761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37,44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9,91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26,27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1,24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1053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290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727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36,37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10,01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25,11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1,24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97,14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101,00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95,58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C969A1" w:rsidRPr="00A8053F" w:rsidTr="00B60407">
        <w:tc>
          <w:tcPr>
            <w:tcW w:w="380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 Картофель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1,04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1,38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0,86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62,32</w:t>
            </w:r>
          </w:p>
        </w:tc>
      </w:tr>
      <w:tr w:rsidR="00C969A1" w:rsidRPr="00A8053F" w:rsidTr="00B60407">
        <w:trPr>
          <w:trHeight w:val="1303"/>
        </w:trPr>
        <w:tc>
          <w:tcPr>
            <w:tcW w:w="380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 Кормовые, всего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в т.ч. 3.1 Многолетние травы</w:t>
            </w:r>
          </w:p>
          <w:p w:rsidR="00C969A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969A1" w:rsidRPr="00A8053F">
              <w:t>3.2 Однолетние травы</w:t>
            </w:r>
          </w:p>
          <w:p w:rsidR="00C969A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969A1" w:rsidRPr="00A8053F">
              <w:t>3.3 Корнеплоды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1351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842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500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46,67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29,08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17,27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0,31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1420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954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456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49,05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32,95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15,75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0,35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1451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924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522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50,12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31,92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18,03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0,17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102,18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96,87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114,48</w:t>
            </w:r>
          </w:p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50</w:t>
            </w:r>
          </w:p>
        </w:tc>
      </w:tr>
      <w:tr w:rsidR="00C969A1" w:rsidRPr="00A8053F" w:rsidTr="00B60407">
        <w:tc>
          <w:tcPr>
            <w:tcW w:w="380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4 Всего пашни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2895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2895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2895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969A1" w:rsidRPr="00A8053F" w:rsidRDefault="00C969A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</w:tbl>
    <w:p w:rsidR="00CE3C01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CE3C01" w:rsidRPr="00A8053F" w:rsidRDefault="00A8053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3C01" w:rsidRPr="00A8053F">
        <w:rPr>
          <w:b/>
          <w:sz w:val="28"/>
          <w:szCs w:val="28"/>
        </w:rPr>
        <w:t>Состав и структура автотракторного парка</w:t>
      </w: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Автомобильный парк хозяйства обеспечивает в основном перевозку с.-х. грузов с учетом ряда их особенностей. В зависимости от вида с.-х. грузов и сезона работы автомобили должны быть соответственно подготовлены.</w:t>
      </w: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Основное назначение тракторного парка – выполнение определенного объема полевых работ, а также работы по заготовке кормов, транспортировка органических удобрений и т.п.</w:t>
      </w: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Для обеспечения эффективной работы автомобильного парка в хозяйстве имеется гараж-стоянка, помещение для ТО и ремонта автомобилей и тракторов, пункт заправки топливом, склад для хранения нефтепродуктов.</w:t>
      </w: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Состав и структура тракторного и автомобильного парка приведены в таблицах 5 и 6.</w:t>
      </w: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Таблица 5 - Состав и структура тракторного парка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850"/>
        <w:gridCol w:w="605"/>
        <w:gridCol w:w="792"/>
        <w:gridCol w:w="792"/>
        <w:gridCol w:w="792"/>
      </w:tblGrid>
      <w:tr w:rsidR="00CE3C01" w:rsidRPr="00A8053F" w:rsidTr="00B60407">
        <w:trPr>
          <w:trHeight w:val="407"/>
        </w:trPr>
        <w:tc>
          <w:tcPr>
            <w:tcW w:w="496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Показатель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2005г.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2006г.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2007г.</w:t>
            </w:r>
          </w:p>
        </w:tc>
      </w:tr>
      <w:tr w:rsidR="00CE3C01" w:rsidRPr="00A8053F" w:rsidTr="00B60407">
        <w:tc>
          <w:tcPr>
            <w:tcW w:w="496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 Гусеничные тракторы: ДТ-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A8053F">
                <w:t>75 М</w:t>
              </w:r>
            </w:smartTag>
            <w:r w:rsidRPr="00A8053F">
              <w:t>, ДТ-75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15,63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16,13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16,13</w:t>
            </w:r>
          </w:p>
        </w:tc>
      </w:tr>
      <w:tr w:rsidR="00CE3C01" w:rsidRPr="00A8053F" w:rsidTr="00B60407">
        <w:tc>
          <w:tcPr>
            <w:tcW w:w="496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 Колесные тракторы, всего: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в т.ч. МТЗ-80/82</w:t>
            </w:r>
          </w:p>
          <w:p w:rsidR="00CE3C0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ЮМЗ-6М/6Л</w:t>
            </w:r>
          </w:p>
          <w:p w:rsidR="00CE3C0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Т-16М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25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78,13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62,50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9,8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6,25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24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77,42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61,29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9,68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6,45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24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77,42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61,29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9,68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6,45</w:t>
            </w:r>
          </w:p>
        </w:tc>
      </w:tr>
      <w:tr w:rsidR="00CE3C01" w:rsidRPr="00A8053F" w:rsidTr="00B60407">
        <w:tc>
          <w:tcPr>
            <w:tcW w:w="496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 Колесные энергонасыщенные тракторы, в т.ч</w:t>
            </w:r>
            <w:r w:rsidR="00A8053F" w:rsidRPr="00A8053F">
              <w:t xml:space="preserve"> </w:t>
            </w:r>
            <w:r w:rsidRPr="00A8053F">
              <w:t>Т-150К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6,25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6,45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6,45</w:t>
            </w:r>
          </w:p>
        </w:tc>
      </w:tr>
      <w:tr w:rsidR="00CE3C01" w:rsidRPr="00A8053F" w:rsidTr="00B60407">
        <w:tc>
          <w:tcPr>
            <w:tcW w:w="496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4 ИТОГО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</w:tbl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Таблица 6 - Состав и структура автомобильного парка</w:t>
      </w:r>
    </w:p>
    <w:tbl>
      <w:tblPr>
        <w:tblW w:w="92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810"/>
        <w:gridCol w:w="810"/>
        <w:gridCol w:w="774"/>
        <w:gridCol w:w="775"/>
        <w:gridCol w:w="792"/>
        <w:gridCol w:w="792"/>
      </w:tblGrid>
      <w:tr w:rsidR="00CE3C01" w:rsidRPr="00A8053F" w:rsidTr="00B60407">
        <w:tc>
          <w:tcPr>
            <w:tcW w:w="4538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Показатель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2005г.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2006г.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2007г.</w:t>
            </w:r>
          </w:p>
        </w:tc>
      </w:tr>
      <w:tr w:rsidR="00CE3C01" w:rsidRPr="00A8053F" w:rsidTr="00B60407">
        <w:tc>
          <w:tcPr>
            <w:tcW w:w="4538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 Грузовые автомобили, всего: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в т.ч. ГА3-53А</w:t>
            </w:r>
          </w:p>
          <w:p w:rsidR="00CE3C0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ГАЗ-САЗ-4509</w:t>
            </w:r>
          </w:p>
          <w:p w:rsidR="00CE3C0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ЗИЛ-130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17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77,27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45,45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27,27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4,55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18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75,0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41,67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25,0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18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6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75,0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41,67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25,0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</w:tc>
      </w:tr>
      <w:tr w:rsidR="00CE3C01" w:rsidRPr="00A8053F" w:rsidTr="00B60407">
        <w:tc>
          <w:tcPr>
            <w:tcW w:w="4538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 Легковые автомобили, всего: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в т.ч. УАЗ-31512</w:t>
            </w:r>
          </w:p>
          <w:p w:rsidR="00CE3C01" w:rsidRPr="00A8053F" w:rsidRDefault="00A8053F" w:rsidP="00B60407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УАЗ- 452</w:t>
            </w:r>
            <w:r w:rsidRPr="00A8053F"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9,09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9,09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13,64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12,5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8,33</w:t>
            </w:r>
          </w:p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12,5</w:t>
            </w:r>
          </w:p>
        </w:tc>
      </w:tr>
      <w:tr w:rsidR="00CE3C01" w:rsidRPr="00A8053F" w:rsidTr="00B60407">
        <w:tc>
          <w:tcPr>
            <w:tcW w:w="4538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3 ИТОГО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24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E3C01" w:rsidRPr="00A8053F" w:rsidRDefault="00CE3C01" w:rsidP="00B60407">
            <w:pPr>
              <w:spacing w:line="360" w:lineRule="auto"/>
              <w:jc w:val="both"/>
            </w:pPr>
            <w:r w:rsidRPr="00A8053F">
              <w:t>100</w:t>
            </w:r>
          </w:p>
        </w:tc>
      </w:tr>
    </w:tbl>
    <w:p w:rsidR="00CE3C01" w:rsidRPr="00A8053F" w:rsidRDefault="00A8053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3C01" w:rsidRPr="00A8053F">
        <w:rPr>
          <w:b/>
          <w:sz w:val="28"/>
          <w:szCs w:val="28"/>
        </w:rPr>
        <w:t>Эффективность использования грузового автотранспорта</w:t>
      </w:r>
    </w:p>
    <w:p w:rsidR="00CE3C01" w:rsidRPr="00A8053F" w:rsidRDefault="00CE3C01" w:rsidP="00A8053F">
      <w:pPr>
        <w:pStyle w:val="a4"/>
        <w:ind w:firstLine="709"/>
        <w:jc w:val="both"/>
        <w:rPr>
          <w:b/>
          <w:szCs w:val="28"/>
        </w:rPr>
      </w:pPr>
    </w:p>
    <w:p w:rsidR="00CE3C01" w:rsidRPr="00A8053F" w:rsidRDefault="00CE3C01" w:rsidP="00A8053F">
      <w:pPr>
        <w:pStyle w:val="a4"/>
        <w:ind w:firstLine="709"/>
        <w:jc w:val="both"/>
        <w:rPr>
          <w:szCs w:val="28"/>
        </w:rPr>
      </w:pPr>
      <w:r w:rsidRPr="00A8053F">
        <w:rPr>
          <w:szCs w:val="28"/>
        </w:rPr>
        <w:t>Показатели использования грузового транспорта, а также эффективность его использова</w:t>
      </w:r>
      <w:r w:rsidR="00D56CFB" w:rsidRPr="00A8053F">
        <w:rPr>
          <w:szCs w:val="28"/>
        </w:rPr>
        <w:t>ния представлены в таблице 7</w:t>
      </w:r>
    </w:p>
    <w:p w:rsidR="00D56CFB" w:rsidRPr="00A8053F" w:rsidRDefault="00D56CFB" w:rsidP="00A8053F">
      <w:pPr>
        <w:pStyle w:val="a4"/>
        <w:ind w:firstLine="709"/>
        <w:jc w:val="both"/>
        <w:rPr>
          <w:szCs w:val="28"/>
        </w:rPr>
      </w:pPr>
    </w:p>
    <w:p w:rsidR="00CE3C01" w:rsidRPr="00A8053F" w:rsidRDefault="00D56CFB" w:rsidP="00A8053F">
      <w:pPr>
        <w:pStyle w:val="a4"/>
        <w:ind w:firstLine="709"/>
        <w:jc w:val="both"/>
        <w:rPr>
          <w:szCs w:val="28"/>
        </w:rPr>
      </w:pPr>
      <w:r w:rsidRPr="00A8053F">
        <w:rPr>
          <w:szCs w:val="28"/>
        </w:rPr>
        <w:t>Таблица 7</w:t>
      </w:r>
      <w:r w:rsidR="00CE3C01" w:rsidRPr="00A8053F">
        <w:rPr>
          <w:szCs w:val="28"/>
        </w:rPr>
        <w:t xml:space="preserve"> - Показатели использования грузового транспорта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993"/>
        <w:gridCol w:w="850"/>
        <w:gridCol w:w="1843"/>
      </w:tblGrid>
      <w:tr w:rsidR="00CE3C01" w:rsidRPr="00A8053F" w:rsidTr="00A8053F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2004г.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2005г.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2006г.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rPr>
                <w:bCs/>
              </w:rPr>
              <w:t>2006г. в % к 2005г.</w:t>
            </w:r>
          </w:p>
        </w:tc>
      </w:tr>
      <w:tr w:rsidR="00CE3C01" w:rsidRPr="00A8053F" w:rsidTr="00A8053F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 Среднегодовое количество автомобилей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в т. ч. грузовых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22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100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CE3C01" w:rsidRPr="00A8053F" w:rsidTr="00A8053F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 Общий тоннаж,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168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168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100</w:t>
            </w:r>
          </w:p>
        </w:tc>
      </w:tr>
      <w:tr w:rsidR="00CE3C01" w:rsidRPr="00A8053F" w:rsidTr="00A8053F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 Средняя загруженность машины,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2,95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3,39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151,92</w:t>
            </w:r>
          </w:p>
        </w:tc>
      </w:tr>
      <w:tr w:rsidR="00CE3C01" w:rsidRPr="00A8053F" w:rsidTr="00A8053F">
        <w:trPr>
          <w:trHeight w:val="1027"/>
        </w:trPr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 Автомобиле-дни всего,</w:t>
            </w:r>
            <w:r w:rsidR="00A8053F" w:rsidRPr="00A8053F">
              <w:t xml:space="preserve"> </w:t>
            </w:r>
            <w:r w:rsidRPr="00A8053F">
              <w:t>дней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 xml:space="preserve">в т.ч. а) в работе, </w:t>
            </w:r>
          </w:p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б) в ремонте и его ожидании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6205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3175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926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6480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3240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1260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6100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3315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94,14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102,3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74,21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5 Общий пробег автомобилей, тыс.км.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765,2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900,6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850,4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94,43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в т.ч. с грузом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425,9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414,3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433,1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104,54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 Объем перевезенных грузов, тыс. 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  <w:rPr>
                <w:highlight w:val="yellow"/>
              </w:rPr>
            </w:pPr>
            <w:r w:rsidRPr="00A8053F">
              <w:t>32,6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29,4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45,7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155,44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7 Общие затраты по эксплуатации парка, тыс.руб.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в т.ч. з/плата, тыс. руб.</w:t>
            </w:r>
          </w:p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технич. ремонт, тыс. руб.</w:t>
            </w:r>
          </w:p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зап. части, тыс. руб.</w:t>
            </w:r>
          </w:p>
          <w:p w:rsidR="00CE3C01" w:rsidRPr="00A8053F" w:rsidRDefault="00A8053F" w:rsidP="00A8053F">
            <w:pPr>
              <w:spacing w:line="360" w:lineRule="auto"/>
              <w:jc w:val="both"/>
            </w:pPr>
            <w:r w:rsidRPr="00A8053F">
              <w:t xml:space="preserve"> </w:t>
            </w:r>
            <w:r w:rsidR="00CE3C01" w:rsidRPr="00A8053F">
              <w:t>стоимость ГСМ, тыс. руб.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1047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320,4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205,8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256,4</w:t>
            </w:r>
          </w:p>
          <w:p w:rsidR="00CE3C01" w:rsidRPr="00A8053F" w:rsidRDefault="00CE3C01" w:rsidP="00A8053F">
            <w:pPr>
              <w:spacing w:line="360" w:lineRule="auto"/>
              <w:jc w:val="both"/>
              <w:rPr>
                <w:highlight w:val="yellow"/>
              </w:rPr>
            </w:pPr>
            <w:r w:rsidRPr="00A8053F">
              <w:t>856</w:t>
            </w:r>
          </w:p>
        </w:tc>
        <w:tc>
          <w:tcPr>
            <w:tcW w:w="993" w:type="dxa"/>
            <w:vAlign w:val="bottom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1089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361,8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229,4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347,1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1154</w:t>
            </w:r>
          </w:p>
        </w:tc>
        <w:tc>
          <w:tcPr>
            <w:tcW w:w="850" w:type="dxa"/>
            <w:vAlign w:val="bottom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1108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427,5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198,5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302,8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1306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101,74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118,16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86,53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87,24</w:t>
            </w:r>
          </w:p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113,17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8 Коэффициент технической готовности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0,83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106,41</w:t>
            </w:r>
          </w:p>
        </w:tc>
      </w:tr>
      <w:tr w:rsidR="00CE3C01" w:rsidRPr="00A8053F" w:rsidTr="00A8053F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 Коэффициент использования автопарка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0,51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108,0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 Коэффициент использования пробега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0,56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0,46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0,51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110,9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11 Средняя техническая скорость, км/ч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17,5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17,6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18,4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104,55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12 Средняя эксплуатационная скорость, км/ч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18,6</w:t>
            </w:r>
          </w:p>
        </w:tc>
        <w:tc>
          <w:tcPr>
            <w:tcW w:w="993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18,9</w:t>
            </w:r>
          </w:p>
        </w:tc>
        <w:tc>
          <w:tcPr>
            <w:tcW w:w="850" w:type="dxa"/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19,3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102,12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13 Себестоимость 1 т-км,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5,66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6,38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6,25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97,96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14 Отработано дней 1 автомобилем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184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102,22</w:t>
            </w:r>
          </w:p>
        </w:tc>
      </w:tr>
      <w:tr w:rsidR="00CE3C01" w:rsidRPr="00A8053F" w:rsidTr="00A8053F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 xml:space="preserve">15 Расход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8053F">
                <w:t>100 км</w:t>
              </w:r>
            </w:smartTag>
            <w:r w:rsidRPr="00A8053F">
              <w:t xml:space="preserve"> пробега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35,6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36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C01" w:rsidRPr="00A8053F" w:rsidRDefault="00CE3C01" w:rsidP="00A8053F">
            <w:pPr>
              <w:spacing w:line="360" w:lineRule="auto"/>
              <w:jc w:val="both"/>
            </w:pPr>
            <w:r w:rsidRPr="00A8053F">
              <w:t>97,30</w:t>
            </w:r>
          </w:p>
        </w:tc>
      </w:tr>
    </w:tbl>
    <w:p w:rsidR="00CE3C01" w:rsidRP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A8053F" w:rsidRDefault="00CE3C01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Для оценки работы грузового автотранспорта применяется целая система частных и обобщающих показателей. Частные технико-эксплуатационные показатели позволяют оценить отдельные стороны работы машин с точки зрения использования времени их работы, скорости движения, пробега,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грузоподъемности и т.д.</w:t>
      </w:r>
    </w:p>
    <w:p w:rsidR="004E408F" w:rsidRPr="00A8053F" w:rsidRDefault="00A8053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08F" w:rsidRPr="00A8053F">
        <w:rPr>
          <w:b/>
          <w:sz w:val="28"/>
          <w:szCs w:val="28"/>
        </w:rPr>
        <w:t>Организация технического обслуживания, текущего ремонта и хранения</w:t>
      </w:r>
      <w:r w:rsidR="004E408F" w:rsidRPr="00A8053F">
        <w:rPr>
          <w:sz w:val="28"/>
          <w:szCs w:val="28"/>
        </w:rPr>
        <w:t xml:space="preserve"> </w:t>
      </w:r>
      <w:r w:rsidR="004E408F" w:rsidRPr="00A8053F">
        <w:rPr>
          <w:b/>
          <w:sz w:val="28"/>
          <w:szCs w:val="28"/>
        </w:rPr>
        <w:t>техники</w:t>
      </w:r>
    </w:p>
    <w:p w:rsidR="004E408F" w:rsidRPr="00A8053F" w:rsidRDefault="004E408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 период эксплуатации происходит приработка деталей в агрегатах автомобиля, поэтому при проведении технического обслуживания профилактические, крепежные, смазочно-очистительные и регулировочные работы должны выполняться тщательно, что обеспечит надежность и экономичность работы автомобиля, а также длительный срок его службы.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На предприятии действует планово-предупредительная система технического обслуживания, которая заключается в обеспечении поддержания работоспособного состояния подвижного состава в процессе эксплуатации,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а также восстановление его работоспособности. Все операции технического обслуживания проводятся через определенную наработку в км пробега. Одновременно выполняются комплектование оборотного фонда агрегатов, подбор запасных частей и доставка их на рабочее место.</w:t>
      </w:r>
    </w:p>
    <w:p w:rsidR="004E408F" w:rsidRPr="00A8053F" w:rsidRDefault="004E408F" w:rsidP="00A80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 хозяйстве применяют четыре способа хранения техники: закрытое в отапливаемом помещении, закрытое в неотапливаемом помещении, полузакрытое под навесом и открытое на площадках. Каждый из способов определяет степень защиты подвижного состава от метеорологических и прочих воздействий внешней среды.</w:t>
      </w:r>
    </w:p>
    <w:p w:rsidR="004E408F" w:rsidRPr="00A8053F" w:rsidRDefault="004E408F" w:rsidP="00A80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Хранение в отапливаемом помещении полностью защищает подвижной состав от любых воздействий (холода, снега, дождя, ветра, пыли), хранение в неотапливаемом помещении не защищает от холода, хранение под навесом не защищает от холода и ветра, хранение на открытой площадке не защищает от всех внешних воздействий.</w:t>
      </w:r>
    </w:p>
    <w:p w:rsidR="004E408F" w:rsidRPr="00A8053F" w:rsidRDefault="004E408F" w:rsidP="00A8053F">
      <w:pPr>
        <w:pStyle w:val="a4"/>
        <w:ind w:firstLine="709"/>
        <w:jc w:val="both"/>
        <w:rPr>
          <w:szCs w:val="28"/>
        </w:rPr>
      </w:pPr>
      <w:r w:rsidRPr="00A8053F">
        <w:rPr>
          <w:szCs w:val="28"/>
        </w:rPr>
        <w:t>В зоне хранения за каждым автомобилем закреплено постоянное место и в ней могут находиться только исправные автомобили. В зоне хранения поддерживается чистота, разлитые нефтепродукты убираются, а для сбора использованного обтирочного материала вне зоны хранения установлен металлический ящик.</w:t>
      </w:r>
    </w:p>
    <w:p w:rsidR="004E408F" w:rsidRPr="00A8053F" w:rsidRDefault="004E408F" w:rsidP="00A8053F">
      <w:pPr>
        <w:pStyle w:val="a4"/>
        <w:ind w:firstLine="709"/>
        <w:jc w:val="both"/>
        <w:rPr>
          <w:szCs w:val="28"/>
        </w:rPr>
      </w:pPr>
      <w:r w:rsidRPr="00A8053F">
        <w:rPr>
          <w:szCs w:val="28"/>
        </w:rPr>
        <w:t>Часть тракторов хранится в неотапливаемых помещениях, а часть под навесом. Сельскохозяйственная техника хранится на специально оборудованных открытых площадках.</w:t>
      </w:r>
    </w:p>
    <w:p w:rsidR="004E408F" w:rsidRPr="00A8053F" w:rsidRDefault="004E408F" w:rsidP="00A8053F">
      <w:pPr>
        <w:pStyle w:val="a4"/>
        <w:ind w:firstLine="709"/>
        <w:jc w:val="both"/>
        <w:rPr>
          <w:szCs w:val="28"/>
        </w:rPr>
      </w:pPr>
      <w:r w:rsidRPr="00A8053F">
        <w:rPr>
          <w:szCs w:val="28"/>
        </w:rPr>
        <w:t>В зоне хранения находятся только исправные и вполне готовые к выезду автомобили и трактора, а также прицепы. Для пожарной безопасности зона хранения имеет несколько свободно открывающихся ворот и проезды.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Мойка автомобилей производится на специально оборудованной автомойке предприятия, которая находится на территории машинного двора. Сельскохозяйственные машины и комбайны моют с помощью шлангов с подводом воды.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Снятые узлы и агрегаты требующих особых условий хранения сдают на склад. Где в свою очередь проводится опись, маркировка деталей. Отмечается техническое состояние деталей, время сдачи и фамилия. 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4E408F" w:rsidRPr="00A8053F" w:rsidRDefault="004E408F" w:rsidP="00A805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8053F">
        <w:rPr>
          <w:b/>
          <w:sz w:val="28"/>
          <w:szCs w:val="28"/>
        </w:rPr>
        <w:t>Организация работы нефтехозяйства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Бесперебойное обеспечение хозяйства нефтепродуктами с минимальными количественными и качественными потерями достигается решением комплекса вопросов, основными из которых являются: правильное планирование потребности в топливе и смазочных материалах; формирование и совершенствование материально-технической базы нефтехозяйств; выбор рациональных организационных форм снабжения хозяйств нефтепродуктами; рациональное их использование.</w:t>
      </w:r>
    </w:p>
    <w:p w:rsidR="004E408F" w:rsidRPr="00A8053F" w:rsidRDefault="004E408F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Типовая схема нефтеснабжения машинно-тракторного парка хозяйства предусматривает центральный нефтесклад с пунктом заправки.</w:t>
      </w:r>
    </w:p>
    <w:p w:rsidR="004E408F" w:rsidRPr="00A8053F" w:rsidRDefault="004E408F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Нефтепродукты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в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хозяйства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завозят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специализированным транспортом или в специально предназначенных для этого таре и емкостях на основе договора поставки между хозяйством и базой нефтепродуктов ОАО «Удмуртнефтепродукт». Завоз нефтепродуктов осуществляется в следующем порядке: заправщик делает заблаговременно заявку директору предприятия. Руководитель обеспечивает поставку топлива, через нефтебазу.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Заправка тракторов и машин производится через заправочные колонки отдельно как для дизельного топлива,</w:t>
      </w:r>
      <w:r w:rsidR="00A8053F">
        <w:rPr>
          <w:sz w:val="28"/>
          <w:szCs w:val="28"/>
        </w:rPr>
        <w:t xml:space="preserve"> </w:t>
      </w:r>
      <w:r w:rsidRPr="00A8053F">
        <w:rPr>
          <w:sz w:val="28"/>
          <w:szCs w:val="28"/>
        </w:rPr>
        <w:t>так и для бензина.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Во избежание снижения качества нефтепродуктов при их транспортировке, хранении и выдаче необходимо предусмотреть отстой дизельного топлива в течение не менее 24 ч, налив топлива в резервуары закрытой струей под уровень, наличие дыхательных клапанов на резервуарах и их герметизацию, а также наличие современных фильтров на топливораздаточных колонках.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Расход топлива и масел контролируется инженерной и диспетчерской службой. Каждому выдаются талоны, в котором указаны литры дизельного топлива и масла в зависимости от предполагаемых объемов работ. К основным причинам перерасхода топлива относится неисправность топливной аппаратуры.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Топливо хранится в закрытых, герметичных емкостях. Краны и люки запломбированы. Кроме кранов дополнительно установлены заглушки. Масла хранятся в здании заправочного пункта в </w:t>
      </w:r>
      <w:smartTag w:uri="urn:schemas-microsoft-com:office:smarttags" w:element="metricconverter">
        <w:smartTagPr>
          <w:attr w:name="ProductID" w:val="200 л"/>
        </w:smartTagPr>
        <w:r w:rsidRPr="00A8053F">
          <w:rPr>
            <w:sz w:val="28"/>
            <w:szCs w:val="28"/>
          </w:rPr>
          <w:t>200 л</w:t>
        </w:r>
      </w:smartTag>
      <w:r w:rsidRPr="00A8053F">
        <w:rPr>
          <w:sz w:val="28"/>
          <w:szCs w:val="28"/>
        </w:rPr>
        <w:t xml:space="preserve"> бочках. Заправка масел осуществляется с помощью ручных насосов. Для отработанных масел имеется отдельная емкость.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Нефтехозяйством заведует заправщик, который ведет документацию, следит за состоянием емкостей, ведет учет расхода топлива и масел.</w:t>
      </w:r>
    </w:p>
    <w:p w:rsidR="004E408F" w:rsidRPr="00A8053F" w:rsidRDefault="004E408F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В задачу нефтехозяйства предприятия входят получение, хранение и своевременный отпуск нефтепродуктов, борьба со всеми видами потерь при получении, хранении и отпуске топлива. Потери образуются на всем пути движения нефтепродуктов от нефтеналивной базы до нефтескладов хозяйства и пунктов заправки машинно-тракторных агрегатов, комбайнов, автомобилей и др. Основные виды потерь: испарение (естественная убыль при хранении), утечка, разлив, неполный слив, расход на непроизводственные цели (обогрев и т. д.), потери при эксплуатации машин.</w:t>
      </w:r>
    </w:p>
    <w:p w:rsidR="004E408F" w:rsidRPr="00A8053F" w:rsidRDefault="004E408F" w:rsidP="00A805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При постоянно растущих ценах на нефтепродукты их безвозвратные потери увеличивают себестоимость механизированных работ и с.-х. продукции. Зная каналы потерь, намечают пути полного или частичного устранения их всеми доступными способами.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 xml:space="preserve">При плохой организации использования нефтепродуктов их потери от годового расхода нефтепродуктов составляют в среднем: дизельного топлива — 2,5 %, бензина —3,5, моторного масла — 6 </w:t>
      </w:r>
      <w:r w:rsidRPr="00A8053F">
        <w:rPr>
          <w:iCs/>
          <w:sz w:val="28"/>
          <w:szCs w:val="28"/>
        </w:rPr>
        <w:t>%</w:t>
      </w:r>
      <w:r w:rsidRPr="00A8053F">
        <w:rPr>
          <w:i/>
          <w:iCs/>
          <w:sz w:val="28"/>
          <w:szCs w:val="28"/>
        </w:rPr>
        <w:t xml:space="preserve">. </w:t>
      </w:r>
      <w:r w:rsidRPr="00A8053F">
        <w:rPr>
          <w:sz w:val="28"/>
          <w:szCs w:val="28"/>
        </w:rPr>
        <w:t>По установленным нормам эти потери должны составлять не более 0,3</w:t>
      </w:r>
      <w:r w:rsidRPr="00A8053F">
        <w:rPr>
          <w:iCs/>
          <w:sz w:val="28"/>
          <w:szCs w:val="28"/>
        </w:rPr>
        <w:t>%</w:t>
      </w:r>
      <w:r w:rsidRPr="00A8053F">
        <w:rPr>
          <w:i/>
          <w:iCs/>
          <w:sz w:val="28"/>
          <w:szCs w:val="28"/>
        </w:rPr>
        <w:t xml:space="preserve"> </w:t>
      </w:r>
      <w:r w:rsidRPr="00A8053F">
        <w:rPr>
          <w:sz w:val="28"/>
          <w:szCs w:val="28"/>
        </w:rPr>
        <w:t>общего расхода нефтепродуктов.</w:t>
      </w:r>
    </w:p>
    <w:p w:rsidR="004E408F" w:rsidRPr="00A8053F" w:rsidRDefault="004E408F" w:rsidP="00A8053F">
      <w:pPr>
        <w:spacing w:line="360" w:lineRule="auto"/>
        <w:ind w:firstLine="709"/>
        <w:jc w:val="both"/>
        <w:rPr>
          <w:sz w:val="28"/>
          <w:szCs w:val="28"/>
        </w:rPr>
      </w:pPr>
      <w:r w:rsidRPr="00A8053F">
        <w:rPr>
          <w:sz w:val="28"/>
          <w:szCs w:val="28"/>
        </w:rPr>
        <w:t>Значительные потери и перерасход нефтепродуктов наблюдается при эксплуатации машинно-тракторного парка с большой изношенностью. Для экономичного расходования топлива при использовании машинно-тракторного парка необходимы рациональная организация рабочих процессов, правильное комплектование машинно-тракторных агрегатов, своевременная регулировка топливной аппаратуры, выбор наиболее экономичного режима работы, маневрирование рабочими скоростями при выполнении полевых работ и др.</w:t>
      </w:r>
      <w:bookmarkStart w:id="0" w:name="_GoBack"/>
      <w:bookmarkEnd w:id="0"/>
    </w:p>
    <w:sectPr w:rsidR="004E408F" w:rsidRPr="00A8053F" w:rsidSect="00A8053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1BA"/>
    <w:multiLevelType w:val="hybridMultilevel"/>
    <w:tmpl w:val="7E3651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CEB"/>
    <w:rsid w:val="000F3CEB"/>
    <w:rsid w:val="001309FF"/>
    <w:rsid w:val="003143CF"/>
    <w:rsid w:val="00413D78"/>
    <w:rsid w:val="00436B26"/>
    <w:rsid w:val="00474E2F"/>
    <w:rsid w:val="0048653C"/>
    <w:rsid w:val="004B670A"/>
    <w:rsid w:val="004E408F"/>
    <w:rsid w:val="005317DC"/>
    <w:rsid w:val="00602863"/>
    <w:rsid w:val="006360F0"/>
    <w:rsid w:val="00702014"/>
    <w:rsid w:val="00977DAE"/>
    <w:rsid w:val="00A65F60"/>
    <w:rsid w:val="00A6661D"/>
    <w:rsid w:val="00A8053F"/>
    <w:rsid w:val="00A93D68"/>
    <w:rsid w:val="00B60407"/>
    <w:rsid w:val="00B81013"/>
    <w:rsid w:val="00BA6E88"/>
    <w:rsid w:val="00C969A1"/>
    <w:rsid w:val="00CE3C01"/>
    <w:rsid w:val="00D404CB"/>
    <w:rsid w:val="00D56CFB"/>
    <w:rsid w:val="00D93D5C"/>
    <w:rsid w:val="00DE7A97"/>
    <w:rsid w:val="00E31A65"/>
    <w:rsid w:val="00EF658C"/>
    <w:rsid w:val="00F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84E62FE5-4DD9-41FF-A272-C3B07AD8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13D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table" w:styleId="a3">
    <w:name w:val="Table Grid"/>
    <w:basedOn w:val="a1"/>
    <w:uiPriority w:val="59"/>
    <w:rsid w:val="00B8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E408F"/>
    <w:pPr>
      <w:spacing w:line="360" w:lineRule="auto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2014-05-19T05:17:00Z</dcterms:created>
  <dcterms:modified xsi:type="dcterms:W3CDTF">2014-05-19T05:17:00Z</dcterms:modified>
</cp:coreProperties>
</file>