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6E" w:rsidRPr="003338CA" w:rsidRDefault="001F5F6E" w:rsidP="003338C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>1 ИСХОДНЫЕ ДАННЫЕ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>1.1 Краткая геолого-промысловая характеристика месторождения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геологическом строении Бухарском месторождении принимают участие девонские, каменноугольные, пермские и четвертичные отложения.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тектоническом отношении месторождение расположено на северном склоне Южно-Татарском своде. С запада оно ограничено узким и глубоким Алтунино-Шунакским прогибом, отделяющим сводную часть южного купола от Акташско-Ново-Елховского вала. По поверхности кристаллического фундамента наблюдается малоамплитудное ступенчатое погружение в северном и северо-восточном направлениях. На этом фоне намечается ряд относительно узких, вытянутых в меридиональном и субмеридиональном направлениях приподнятых блоков фундамента и сопряженных с ними грабенообразных прогибов.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Приуроченность района месторождения к прибортовым зонам Нижнекамского прогиба Камско-Кинельской системы предопределяет заметное изменение структурных планов отложений верхнего девона и нижнего карбона. В разрезе девонской осадочной толщи им соответствует структурные слабовыраженные террасы и прогибы. Более сложный структурный план имеют вышележащие отложения, которым характерны четкие, линейно-вытянутые валообразные зоны, осложненные локальными поднятиями </w:t>
      </w:r>
      <w:r w:rsidRPr="003338CA">
        <w:rPr>
          <w:sz w:val="28"/>
          <w:szCs w:val="28"/>
          <w:lang w:val="en-US"/>
        </w:rPr>
        <w:t>III</w:t>
      </w:r>
      <w:r w:rsidRPr="003338CA">
        <w:rPr>
          <w:sz w:val="28"/>
          <w:szCs w:val="28"/>
        </w:rPr>
        <w:t xml:space="preserve"> порядка. Наряду с чертами унаследованного структурного плана появляются локальные седиментационные новообразования в виде рифовых построек верхнефранско-фаменского возраста и связанные с ними структуры облегания – Верхнее-Налимовское и Южно-Налимовское поднятия. Амплитуды этих структур по кровле турнейского яруса достигают 65-70м. В основном для Бухарского месторождения характерными локальными элементами являются малоамплитудные поднятия </w:t>
      </w:r>
      <w:r w:rsidRPr="003338CA">
        <w:rPr>
          <w:sz w:val="28"/>
          <w:szCs w:val="28"/>
          <w:lang w:val="en-US"/>
        </w:rPr>
        <w:t>III</w:t>
      </w:r>
      <w:r w:rsidRPr="003338CA">
        <w:rPr>
          <w:sz w:val="28"/>
          <w:szCs w:val="28"/>
        </w:rPr>
        <w:t xml:space="preserve"> порядка. В пределах площади месторождения поверхность турнейского яруса осложнена «русловыми» врезовыми зонами, выделенными по результатам детализационных работ МОГТ в Заинском районе сейсморазведочной партии 9/96, которые были, в основном, подтверждены фактическим бурением 1997-2000 г.г.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Основой для структурных построений послужили результаты детализационных работ МОГТ Бухарской сейсморазведочной партии 9/96 в Заинском районе.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По разрезу Бухарского месторождения нефтеносность различной интенсивности установлена по ряду горизонтов в верхнем девоне и нижнем карбоне.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Продуктивными на месторождении являются терригенные отложения пашийского, кыновского и бобриковского горизонтов, карбонатные коллекторы семилукского, бурегского, заволжского горизонтов и турнейского яруса. Всего выявлено 47 залежей нефти, которые имеют различные размеры и этажи нефтеносности. Они контролируются отдельными локальными поднятиями или группой структурой. Промышленные скопления нефти в пашийском горизонте приурочены к пластам, индексируемым (снизу-вверх), как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-в,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-б и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-а, сложенными песчаниками и алевролитами. Пласты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-а,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-б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рассматриваются как один объект -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-а+б, поскольку в 20% скважин они сливаются или имеют маломощные глинистые перемычки толщтной 0,8-1,2 м. Пласт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 выделяет как самостоятельный объект с собственным ВНК.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-в представлен мелкозернистыми хорошо отсортированными песчаниками, залегает в подошвенной части пашийского горизонта на глубине 1741,6 м, четко коррелируется по материалам ГИС и отделяются от пласта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-а+б перемычкой толщиной в 4,6 м. Тип коллектора – поровый. Нефтеносность пласта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-в по площади имеет ограниченное распространение. К нему приурочено всего 2 залежи на самом юге и одна в средней части месторождения. В 13 скважинах по материалам ГИС установлена нефтеносность, в 10 из них проведено опробование, дебиты нефти в которых варьируется от 0,3 до 22,1 т/сут. Эффективные нефтенасыщенные толщины пласта изменяются от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0,6 до 2,8 м. Пласт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-в подстилается,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в основном, подошвенной водой. Во многих скважинах вскрыт непосредственный ВНК, контуры нефтеносности проведены по усредненным значениям отметок ВНК по скважинам с учетом нижних дыр перфорации.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Пласт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-а+б развит повсеместно нефтенасыщенный коллектор вскрыт в 40% скважин от общего пробуренного фонда на девон. Эффективная нефтенасыщенная толщина пласта изменяется от 0,8 до 2,4 м.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Всего выявлено 13 залежей нефти, приуроченных к сейсмоподнятиям </w:t>
      </w:r>
      <w:r w:rsidRPr="003338CA">
        <w:rPr>
          <w:sz w:val="28"/>
          <w:szCs w:val="28"/>
          <w:lang w:val="en-US"/>
        </w:rPr>
        <w:t>III</w:t>
      </w:r>
      <w:r w:rsidRPr="003338CA">
        <w:rPr>
          <w:sz w:val="28"/>
          <w:szCs w:val="28"/>
        </w:rPr>
        <w:t xml:space="preserve"> порядка. Залежи небольшие по размеру и высоте. Семь из них вскрыты только одной скважиной. Тип залежей – пласто-сводовый. ВНК вскрыт в 38% скважин, в которых установлена нефтенасыщенность. В связи с этим контуры нефтеносности в 3-х залежах проведены в соответствии с положением ВНК, определенным по ГИС и результатам опробования, в остальных только по абсолютной отметке подошвы нижнего нефтенасыщенного прослоя. Погружение структур наблюдается в северном направлении. Абсолютные отметки ВНК, по которым проведены контуры залежей, изменяются с юга на север от –1496 до –1508,7 м. Контуры залежей в районе скважин 736, 785, 788, 790 и 793а перетерпели изменение по данным НВСП МОВ. Залежь нефти в районе скв.790 (Верхне-Налимовское поднятие) резко изменила ориентацию с субмеридионального направления по результатам сейсмоисследований на северо-восточное по результатам НВСП МОВ. Размеры залежи уменьшились вдвое. Залежь нефти в районе скв.736 изменила направление с северо-западного на северо-восточное, размеры ее увеличились незначительно. На залежах нефти, приуроченных к Восточно-Бухарскому поднятию (район скв.793а) и в районе скв.788, запасы нефти по которой не были утверждены в ГКЗ РФ, площадь нефтеносности увеличилась в два раза. Залежь нефти в районе скв.785 с северо-запада ограничена линией тектонического нарушения, выявленной по НВСП, за которой выявлен сброс на 5 метров по вертикали. Залежь ограничена линией сброса, являющейся в данном случае экраном. Размеры залежи уменьшились в 4 раза. Поэтому после проведения предложенных авторами работ по управлению сети сейсмопрофилей на некоторых участках месторождения, переобработки всего имеющегося материала по сейсмоисследованиям, проведения НВСП МОВ в скважинах, предложенных в главе доразведки, необходимо уточнить запасы нефти по месторождению в соответствии с полученными результатами.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Общая толщина отложений пашийского горизонта составляет в среднем 22,8 м, эффективная нефтенасыщенная – 1,9 м, что соответственно отражается на коэффициенте песчанистости – 0,071, а коэффициент песчанистости по нефтенасыщенной части – 0,631. Коэффициент расчлененности равен 4,067.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Выше по разрезу на глубине 1734,2 м залегают продуктивные отложения кыновского горизонта, приуроченные к пласту Д</w:t>
      </w:r>
      <w:r w:rsidRPr="003338CA">
        <w:rPr>
          <w:sz w:val="28"/>
          <w:szCs w:val="28"/>
          <w:vertAlign w:val="subscript"/>
        </w:rPr>
        <w:t>0</w:t>
      </w:r>
      <w:r w:rsidRPr="003338CA">
        <w:rPr>
          <w:sz w:val="28"/>
          <w:szCs w:val="28"/>
        </w:rPr>
        <w:t xml:space="preserve">-в. Коллектор представлен, в основном, алевролитами, реже песчаниками мелкозернистыми, кварцевыми. Тип коллектора поровый.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Пласт Д</w:t>
      </w:r>
      <w:r w:rsidRPr="003338CA">
        <w:rPr>
          <w:sz w:val="28"/>
          <w:szCs w:val="28"/>
          <w:vertAlign w:val="subscript"/>
        </w:rPr>
        <w:t>0</w:t>
      </w:r>
      <w:r w:rsidRPr="003338CA">
        <w:rPr>
          <w:sz w:val="28"/>
          <w:szCs w:val="28"/>
        </w:rPr>
        <w:t>-в развит по площади повсеместно. По нему выявлено и оконтурено 11 залежей нефти, которые, в основном, перекрывают в плане залежи по пашийским отложениям. В 25 скважинах, пробуренных на 9 залежах, нефтенасыщенный пласт Д</w:t>
      </w:r>
      <w:r w:rsidRPr="003338CA">
        <w:rPr>
          <w:sz w:val="28"/>
          <w:szCs w:val="28"/>
          <w:vertAlign w:val="subscript"/>
        </w:rPr>
        <w:t>0</w:t>
      </w:r>
      <w:r w:rsidRPr="003338CA">
        <w:rPr>
          <w:sz w:val="28"/>
          <w:szCs w:val="28"/>
        </w:rPr>
        <w:t>-в опробован. Дебиты нефти, полученные при испытании, изменяются от 1,3 до 19,2 т/сут. Тип залежей – пластово-сводовый. В 14 скважинах вскрыт ВНК. Контуры нефтеносности проведены по результатам опробования в соответствии с гипсометрическими отметками нижних дыр перфорации, из которых получена нефть. В четырех залежах положение контуров нефтеносности принято по подошве нижнего нефтенасыщенного пропластка.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Общая толщина кыновского горизонта изменяется от 13,8 до 23,6 м, составляя в среднем 19,3 м. Количество пропластков 1 – 4, коэффициент расчлененности – 1,852. Суммарная эффективная нефтенасыщенная толщина пропластков варьирует в пределах 0,6 – 0,62 м, средняя равна 2,2 м. Коэффициент песчанистости составил 0,712. Толщина непроницаемого прослоя между нефтенасыщенными пропластками небольшая – 0,6-1,4 м.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tabs>
          <w:tab w:val="left" w:pos="387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>1.2 Коллекторские свойства продуктивных горизонтов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Отложения пашийского и кыновского горизонта франского яруса верхнего девона сложены алевролитами и песчаниками. Керном они охарактеризованы в 10 скважинах (70 образцов).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Песчаники мономинеральные кварцевые, мелкозернистые. Зерна кварца полуокатанной формы, сортировка зерен хорошая, упаковка средняя, участками плотная. По данным гранулометрического анализа песчаники мелкозернистые (50,1% - 80,8%) с небольшой примесью среднепсаммитовой фракции (0 – 10,3%), сильно алевритистые, глинистые (2,7 – 7,1%). Известковистость колеблется от 0,1 до 3%.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Цементом служит вторичный кварц, образующий регенерационные каемки, и карбонатно-глинистый материал, формирующий контактовый, а на отдельных участках – поровый тип цемента. Пористость песчаников колеблется в пределах 12,9 – 20,4%, проницаемость 118,3 – 644,5*10</w:t>
      </w:r>
      <w:r w:rsidRPr="003338CA">
        <w:rPr>
          <w:sz w:val="28"/>
          <w:szCs w:val="28"/>
          <w:vertAlign w:val="superscript"/>
        </w:rPr>
        <w:t>-3</w:t>
      </w:r>
      <w:r w:rsidRPr="003338CA">
        <w:rPr>
          <w:sz w:val="28"/>
          <w:szCs w:val="28"/>
        </w:rPr>
        <w:t>мкм</w:t>
      </w:r>
      <w:r w:rsidRPr="003338CA">
        <w:rPr>
          <w:sz w:val="28"/>
          <w:szCs w:val="28"/>
          <w:vertAlign w:val="superscript"/>
        </w:rPr>
        <w:t>2</w:t>
      </w:r>
      <w:r w:rsidRPr="003338CA">
        <w:rPr>
          <w:sz w:val="28"/>
          <w:szCs w:val="28"/>
        </w:rPr>
        <w:t>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Алевролиты кварцевые по составу с хорошей сортировкой зерен. По гранулометрическому составу: крупнозернистые (43,6-63,7%), средне- и сильнопесчанистые (11,2-44,7%), слабоглинистые (2,2-5,3%) с небольшой примесью средне- и мелкоалевритовой фракции (1,5-8,1%). Тип цемента регенерационный, контактовый и поровый. Пористость алевролитов по керну варьирует от 15 до 21,2%, проницаемость – от 9,6 до 109,9*10</w:t>
      </w:r>
      <w:r w:rsidRPr="003338CA">
        <w:rPr>
          <w:sz w:val="28"/>
          <w:szCs w:val="28"/>
          <w:vertAlign w:val="superscript"/>
        </w:rPr>
        <w:t>-3</w:t>
      </w:r>
      <w:r w:rsidRPr="003338CA">
        <w:rPr>
          <w:sz w:val="28"/>
          <w:szCs w:val="28"/>
        </w:rPr>
        <w:t>мкм</w:t>
      </w:r>
      <w:r w:rsidRPr="003338CA">
        <w:rPr>
          <w:sz w:val="28"/>
          <w:szCs w:val="28"/>
          <w:vertAlign w:val="superscript"/>
        </w:rPr>
        <w:t>2</w:t>
      </w:r>
      <w:r w:rsidRPr="003338CA">
        <w:rPr>
          <w:sz w:val="28"/>
          <w:szCs w:val="28"/>
        </w:rPr>
        <w:t>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Пористость коллекторов пашийских отложений, определенная по ГИС (47 скв.) и керну (3 скв. – 33 определения), почти совпадает: 19,7% и 20,5%, нефтенасыщенность соответственно 71,9 и 81,6%. Параметры проницаемости, определенные по ГИС, керну и результатам гидродинамических исследований, различаются, данные представлены в таблице 1.2.1. Для проектирования взято среднее значение по результатом ГИС, как наиболее представительное (46 скв. – 151 определение), которое равно 0,13 мкм</w:t>
      </w:r>
      <w:r w:rsidRPr="003338CA">
        <w:rPr>
          <w:sz w:val="28"/>
          <w:szCs w:val="28"/>
          <w:vertAlign w:val="superscript"/>
        </w:rPr>
        <w:t>2</w:t>
      </w:r>
      <w:r w:rsidRPr="003338CA">
        <w:rPr>
          <w:sz w:val="28"/>
          <w:szCs w:val="28"/>
        </w:rPr>
        <w:t>. Кондиционные значения коэффициентов пористости, нефтенасыщенности и проницаемости для терригенных коллекторов пашийского и кыновского возрастов идентичны и составляют соответственно: 0,115, 0,55 и 0,013 мкм</w:t>
      </w:r>
      <w:r w:rsidRPr="003338CA">
        <w:rPr>
          <w:sz w:val="28"/>
          <w:szCs w:val="28"/>
          <w:vertAlign w:val="superscript"/>
        </w:rPr>
        <w:t>2</w:t>
      </w:r>
      <w:r w:rsidRPr="003338CA">
        <w:rPr>
          <w:sz w:val="28"/>
          <w:szCs w:val="28"/>
        </w:rPr>
        <w:t>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Коллекторы относятся к высокоемким высокопроницаемым. Тип коллектора – поровый.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Пашийские отложения характеризуются в целом низким значением песчанистости (0,071), по нефтенасыщенной части – 0,631. На неоднородность объекта указывает довольно высокая величина его расчлененности, равная 4,067. Общая толщина горизонта составляет в среднем 22,8 м, суммарная нефтенасыщенная – 1,9 м. Высокое среднее значение эффективной толщины (10,7м) указывает на наличие значительной водонасыщенной части по пластам с подошвенной водой.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Покрышкой для залежей пашийских отложений служат аргиллиты кыновского возраста мощностью от 2 до 6 м.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Коллекторские свойства кыновских отложений охарактеризованы керновыми данными, результатами ГИС и гидродинамических исследований. По первым они выше, а по более представительным материалам, по геофизическим исследованиям, коллекторы характеризуются следующими величинами: пористости – 19,6%, нефтенасыщенности – 74,3%, проницаемости – 0,126 мкм</w:t>
      </w:r>
      <w:r w:rsidRPr="003338CA">
        <w:rPr>
          <w:sz w:val="28"/>
          <w:szCs w:val="28"/>
          <w:vertAlign w:val="superscript"/>
        </w:rPr>
        <w:t>2</w:t>
      </w:r>
      <w:r w:rsidRPr="003338CA">
        <w:rPr>
          <w:sz w:val="28"/>
          <w:szCs w:val="28"/>
        </w:rPr>
        <w:t>, представленным в таблице 1.2.1. Они относятся по своим емкостно-фильтрационным свойствам к высокоемким, высокопроницаемым. Тип коллектора – поровый.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Общая толщина отложений кыновского возраста составляет в среднем 19,3 м, средняя нефтенасыщенная – 2,2 м, эффективная – 3,0 м. Коллекторы харак-тся высокой неоднородностью – расчлененность 1,852, высоким значением песчанистости – 0,712. Покрышкой для кыновских залежей служат глины одноименного возраста толщиной до 10 м.</w:t>
      </w:r>
    </w:p>
    <w:p w:rsidR="003338CA" w:rsidRDefault="003338CA" w:rsidP="003338CA">
      <w:pPr>
        <w:pStyle w:val="a3"/>
        <w:spacing w:line="360" w:lineRule="auto"/>
        <w:ind w:firstLine="709"/>
        <w:rPr>
          <w:sz w:val="28"/>
          <w:szCs w:val="28"/>
        </w:rPr>
        <w:sectPr w:rsidR="003338CA" w:rsidSect="003338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5F6E" w:rsidRPr="003338CA" w:rsidRDefault="001F5F6E" w:rsidP="003338CA">
      <w:pPr>
        <w:pStyle w:val="a3"/>
        <w:spacing w:line="360" w:lineRule="auto"/>
        <w:ind w:firstLine="709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>1.3 Физико-химические свойства пластовых флюидов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Исследование физико-химических свойств нефтей в пластовых и поверхностных условиях проводилось по пластовым пробам в ТатНИПИнефть и в аналитической лаборатории ТГРУ. Пробы отбирались глубинными пробоотборниками типа ПД-3 и исследовались на установках УИПН-2 и АСМ-300 по общепринятой методике. Вязкость нефти определялась вискозиметром ВВДУ (вискозиметр высокого давления универсальный) и капиллярным типа ВПЖ. Плотность сепарированной нефти определялась пикнометрическим способом. Состав нефти и газа после однократного разгазирования пластовой пробы нефти анализировался на хромотографах типа ЛХМ-8М, ХРОМ-5. Все данные исследования приведены согласно РД-153-39-007-96 «Регламент составления проектных технологических документов на разработку нефтяных и газонефтяных месторождений».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Всего по Бухарскому месторождению проанализировано: пластовых – 39 проб, поверхностных – 37 проб. Ввиду отсутствия данных по турнейскому ярусу и бурегскому горизонту были использованы усредненные параметры по Кадыровскому и Ромашкинскому месторождениях соответственно.</w:t>
      </w:r>
    </w:p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 xml:space="preserve">Физико-химические свойства флюидов представлены в таблице </w:t>
      </w:r>
    </w:p>
    <w:p w:rsidR="003338CA" w:rsidRPr="003338CA" w:rsidRDefault="003338CA" w:rsidP="003338CA">
      <w:pPr>
        <w:pStyle w:val="a3"/>
        <w:spacing w:line="360" w:lineRule="auto"/>
        <w:ind w:firstLine="709"/>
        <w:rPr>
          <w:sz w:val="28"/>
          <w:szCs w:val="28"/>
        </w:rPr>
      </w:pPr>
    </w:p>
    <w:p w:rsidR="003338CA" w:rsidRPr="003338CA" w:rsidRDefault="003338CA" w:rsidP="003338CA">
      <w:pPr>
        <w:pStyle w:val="a3"/>
        <w:spacing w:line="360" w:lineRule="auto"/>
        <w:ind w:firstLine="709"/>
        <w:rPr>
          <w:sz w:val="28"/>
          <w:szCs w:val="28"/>
        </w:rPr>
      </w:pPr>
      <w:r w:rsidRPr="003338CA">
        <w:rPr>
          <w:sz w:val="28"/>
          <w:szCs w:val="28"/>
        </w:rPr>
        <w:t>Таблица 1 Физико-химические свойства</w:t>
      </w:r>
    </w:p>
    <w:tbl>
      <w:tblPr>
        <w:tblW w:w="9926" w:type="dxa"/>
        <w:tblInd w:w="-289" w:type="dxa"/>
        <w:tblLook w:val="0000" w:firstRow="0" w:lastRow="0" w:firstColumn="0" w:lastColumn="0" w:noHBand="0" w:noVBand="0"/>
      </w:tblPr>
      <w:tblGrid>
        <w:gridCol w:w="4851"/>
        <w:gridCol w:w="1252"/>
        <w:gridCol w:w="733"/>
        <w:gridCol w:w="1561"/>
        <w:gridCol w:w="1529"/>
      </w:tblGrid>
      <w:tr w:rsidR="003338CA" w:rsidRPr="003338CA">
        <w:trPr>
          <w:trHeight w:val="300"/>
        </w:trPr>
        <w:tc>
          <w:tcPr>
            <w:tcW w:w="485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  <w:r w:rsidRPr="003338CA">
              <w:t> </w:t>
            </w:r>
          </w:p>
          <w:p w:rsidR="003338CA" w:rsidRPr="003338CA" w:rsidRDefault="003338CA" w:rsidP="003338CA">
            <w:pPr>
              <w:spacing w:line="360" w:lineRule="auto"/>
            </w:pPr>
            <w:r w:rsidRPr="003338CA">
              <w:t>Наименование</w:t>
            </w:r>
          </w:p>
          <w:p w:rsidR="003338CA" w:rsidRPr="003338CA" w:rsidRDefault="003338CA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50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  <w:r w:rsidRPr="003338CA">
              <w:t>Пашийский горизонт</w:t>
            </w:r>
          </w:p>
        </w:tc>
      </w:tr>
      <w:tr w:rsidR="003338CA" w:rsidRPr="003338CA">
        <w:trPr>
          <w:trHeight w:val="255"/>
        </w:trPr>
        <w:tc>
          <w:tcPr>
            <w:tcW w:w="4851" w:type="dxa"/>
            <w:vMerge/>
            <w:tcBorders>
              <w:left w:val="single" w:sz="4" w:space="0" w:color="auto"/>
              <w:right w:val="nil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  <w:r w:rsidRPr="003338CA">
              <w:t>Кол-во исследованных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  <w:r w:rsidRPr="003338CA">
              <w:t>Диапазон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  <w:r w:rsidRPr="003338CA">
              <w:t xml:space="preserve">Среднее </w:t>
            </w:r>
          </w:p>
        </w:tc>
      </w:tr>
      <w:tr w:rsidR="003338CA" w:rsidRPr="003338CA">
        <w:trPr>
          <w:trHeight w:val="255"/>
        </w:trPr>
        <w:tc>
          <w:tcPr>
            <w:tcW w:w="485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  <w:r w:rsidRPr="003338CA">
              <w:t>скважин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  <w:r w:rsidRPr="003338CA">
              <w:t>проб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  <w:r w:rsidRPr="003338CA">
              <w:t>изменения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38CA" w:rsidRPr="003338CA" w:rsidRDefault="003338CA" w:rsidP="003338CA">
            <w:pPr>
              <w:spacing w:line="360" w:lineRule="auto"/>
            </w:pPr>
            <w:r w:rsidRPr="003338CA">
              <w:t>значение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Нефть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Давление насыщения газом, МПа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4.4-9.5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7,56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32.77-60.2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57,6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1.1060-1.1700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1,1411</w:t>
            </w:r>
          </w:p>
        </w:tc>
      </w:tr>
    </w:tbl>
    <w:p w:rsidR="003338CA" w:rsidRDefault="003338CA" w:rsidP="003338CA">
      <w:pPr>
        <w:spacing w:line="360" w:lineRule="auto"/>
        <w:sectPr w:rsidR="003338CA" w:rsidSect="003338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926" w:type="dxa"/>
        <w:tblInd w:w="-289" w:type="dxa"/>
        <w:tblLook w:val="0000" w:firstRow="0" w:lastRow="0" w:firstColumn="0" w:lastColumn="0" w:noHBand="0" w:noVBand="0"/>
      </w:tblPr>
      <w:tblGrid>
        <w:gridCol w:w="4851"/>
        <w:gridCol w:w="1252"/>
        <w:gridCol w:w="733"/>
        <w:gridCol w:w="1561"/>
        <w:gridCol w:w="1529"/>
      </w:tblGrid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804.3-865.0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815,4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7.32-9.12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6,6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дифферен-ном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 в рабочих условиях,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1,1078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1,1078</w:t>
            </w:r>
          </w:p>
        </w:tc>
      </w:tr>
      <w:tr w:rsidR="001F5F6E" w:rsidRPr="003338CA">
        <w:trPr>
          <w:trHeight w:val="197"/>
        </w:trPr>
        <w:tc>
          <w:tcPr>
            <w:tcW w:w="485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Пластовая вода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  <w:p w:rsidR="001F5F6E" w:rsidRPr="003338CA" w:rsidRDefault="001F5F6E" w:rsidP="003338CA">
            <w:pPr>
              <w:spacing w:line="360" w:lineRule="auto"/>
            </w:pPr>
          </w:p>
        </w:tc>
      </w:tr>
      <w:tr w:rsidR="001F5F6E" w:rsidRPr="003338CA">
        <w:trPr>
          <w:trHeight w:val="284"/>
        </w:trPr>
        <w:tc>
          <w:tcPr>
            <w:tcW w:w="485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1F5F6E" w:rsidRPr="003338CA" w:rsidRDefault="003338CA" w:rsidP="003338CA">
            <w:pPr>
              <w:spacing w:line="360" w:lineRule="auto"/>
            </w:pPr>
            <w:r>
              <w:t xml:space="preserve"> </w:t>
            </w:r>
            <w:r w:rsidR="001F5F6E" w:rsidRPr="003338CA">
              <w:t>Продолжение таблицы 1</w:t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</w:tr>
      <w:tr w:rsidR="001F5F6E" w:rsidRPr="003338CA">
        <w:trPr>
          <w:trHeight w:val="28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м3/т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0.25-0.42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0,335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 т.ч. сероводорода,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н.о.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н.о.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0,9987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1.73-1.95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1,84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Общая минерализация, г/л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230.89-291.82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269,01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1167.0-1190.0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1182,67</w:t>
            </w:r>
          </w:p>
        </w:tc>
      </w:tr>
      <w:tr w:rsidR="001F5F6E" w:rsidRPr="003338CA">
        <w:trPr>
          <w:trHeight w:val="255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Кыновский горизонт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Нефть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Давление насыщения газом, МПа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4.5-9.1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7,25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42.8-68.0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59,28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1.1131-1.1680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1,1501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810.0-860.0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823,1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4.95-8.51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5,45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дифферен-ном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 в рабочих условиях,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1,1387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1,1387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м3/т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0.25-0.42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0,335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 т.ч. сероводорода,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н.о.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н.о.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0,9987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1.73-1.95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1,84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Общая минерализация, г/л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230.89-291.82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269,01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1167.0-1190.0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1182,67</w:t>
            </w:r>
          </w:p>
        </w:tc>
      </w:tr>
      <w:tr w:rsidR="001F5F6E" w:rsidRPr="003338CA">
        <w:trPr>
          <w:trHeight w:val="255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Бурегский горизонт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Нефть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Давление насыщения газом, МПа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50,7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1,124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826,3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7,39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дифферен-ном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 в рабочих условиях,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1,1129</w:t>
            </w:r>
          </w:p>
        </w:tc>
      </w:tr>
    </w:tbl>
    <w:p w:rsidR="003338CA" w:rsidRDefault="003338CA" w:rsidP="003338CA">
      <w:pPr>
        <w:spacing w:line="360" w:lineRule="auto"/>
        <w:sectPr w:rsidR="003338CA" w:rsidSect="003338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926" w:type="dxa"/>
        <w:tblInd w:w="-289" w:type="dxa"/>
        <w:tblLook w:val="0000" w:firstRow="0" w:lastRow="0" w:firstColumn="0" w:lastColumn="0" w:noHBand="0" w:noVBand="0"/>
      </w:tblPr>
      <w:tblGrid>
        <w:gridCol w:w="4851"/>
        <w:gridCol w:w="1252"/>
        <w:gridCol w:w="733"/>
        <w:gridCol w:w="1561"/>
        <w:gridCol w:w="1529"/>
      </w:tblGrid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Пластовая вода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0.1-0.13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0,12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 т.ч. сероводорода,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н.о.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0,9989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1,74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Общая минерализация, г/л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209,77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1168</w:t>
            </w:r>
          </w:p>
        </w:tc>
      </w:tr>
      <w:tr w:rsidR="001F5F6E" w:rsidRPr="003338CA">
        <w:trPr>
          <w:trHeight w:val="300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Турнейский ярус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Нефть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Давление насыщения газом, МПа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4.95-5.05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4,99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16.6-20.6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18,6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1.056-1.060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1,058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853.93-854.0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853,9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10.69-15.9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13,3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дифферен-ном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 в рабочих условиях,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1,0475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1,0475</w:t>
            </w:r>
          </w:p>
        </w:tc>
      </w:tr>
      <w:tr w:rsidR="001F5F6E" w:rsidRPr="003338CA">
        <w:trPr>
          <w:trHeight w:val="275"/>
        </w:trPr>
        <w:tc>
          <w:tcPr>
            <w:tcW w:w="4851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1F5F6E" w:rsidRPr="003338CA" w:rsidRDefault="003338CA" w:rsidP="003338CA">
            <w:pPr>
              <w:spacing w:line="360" w:lineRule="auto"/>
            </w:pPr>
            <w:r>
              <w:t xml:space="preserve"> </w:t>
            </w:r>
            <w:r w:rsidR="001F5F6E" w:rsidRPr="003338CA">
              <w:t>Продолжение таблицы 1</w:t>
            </w:r>
          </w:p>
        </w:tc>
        <w:tc>
          <w:tcPr>
            <w:tcW w:w="1252" w:type="dxa"/>
            <w:tcBorders>
              <w:top w:val="nil"/>
              <w:bottom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bottom w:val="single" w:sz="4" w:space="0" w:color="auto"/>
            </w:tcBorders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61" w:type="dxa"/>
            <w:tcBorders>
              <w:top w:val="nil"/>
              <w:bottom w:val="single" w:sz="4" w:space="0" w:color="auto"/>
            </w:tcBorders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bottom w:val="single" w:sz="4" w:space="0" w:color="auto"/>
            </w:tcBorders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</w:tr>
      <w:tr w:rsidR="001F5F6E" w:rsidRPr="003338CA">
        <w:trPr>
          <w:trHeight w:val="274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Пластовая вода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0.20-0.25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0,225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 т.ч. сероводорода,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н.о.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0,9982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1,69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Общая минерализация, г/л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236,05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1161</w:t>
            </w:r>
          </w:p>
        </w:tc>
      </w:tr>
      <w:tr w:rsidR="001F5F6E" w:rsidRPr="003338CA">
        <w:trPr>
          <w:trHeight w:val="300"/>
        </w:trPr>
        <w:tc>
          <w:tcPr>
            <w:tcW w:w="99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Бобриковский горизонт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Нефть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Давление насыщения газом, МПа 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1.6-4.5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2,46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5.03-11.38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1,0216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однократном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1.0140-1.0282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1,0216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895.0-907.0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905,9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28.91-88.43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55,54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 при дифферен-ном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разгазировании в рабочих условиях, доли ед.</w:t>
            </w:r>
          </w:p>
        </w:tc>
        <w:tc>
          <w:tcPr>
            <w:tcW w:w="1252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33" w:type="dxa"/>
            <w:tcBorders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61" w:type="dxa"/>
            <w:tcBorders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1,0001</w:t>
            </w:r>
          </w:p>
        </w:tc>
        <w:tc>
          <w:tcPr>
            <w:tcW w:w="1529" w:type="dxa"/>
            <w:tcBorders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1,0001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Пластовая вода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Газосодержание,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0.08-0.12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0,1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 т.ч. сероводорода, м3/т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н.о.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</w:tr>
    </w:tbl>
    <w:p w:rsidR="003338CA" w:rsidRDefault="003338CA" w:rsidP="003338CA">
      <w:pPr>
        <w:spacing w:line="360" w:lineRule="auto"/>
        <w:sectPr w:rsidR="003338CA" w:rsidSect="003338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9926" w:type="dxa"/>
        <w:tblInd w:w="-289" w:type="dxa"/>
        <w:tblLook w:val="0000" w:firstRow="0" w:lastRow="0" w:firstColumn="0" w:lastColumn="0" w:noHBand="0" w:noVBand="0"/>
      </w:tblPr>
      <w:tblGrid>
        <w:gridCol w:w="4851"/>
        <w:gridCol w:w="1252"/>
        <w:gridCol w:w="733"/>
        <w:gridCol w:w="1561"/>
        <w:gridCol w:w="1529"/>
      </w:tblGrid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Объемный коэффициент, доли ед.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 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0,998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Вязкость, мПа*с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1.71-1.72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1,71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Общая минерализация, г/л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235.27-260.80</w:t>
            </w: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248,04</w:t>
            </w:r>
          </w:p>
        </w:tc>
      </w:tr>
      <w:tr w:rsidR="001F5F6E" w:rsidRPr="003338CA">
        <w:trPr>
          <w:trHeight w:val="255"/>
        </w:trPr>
        <w:tc>
          <w:tcPr>
            <w:tcW w:w="4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Плотность, кг/м3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1164.0-1165.0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1164,5</w:t>
            </w:r>
          </w:p>
        </w:tc>
      </w:tr>
    </w:tbl>
    <w:p w:rsidR="003338CA" w:rsidRDefault="003338CA" w:rsidP="003338C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338CA" w:rsidRDefault="001F5F6E" w:rsidP="003338CA">
      <w:pPr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3338CA">
        <w:rPr>
          <w:b/>
          <w:bCs/>
          <w:sz w:val="28"/>
          <w:szCs w:val="28"/>
        </w:rPr>
        <w:t>1.4 Краткая технико-эксплуатационная характеристика</w:t>
      </w:r>
      <w:r w:rsidR="003338CA" w:rsidRPr="003338CA">
        <w:rPr>
          <w:b/>
          <w:bCs/>
          <w:sz w:val="28"/>
          <w:szCs w:val="28"/>
        </w:rPr>
        <w:t xml:space="preserve"> </w:t>
      </w:r>
      <w:r w:rsidRPr="003338CA">
        <w:rPr>
          <w:b/>
          <w:bCs/>
          <w:sz w:val="28"/>
          <w:szCs w:val="28"/>
        </w:rPr>
        <w:t xml:space="preserve">фонда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>скважин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Девонские отложения месторождения.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Фонд скважин на горизонт Д</w:t>
      </w:r>
      <w:r w:rsidRPr="003338CA">
        <w:rPr>
          <w:sz w:val="28"/>
          <w:szCs w:val="28"/>
          <w:vertAlign w:val="subscript"/>
        </w:rPr>
        <w:t>0</w:t>
      </w:r>
      <w:r w:rsidRPr="003338CA">
        <w:rPr>
          <w:sz w:val="28"/>
          <w:szCs w:val="28"/>
        </w:rPr>
        <w:t>+Д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>, предусмотренный проектом опытно-промышленной эксплуатации и дополнительными документами, определен в количестве 85 единиц, в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том числе добывающих - 18, оценочных - 6, разведочных - 61.Плотность сетки при этом 16 га/скв.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Фактически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на 1.01.2004 года пробурено 79 скважин, из них 18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добывающих,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55 разведочных , 6 оценочных.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Добывающий фонд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на конец 2004 года по объекту составил 28скважин.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течение 2004 года в добывающем фонде произошли следующие изменения: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 xml:space="preserve">введена на нефть 1 новая скважина (№793а) из пьезометрического фонда.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На 1.01.2005 года действующий фонд составляет 25 скважин. В 2004 году из действующего фонда ушла в бездействие 1 скважина (№750), введены из бездействия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4 скважины (№№785, 792, 794, 1027).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бездействующем фонде находятся 3 скважины: все 3 скважины – в ожидании ПРС.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Динамика добывающего фонда приведена ниже:</w:t>
      </w:r>
    </w:p>
    <w:p w:rsidR="003338CA" w:rsidRPr="00E32A72" w:rsidRDefault="003338CA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3338CA" w:rsidRDefault="003338CA" w:rsidP="003338CA">
      <w:pPr>
        <w:spacing w:line="360" w:lineRule="auto"/>
        <w:ind w:firstLine="709"/>
        <w:jc w:val="both"/>
        <w:rPr>
          <w:sz w:val="28"/>
          <w:szCs w:val="28"/>
        </w:rPr>
        <w:sectPr w:rsidR="003338CA" w:rsidSect="003338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338CA">
        <w:rPr>
          <w:sz w:val="28"/>
          <w:szCs w:val="28"/>
        </w:rPr>
        <w:t>Таблица 1 Динамика добывающего фонда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1"/>
        <w:gridCol w:w="4737"/>
        <w:gridCol w:w="19"/>
        <w:gridCol w:w="2209"/>
        <w:gridCol w:w="1985"/>
        <w:gridCol w:w="701"/>
        <w:gridCol w:w="8"/>
      </w:tblGrid>
      <w:tr w:rsidR="001F5F6E" w:rsidRPr="003338CA">
        <w:trPr>
          <w:gridAfter w:val="1"/>
          <w:wAfter w:w="8" w:type="dxa"/>
          <w:trHeight w:val="370"/>
          <w:jc w:val="center"/>
        </w:trPr>
        <w:tc>
          <w:tcPr>
            <w:tcW w:w="475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  <w:rPr>
                <w:lang w:val="en-US"/>
              </w:rPr>
            </w:pPr>
            <w:r w:rsidRPr="003338CA">
              <w:t>Категория</w:t>
            </w:r>
          </w:p>
        </w:tc>
        <w:tc>
          <w:tcPr>
            <w:tcW w:w="4914" w:type="dxa"/>
            <w:gridSpan w:val="4"/>
            <w:tcBorders>
              <w:top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Количество скважин</w:t>
            </w:r>
          </w:p>
        </w:tc>
      </w:tr>
      <w:tr w:rsidR="001F5F6E" w:rsidRPr="003338CA">
        <w:trPr>
          <w:gridBefore w:val="1"/>
          <w:wBefore w:w="21" w:type="dxa"/>
          <w:trHeight w:val="251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скважин</w:t>
            </w:r>
          </w:p>
        </w:tc>
        <w:tc>
          <w:tcPr>
            <w:tcW w:w="220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на 1.01.2004 г.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на 1.01.2005 г.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+,-</w:t>
            </w:r>
          </w:p>
        </w:tc>
      </w:tr>
      <w:tr w:rsidR="001F5F6E" w:rsidRPr="003338CA">
        <w:trPr>
          <w:gridBefore w:val="1"/>
          <w:wBefore w:w="21" w:type="dxa"/>
          <w:trHeight w:val="452"/>
          <w:jc w:val="center"/>
        </w:trPr>
        <w:tc>
          <w:tcPr>
            <w:tcW w:w="475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1. Добывающий фонд</w:t>
            </w:r>
          </w:p>
        </w:tc>
        <w:tc>
          <w:tcPr>
            <w:tcW w:w="2209" w:type="dxa"/>
            <w:tcBorders>
              <w:top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27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+1</w:t>
            </w:r>
          </w:p>
        </w:tc>
      </w:tr>
      <w:tr w:rsidR="001F5F6E" w:rsidRPr="003338CA">
        <w:trPr>
          <w:gridBefore w:val="1"/>
          <w:wBefore w:w="21" w:type="dxa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 том числе:</w:t>
            </w:r>
            <w:r w:rsidR="003338CA" w:rsidRPr="003338CA">
              <w:t xml:space="preserve"> </w:t>
            </w:r>
            <w:r w:rsidRPr="003338CA">
              <w:t>фонт</w:t>
            </w:r>
          </w:p>
        </w:tc>
        <w:tc>
          <w:tcPr>
            <w:tcW w:w="2209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gridBefore w:val="1"/>
          <w:wBefore w:w="21" w:type="dxa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ЭЦН</w:t>
            </w:r>
          </w:p>
        </w:tc>
        <w:tc>
          <w:tcPr>
            <w:tcW w:w="2209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+8</w:t>
            </w:r>
          </w:p>
        </w:tc>
      </w:tr>
      <w:tr w:rsidR="001F5F6E" w:rsidRPr="003338CA">
        <w:trPr>
          <w:gridBefore w:val="1"/>
          <w:wBefore w:w="21" w:type="dxa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ШГН</w:t>
            </w:r>
          </w:p>
        </w:tc>
        <w:tc>
          <w:tcPr>
            <w:tcW w:w="2209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26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19</w:t>
            </w: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-7</w:t>
            </w:r>
          </w:p>
        </w:tc>
      </w:tr>
      <w:tr w:rsidR="001F5F6E" w:rsidRPr="003338CA">
        <w:trPr>
          <w:gridBefore w:val="1"/>
          <w:wBefore w:w="21" w:type="dxa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2. Действующий фонд</w:t>
            </w:r>
          </w:p>
        </w:tc>
        <w:tc>
          <w:tcPr>
            <w:tcW w:w="2209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21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25</w:t>
            </w: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+4</w:t>
            </w:r>
          </w:p>
        </w:tc>
      </w:tr>
      <w:tr w:rsidR="001F5F6E" w:rsidRPr="003338CA">
        <w:trPr>
          <w:gridBefore w:val="1"/>
          <w:wBefore w:w="21" w:type="dxa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в том числе: фонт </w:t>
            </w:r>
          </w:p>
        </w:tc>
        <w:tc>
          <w:tcPr>
            <w:tcW w:w="2209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gridBefore w:val="1"/>
          <w:wBefore w:w="21" w:type="dxa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ЭЦН</w:t>
            </w:r>
          </w:p>
        </w:tc>
        <w:tc>
          <w:tcPr>
            <w:tcW w:w="2209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+3</w:t>
            </w:r>
          </w:p>
        </w:tc>
      </w:tr>
      <w:tr w:rsidR="001F5F6E" w:rsidRPr="003338CA">
        <w:trPr>
          <w:gridBefore w:val="1"/>
          <w:wBefore w:w="21" w:type="dxa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ШГН</w:t>
            </w:r>
          </w:p>
        </w:tc>
        <w:tc>
          <w:tcPr>
            <w:tcW w:w="2209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16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17</w:t>
            </w: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+1</w:t>
            </w:r>
          </w:p>
        </w:tc>
      </w:tr>
      <w:tr w:rsidR="001F5F6E" w:rsidRPr="003338CA">
        <w:trPr>
          <w:gridBefore w:val="1"/>
          <w:wBefore w:w="21" w:type="dxa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3.Бездействующий фонд</w:t>
            </w:r>
          </w:p>
        </w:tc>
        <w:tc>
          <w:tcPr>
            <w:tcW w:w="2209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709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-3</w:t>
            </w:r>
          </w:p>
        </w:tc>
      </w:tr>
      <w:tr w:rsidR="001F5F6E" w:rsidRPr="003338CA">
        <w:trPr>
          <w:gridBefore w:val="1"/>
          <w:wBefore w:w="21" w:type="dxa"/>
          <w:jc w:val="center"/>
        </w:trPr>
        <w:tc>
          <w:tcPr>
            <w:tcW w:w="475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4.В освоении</w:t>
            </w:r>
          </w:p>
        </w:tc>
        <w:tc>
          <w:tcPr>
            <w:tcW w:w="2209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709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</w:tbl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Динамику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среднесуточного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дебита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одной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действующей скважины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можно проследить по таблице:</w:t>
      </w:r>
    </w:p>
    <w:p w:rsidR="003338CA" w:rsidRPr="00E32A72" w:rsidRDefault="003338CA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Таблица 2 Среднесуточный дебит скважины.</w:t>
      </w:r>
    </w:p>
    <w:tbl>
      <w:tblPr>
        <w:tblW w:w="9640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119"/>
        <w:gridCol w:w="1276"/>
        <w:gridCol w:w="142"/>
        <w:gridCol w:w="992"/>
        <w:gridCol w:w="1134"/>
        <w:gridCol w:w="992"/>
        <w:gridCol w:w="142"/>
        <w:gridCol w:w="850"/>
        <w:gridCol w:w="142"/>
        <w:gridCol w:w="851"/>
      </w:tblGrid>
      <w:tr w:rsidR="001F5F6E" w:rsidRPr="003338CA"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241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на 1.01.2004 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на 1.01.2005 г.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+,-</w:t>
            </w:r>
          </w:p>
        </w:tc>
      </w:tr>
      <w:tr w:rsidR="001F5F6E" w:rsidRPr="003338CA">
        <w:tc>
          <w:tcPr>
            <w:tcW w:w="311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Способ эксплуатации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нефть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жидк.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нефть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жидк.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нефть</w:t>
            </w:r>
          </w:p>
        </w:tc>
        <w:tc>
          <w:tcPr>
            <w:tcW w:w="993" w:type="dxa"/>
            <w:gridSpan w:val="2"/>
            <w:tcBorders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жидк.</w:t>
            </w:r>
          </w:p>
        </w:tc>
      </w:tr>
      <w:tr w:rsidR="001F5F6E" w:rsidRPr="003338CA"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Сред. дебит</w:t>
            </w:r>
            <w:r w:rsidRPr="003338CA">
              <w:t xml:space="preserve"> </w:t>
            </w:r>
            <w:r w:rsidR="001F5F6E" w:rsidRPr="003338CA">
              <w:t>1 скв., т/сут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4,2</w:t>
            </w: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20,1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4,1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31,9</w:t>
            </w:r>
          </w:p>
        </w:tc>
        <w:tc>
          <w:tcPr>
            <w:tcW w:w="992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-0,1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+11,8</w:t>
            </w:r>
          </w:p>
        </w:tc>
      </w:tr>
      <w:tr w:rsidR="001F5F6E" w:rsidRPr="003338CA"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фонт.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992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993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trHeight w:val="401"/>
        </w:trPr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ЭЦН</w:t>
            </w:r>
          </w:p>
        </w:tc>
        <w:tc>
          <w:tcPr>
            <w:tcW w:w="1276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6,6</w:t>
            </w:r>
          </w:p>
        </w:tc>
        <w:tc>
          <w:tcPr>
            <w:tcW w:w="113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50,5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7,2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82,4</w:t>
            </w:r>
          </w:p>
        </w:tc>
        <w:tc>
          <w:tcPr>
            <w:tcW w:w="992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+0,6</w:t>
            </w:r>
          </w:p>
        </w:tc>
        <w:tc>
          <w:tcPr>
            <w:tcW w:w="993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+31,9</w:t>
            </w:r>
          </w:p>
          <w:p w:rsidR="001F5F6E" w:rsidRPr="003338CA" w:rsidRDefault="001F5F6E" w:rsidP="003338CA">
            <w:pPr>
              <w:spacing w:line="360" w:lineRule="auto"/>
            </w:pPr>
          </w:p>
        </w:tc>
      </w:tr>
      <w:tr w:rsidR="001F5F6E" w:rsidRPr="003338CA">
        <w:trPr>
          <w:trHeight w:val="245"/>
        </w:trPr>
        <w:tc>
          <w:tcPr>
            <w:tcW w:w="9640" w:type="dxa"/>
            <w:gridSpan w:val="10"/>
            <w:tcBorders>
              <w:bottom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Продолжение таблицы 2</w:t>
            </w:r>
          </w:p>
        </w:tc>
      </w:tr>
      <w:tr w:rsidR="001F5F6E" w:rsidRPr="003338CA">
        <w:trPr>
          <w:trHeight w:val="24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</w:t>
            </w:r>
          </w:p>
        </w:tc>
      </w:tr>
      <w:tr w:rsidR="001F5F6E" w:rsidRPr="003338CA">
        <w:trPr>
          <w:trHeight w:val="10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ШГН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3,5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10,4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2,6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-0,9</w:t>
            </w:r>
          </w:p>
        </w:tc>
        <w:tc>
          <w:tcPr>
            <w:tcW w:w="85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-2,4</w:t>
            </w:r>
          </w:p>
        </w:tc>
      </w:tr>
    </w:tbl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На конец 2004 года нагнетательный фонд по объекту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составляет 1 скважина.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Динамика нагнетательного фонда скважин на 1.01.2005 года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приведена ниже:</w:t>
      </w:r>
      <w:r w:rsidR="003338CA">
        <w:rPr>
          <w:sz w:val="28"/>
          <w:szCs w:val="28"/>
        </w:rPr>
        <w:t xml:space="preserve"> </w:t>
      </w:r>
    </w:p>
    <w:p w:rsidR="003338CA" w:rsidRDefault="003338CA" w:rsidP="003338CA">
      <w:pPr>
        <w:spacing w:line="360" w:lineRule="auto"/>
        <w:ind w:firstLine="709"/>
        <w:jc w:val="both"/>
        <w:rPr>
          <w:sz w:val="28"/>
          <w:szCs w:val="28"/>
        </w:rPr>
        <w:sectPr w:rsidR="003338CA" w:rsidSect="003338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Таблица 3 Динамика нагнетательного фонда скважин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476"/>
        <w:gridCol w:w="2019"/>
        <w:gridCol w:w="2019"/>
        <w:gridCol w:w="1126"/>
      </w:tblGrid>
      <w:tr w:rsidR="001F5F6E" w:rsidRPr="003338CA">
        <w:trPr>
          <w:jc w:val="center"/>
        </w:trPr>
        <w:tc>
          <w:tcPr>
            <w:tcW w:w="44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Категория</w:t>
            </w:r>
          </w:p>
        </w:tc>
        <w:tc>
          <w:tcPr>
            <w:tcW w:w="5164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Количество скважин</w:t>
            </w:r>
          </w:p>
        </w:tc>
      </w:tr>
      <w:tr w:rsidR="001F5F6E" w:rsidRPr="003338CA">
        <w:trPr>
          <w:trHeight w:val="425"/>
          <w:jc w:val="center"/>
        </w:trPr>
        <w:tc>
          <w:tcPr>
            <w:tcW w:w="4476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скважин</w:t>
            </w:r>
          </w:p>
        </w:tc>
        <w:tc>
          <w:tcPr>
            <w:tcW w:w="201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  <w:rPr>
                <w:lang w:val="en-US"/>
              </w:rPr>
            </w:pPr>
            <w:r w:rsidRPr="003338CA">
              <w:t>на 1.01.2004 г.</w:t>
            </w:r>
          </w:p>
        </w:tc>
        <w:tc>
          <w:tcPr>
            <w:tcW w:w="2019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на 1.01.2005 г.</w:t>
            </w:r>
          </w:p>
        </w:tc>
        <w:tc>
          <w:tcPr>
            <w:tcW w:w="1126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+,-</w:t>
            </w:r>
          </w:p>
        </w:tc>
      </w:tr>
      <w:tr w:rsidR="001F5F6E" w:rsidRPr="003338CA">
        <w:trPr>
          <w:trHeight w:val="520"/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Весь нагнетательный фонд 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а) скважины под закачкой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б) бездействующий фонд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в) работающие на нефть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г) пьезометрические 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jc w:val="center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д) в освоении</w:t>
            </w:r>
          </w:p>
        </w:tc>
        <w:tc>
          <w:tcPr>
            <w:tcW w:w="20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</w:tbl>
    <w:p w:rsidR="001F5F6E" w:rsidRPr="003338CA" w:rsidRDefault="001F5F6E" w:rsidP="003338CA">
      <w:pPr>
        <w:pStyle w:val="a3"/>
        <w:spacing w:line="360" w:lineRule="auto"/>
        <w:ind w:firstLine="709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Действующий фонд нагнетательных скважин составляет 1 скважина (№1009).</w:t>
      </w:r>
      <w:r w:rsidR="003338CA">
        <w:rPr>
          <w:sz w:val="28"/>
          <w:szCs w:val="28"/>
        </w:rPr>
        <w:t xml:space="preserve">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Прочие скважины.</w:t>
      </w:r>
      <w:r w:rsidR="003338CA">
        <w:rPr>
          <w:sz w:val="28"/>
          <w:szCs w:val="28"/>
        </w:rPr>
        <w:t xml:space="preserve">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К этой категории отнесены пьезометрические, ожидающие ликвидации, ликвидированные, поглотительные и консервированный фонд скважин.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На 1.01.2005 года фонд пьезометрических скважин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составляет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12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скважин. В отчетном году в этот фонд перешла из наблюдательного фонда скважина №1038, из пьезометрического фонда ушла в добычу 1 скважина.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Количество ликвидированных скважин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на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конец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отчетного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года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составляет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25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скважин,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 xml:space="preserve">как и в прошлом году. </w:t>
      </w:r>
    </w:p>
    <w:p w:rsidR="001F5F6E" w:rsidRPr="003338CA" w:rsidRDefault="001F5F6E" w:rsidP="003338C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По состоянию на 1.01.2005 г. в консервированном фонде скважин нет.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Добыча нефти за 2004 год по горизонту Д</w:t>
      </w:r>
      <w:r w:rsidRPr="003338CA">
        <w:rPr>
          <w:sz w:val="28"/>
          <w:szCs w:val="28"/>
          <w:vertAlign w:val="subscript"/>
        </w:rPr>
        <w:t>0</w:t>
      </w:r>
      <w:r w:rsidRPr="003338CA">
        <w:rPr>
          <w:sz w:val="28"/>
          <w:szCs w:val="28"/>
        </w:rPr>
        <w:t xml:space="preserve"> и 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 xml:space="preserve"> Бухарского месторождения планировалось добыть 27,934 тыс. тонн, фактически добыто 28,768 тыс. тонн.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Темп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выработки по объекту составил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1,45 %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от начальных извлекаемых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запасов и 1,65 % от текущих извлекаемых запасов.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отчетном году введена на нефть 1 новая скважина,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за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счет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чего получено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0,271 тыс. тонн нефти. Средний дебит нефти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новой скважины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составил 1,6 т/сут.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За счет ввода из бездействия 4 скважин добыто 0,932 тыс.тонн нефти. Средний дебит нефти одной введенной из бездействия скважины составил 1,3 т/сут, по жидкости – 8,6 т/сут.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За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2004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год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добыто: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ШГН - 13769 тонн нефти (47,9%),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ЭЦН -14999 (52,1%) .С начала разработки на 1.01.2005 года отобрано 269,547 тыс.тонн нефти или 13,6% от начальных извлекаемых запасов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За счет ввода из бездействия 4 скважин добыто 0,932 тыс.тонн нефти. Средний дебит нефти одной введенной из бездействия скважины составил 1,3 т/сут, по жидкости – 8,6 т/сут.</w:t>
      </w:r>
    </w:p>
    <w:p w:rsidR="001F5F6E" w:rsidRPr="003338CA" w:rsidRDefault="001F5F6E" w:rsidP="003338CA">
      <w:pPr>
        <w:pStyle w:val="1"/>
        <w:keepNext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38CA">
        <w:rPr>
          <w:rFonts w:ascii="Times New Roman" w:hAnsi="Times New Roman" w:cs="Times New Roman"/>
          <w:sz w:val="28"/>
          <w:szCs w:val="28"/>
        </w:rPr>
        <w:t>Закачка воды в 2003 году технологическая закачка</w:t>
      </w:r>
      <w:r w:rsidR="003338CA">
        <w:rPr>
          <w:rFonts w:ascii="Times New Roman" w:hAnsi="Times New Roman" w:cs="Times New Roman"/>
          <w:sz w:val="28"/>
          <w:szCs w:val="28"/>
        </w:rPr>
        <w:t xml:space="preserve"> </w:t>
      </w:r>
      <w:r w:rsidRPr="003338CA">
        <w:rPr>
          <w:rFonts w:ascii="Times New Roman" w:hAnsi="Times New Roman" w:cs="Times New Roman"/>
          <w:sz w:val="28"/>
          <w:szCs w:val="28"/>
        </w:rPr>
        <w:t>составила 29,186 тыс. м</w:t>
      </w:r>
      <w:r w:rsidRPr="003338C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3338CA">
        <w:rPr>
          <w:rFonts w:ascii="Times New Roman" w:hAnsi="Times New Roman" w:cs="Times New Roman"/>
          <w:sz w:val="28"/>
          <w:szCs w:val="28"/>
        </w:rPr>
        <w:t>. Годовой отбор жидкости в пластовых условиях компенсирован технологической закачкой на 14,2 %.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целом по горизонту Д</w:t>
      </w:r>
      <w:r w:rsidRPr="003338CA">
        <w:rPr>
          <w:sz w:val="28"/>
          <w:szCs w:val="28"/>
          <w:vertAlign w:val="subscript"/>
        </w:rPr>
        <w:t>0</w:t>
      </w:r>
      <w:r w:rsidRPr="003338CA">
        <w:rPr>
          <w:sz w:val="28"/>
          <w:szCs w:val="28"/>
        </w:rPr>
        <w:t>+Д</w:t>
      </w:r>
      <w:r w:rsidRPr="003338CA">
        <w:rPr>
          <w:sz w:val="28"/>
          <w:szCs w:val="28"/>
          <w:vertAlign w:val="subscript"/>
        </w:rPr>
        <w:t>1</w:t>
      </w:r>
      <w:r w:rsidRPr="003338CA">
        <w:rPr>
          <w:sz w:val="28"/>
          <w:szCs w:val="28"/>
        </w:rPr>
        <w:t xml:space="preserve"> на 1.01.2005 года работают с водой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25 скважин, все скважины обводнены пластовой водой.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По степени обводненности добываемой продукции обводненный фонд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скважин распределяется в таблице 4.</w:t>
      </w:r>
    </w:p>
    <w:p w:rsidR="003338CA" w:rsidRPr="00E32A72" w:rsidRDefault="003338CA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Таблица 4 Обводненость добываемой продукции.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"/>
        <w:gridCol w:w="4387"/>
        <w:gridCol w:w="8"/>
        <w:gridCol w:w="50"/>
        <w:gridCol w:w="2210"/>
        <w:gridCol w:w="8"/>
        <w:gridCol w:w="1976"/>
        <w:gridCol w:w="8"/>
        <w:gridCol w:w="852"/>
        <w:gridCol w:w="12"/>
      </w:tblGrid>
      <w:tr w:rsidR="001F5F6E" w:rsidRPr="003338CA">
        <w:trPr>
          <w:gridAfter w:val="1"/>
          <w:wAfter w:w="12" w:type="dxa"/>
          <w:jc w:val="center"/>
        </w:trPr>
        <w:tc>
          <w:tcPr>
            <w:tcW w:w="445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pStyle w:val="2"/>
              <w:keepNext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38CA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</w:p>
        </w:tc>
        <w:tc>
          <w:tcPr>
            <w:tcW w:w="5054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Количество скважин</w:t>
            </w:r>
          </w:p>
        </w:tc>
      </w:tr>
      <w:tr w:rsidR="001F5F6E" w:rsidRPr="003338CA">
        <w:trPr>
          <w:gridBefore w:val="1"/>
          <w:wBefore w:w="8" w:type="dxa"/>
          <w:jc w:val="center"/>
        </w:trPr>
        <w:tc>
          <w:tcPr>
            <w:tcW w:w="444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обводненности</w:t>
            </w:r>
          </w:p>
        </w:tc>
        <w:tc>
          <w:tcPr>
            <w:tcW w:w="221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на 1.01.2004 г.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на 1.01.2005 г.</w:t>
            </w:r>
          </w:p>
        </w:tc>
        <w:tc>
          <w:tcPr>
            <w:tcW w:w="86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+,-</w:t>
            </w:r>
          </w:p>
        </w:tc>
      </w:tr>
      <w:tr w:rsidR="001F5F6E" w:rsidRPr="003338CA">
        <w:trPr>
          <w:gridBefore w:val="1"/>
          <w:wBefore w:w="8" w:type="dxa"/>
          <w:jc w:val="center"/>
        </w:trPr>
        <w:tc>
          <w:tcPr>
            <w:tcW w:w="44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до 2%</w:t>
            </w:r>
          </w:p>
        </w:tc>
        <w:tc>
          <w:tcPr>
            <w:tcW w:w="2218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98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86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gridBefore w:val="1"/>
          <w:wBefore w:w="8" w:type="dxa"/>
          <w:jc w:val="center"/>
        </w:trPr>
        <w:tc>
          <w:tcPr>
            <w:tcW w:w="44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 – 20%</w:t>
            </w:r>
          </w:p>
        </w:tc>
        <w:tc>
          <w:tcPr>
            <w:tcW w:w="2218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198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86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-3</w:t>
            </w:r>
          </w:p>
        </w:tc>
      </w:tr>
      <w:tr w:rsidR="001F5F6E" w:rsidRPr="003338CA">
        <w:trPr>
          <w:gridBefore w:val="1"/>
          <w:wBefore w:w="8" w:type="dxa"/>
          <w:jc w:val="center"/>
        </w:trPr>
        <w:tc>
          <w:tcPr>
            <w:tcW w:w="44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20 – 50%</w:t>
            </w:r>
          </w:p>
        </w:tc>
        <w:tc>
          <w:tcPr>
            <w:tcW w:w="2218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98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</w:t>
            </w:r>
          </w:p>
        </w:tc>
        <w:tc>
          <w:tcPr>
            <w:tcW w:w="86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+3</w:t>
            </w:r>
          </w:p>
        </w:tc>
      </w:tr>
      <w:tr w:rsidR="001F5F6E" w:rsidRPr="003338CA">
        <w:trPr>
          <w:gridBefore w:val="1"/>
          <w:wBefore w:w="8" w:type="dxa"/>
          <w:jc w:val="center"/>
        </w:trPr>
        <w:tc>
          <w:tcPr>
            <w:tcW w:w="4445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50 – 90%</w:t>
            </w:r>
          </w:p>
        </w:tc>
        <w:tc>
          <w:tcPr>
            <w:tcW w:w="2218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9</w:t>
            </w:r>
          </w:p>
        </w:tc>
        <w:tc>
          <w:tcPr>
            <w:tcW w:w="198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9</w:t>
            </w:r>
          </w:p>
        </w:tc>
        <w:tc>
          <w:tcPr>
            <w:tcW w:w="864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gridAfter w:val="1"/>
          <w:wAfter w:w="12" w:type="dxa"/>
          <w:trHeight w:val="305"/>
          <w:jc w:val="center"/>
        </w:trPr>
        <w:tc>
          <w:tcPr>
            <w:tcW w:w="9507" w:type="dxa"/>
            <w:gridSpan w:val="9"/>
            <w:tcBorders>
              <w:bottom w:val="single" w:sz="6" w:space="0" w:color="auto"/>
            </w:tcBorders>
            <w:vAlign w:val="center"/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Продолжение таблицы 4</w:t>
            </w:r>
          </w:p>
        </w:tc>
      </w:tr>
      <w:tr w:rsidR="001F5F6E" w:rsidRPr="003338CA">
        <w:trPr>
          <w:gridAfter w:val="1"/>
          <w:wAfter w:w="12" w:type="dxa"/>
          <w:trHeight w:val="393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</w:tr>
      <w:tr w:rsidR="001F5F6E" w:rsidRPr="003338CA">
        <w:trPr>
          <w:gridAfter w:val="1"/>
          <w:wAfter w:w="12" w:type="dxa"/>
          <w:trHeight w:val="499"/>
          <w:jc w:val="center"/>
        </w:trPr>
        <w:tc>
          <w:tcPr>
            <w:tcW w:w="439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Больше 90%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7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</w:t>
            </w:r>
          </w:p>
        </w:tc>
        <w:tc>
          <w:tcPr>
            <w:tcW w:w="8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+4</w:t>
            </w:r>
          </w:p>
        </w:tc>
      </w:tr>
      <w:tr w:rsidR="001F5F6E" w:rsidRPr="003338CA">
        <w:trPr>
          <w:gridBefore w:val="1"/>
          <w:wBefore w:w="8" w:type="dxa"/>
          <w:jc w:val="center"/>
        </w:trPr>
        <w:tc>
          <w:tcPr>
            <w:tcW w:w="439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Всего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21</w:t>
            </w:r>
          </w:p>
        </w:tc>
        <w:tc>
          <w:tcPr>
            <w:tcW w:w="198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25</w:t>
            </w:r>
          </w:p>
        </w:tc>
        <w:tc>
          <w:tcPr>
            <w:tcW w:w="864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+4</w:t>
            </w:r>
          </w:p>
        </w:tc>
      </w:tr>
    </w:tbl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Состояние пластового давления.</w:t>
      </w:r>
    </w:p>
    <w:p w:rsidR="001F5F6E" w:rsidRPr="003338CA" w:rsidRDefault="001F5F6E" w:rsidP="003338CA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На 1.01.2005 года пластовое давление по объекту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в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зоне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отбора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составило 163,1 ат, против 164,2 ат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в прошлом году.</w:t>
      </w:r>
    </w:p>
    <w:p w:rsidR="001F5F6E" w:rsidRPr="003338CA" w:rsidRDefault="001F5F6E" w:rsidP="003338CA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Бобриковские отложения месторождения.</w:t>
      </w:r>
    </w:p>
    <w:p w:rsidR="001F5F6E" w:rsidRPr="003338CA" w:rsidRDefault="001F5F6E" w:rsidP="003338CA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1997 году введены в разработку отложения бобриковского горизонта.</w:t>
      </w:r>
    </w:p>
    <w:p w:rsidR="001F5F6E" w:rsidRPr="003338CA" w:rsidRDefault="001F5F6E" w:rsidP="003338CA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Фонд скважин на бобриковский горизонт, предусмотренный проектом опытно-промышленной эксплуатации и дополнительными документами, определен в количестве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25 единиц, в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том числе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добывающих - 20, резервных – 1, оценочных – 2, разведочных - 2.</w:t>
      </w:r>
    </w:p>
    <w:p w:rsidR="001F5F6E" w:rsidRPr="003338CA" w:rsidRDefault="001F5F6E" w:rsidP="003338CA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Плотность сетки при этом 16,0 га/скв.</w:t>
      </w:r>
    </w:p>
    <w:p w:rsidR="001F5F6E" w:rsidRPr="003338CA" w:rsidRDefault="001F5F6E" w:rsidP="003338CA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Фактически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на 1.01.2005 года пробурены 17 скважин, из них 13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добывающих, 2 разведочных, 2 оценочных.</w:t>
      </w:r>
    </w:p>
    <w:p w:rsidR="001F5F6E" w:rsidRPr="003338CA" w:rsidRDefault="001F5F6E" w:rsidP="003338CA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 Добывающий фонд на конец 2004 года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по объекту составил 23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скважины.</w:t>
      </w:r>
    </w:p>
    <w:p w:rsidR="001F5F6E" w:rsidRPr="003338CA" w:rsidRDefault="001F5F6E" w:rsidP="003338CA">
      <w:pPr>
        <w:tabs>
          <w:tab w:val="left" w:pos="-284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На 1.01.2005 года действующий фонд составляет 23 скважины. В 2004 году выведены из бездействия 2 скважины (№№1022,1029). В бездействующем фонде скважин нет.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Динамика добывающего фонда приведена в таблице 5.</w:t>
      </w:r>
    </w:p>
    <w:p w:rsidR="003338CA" w:rsidRPr="00E32A72" w:rsidRDefault="003338CA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Таблица 5 Динамика добывающего фонда.</w:t>
      </w:r>
    </w:p>
    <w:tbl>
      <w:tblPr>
        <w:tblW w:w="978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3402"/>
        <w:gridCol w:w="1985"/>
        <w:gridCol w:w="82"/>
        <w:gridCol w:w="2145"/>
        <w:gridCol w:w="41"/>
        <w:gridCol w:w="2127"/>
      </w:tblGrid>
      <w:tr w:rsidR="001F5F6E" w:rsidRPr="003338CA"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Категория</w:t>
            </w:r>
          </w:p>
        </w:tc>
        <w:tc>
          <w:tcPr>
            <w:tcW w:w="638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Количество скважин</w:t>
            </w:r>
          </w:p>
        </w:tc>
      </w:tr>
      <w:tr w:rsidR="001F5F6E" w:rsidRPr="003338CA">
        <w:trPr>
          <w:trHeight w:val="524"/>
        </w:trPr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скважин</w:t>
            </w:r>
          </w:p>
        </w:tc>
        <w:tc>
          <w:tcPr>
            <w:tcW w:w="206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 на 1.01.2004 г.</w:t>
            </w:r>
          </w:p>
        </w:tc>
        <w:tc>
          <w:tcPr>
            <w:tcW w:w="21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 на 1.01.2005 г.</w:t>
            </w:r>
          </w:p>
        </w:tc>
        <w:tc>
          <w:tcPr>
            <w:tcW w:w="21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+,-</w:t>
            </w:r>
          </w:p>
        </w:tc>
      </w:tr>
      <w:tr w:rsidR="001F5F6E" w:rsidRPr="003338CA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1. Добывающий фонд</w:t>
            </w:r>
          </w:p>
        </w:tc>
        <w:tc>
          <w:tcPr>
            <w:tcW w:w="2067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</w:t>
            </w:r>
          </w:p>
        </w:tc>
        <w:tc>
          <w:tcPr>
            <w:tcW w:w="214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</w:t>
            </w:r>
          </w:p>
        </w:tc>
        <w:tc>
          <w:tcPr>
            <w:tcW w:w="2168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 том числе:</w:t>
            </w:r>
            <w:r w:rsidR="003338CA" w:rsidRPr="003338CA">
              <w:t xml:space="preserve"> </w:t>
            </w:r>
            <w:r w:rsidRPr="003338CA">
              <w:t>фонт</w:t>
            </w:r>
          </w:p>
        </w:tc>
        <w:tc>
          <w:tcPr>
            <w:tcW w:w="2067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14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168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ЭЦН</w:t>
            </w:r>
          </w:p>
        </w:tc>
        <w:tc>
          <w:tcPr>
            <w:tcW w:w="2067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14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168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ШГН</w:t>
            </w:r>
          </w:p>
        </w:tc>
        <w:tc>
          <w:tcPr>
            <w:tcW w:w="2067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</w:t>
            </w:r>
          </w:p>
        </w:tc>
        <w:tc>
          <w:tcPr>
            <w:tcW w:w="214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</w:t>
            </w:r>
          </w:p>
        </w:tc>
        <w:tc>
          <w:tcPr>
            <w:tcW w:w="2168" w:type="dxa"/>
            <w:gridSpan w:val="2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trHeight w:val="330"/>
        </w:trPr>
        <w:tc>
          <w:tcPr>
            <w:tcW w:w="9782" w:type="dxa"/>
            <w:gridSpan w:val="6"/>
            <w:tcBorders>
              <w:bottom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Продолжение таблицы 5</w:t>
            </w:r>
          </w:p>
        </w:tc>
      </w:tr>
      <w:tr w:rsidR="001F5F6E" w:rsidRPr="003338CA">
        <w:trPr>
          <w:trHeight w:val="25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</w:tr>
      <w:tr w:rsidR="001F5F6E" w:rsidRPr="003338CA">
        <w:trPr>
          <w:trHeight w:val="64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2. Действующий фонд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21</w:t>
            </w:r>
          </w:p>
        </w:tc>
        <w:tc>
          <w:tcPr>
            <w:tcW w:w="2268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+2</w:t>
            </w:r>
          </w:p>
        </w:tc>
      </w:tr>
      <w:tr w:rsidR="001F5F6E" w:rsidRPr="003338CA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в том числе: фонт 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ЭЦН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ШГН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21</w:t>
            </w: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+2</w:t>
            </w:r>
          </w:p>
        </w:tc>
      </w:tr>
      <w:tr w:rsidR="001F5F6E" w:rsidRPr="003338CA">
        <w:tc>
          <w:tcPr>
            <w:tcW w:w="3402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Бездействующий фонд</w:t>
            </w:r>
          </w:p>
        </w:tc>
        <w:tc>
          <w:tcPr>
            <w:tcW w:w="1985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</w:t>
            </w:r>
          </w:p>
        </w:tc>
        <w:tc>
          <w:tcPr>
            <w:tcW w:w="2268" w:type="dxa"/>
            <w:gridSpan w:val="3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127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-2</w:t>
            </w:r>
          </w:p>
        </w:tc>
      </w:tr>
      <w:tr w:rsidR="001F5F6E" w:rsidRPr="003338CA">
        <w:tc>
          <w:tcPr>
            <w:tcW w:w="34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 xml:space="preserve">В освоении </w:t>
            </w:r>
          </w:p>
        </w:tc>
        <w:tc>
          <w:tcPr>
            <w:tcW w:w="1985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268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127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</w:tbl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Динамику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среднесуточного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дебита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одной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действующей скважины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можно проследить по таблице 6.</w:t>
      </w:r>
      <w:r w:rsidR="003338CA">
        <w:rPr>
          <w:sz w:val="28"/>
          <w:szCs w:val="28"/>
        </w:rPr>
        <w:t xml:space="preserve"> </w:t>
      </w:r>
    </w:p>
    <w:p w:rsidR="003338CA" w:rsidRDefault="003338CA" w:rsidP="003338CA">
      <w:pPr>
        <w:spacing w:line="360" w:lineRule="auto"/>
        <w:ind w:firstLine="709"/>
        <w:jc w:val="both"/>
        <w:rPr>
          <w:sz w:val="28"/>
          <w:szCs w:val="28"/>
        </w:rPr>
        <w:sectPr w:rsidR="003338CA" w:rsidSect="003338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Таблица 6 Дебит среднесуточный действующий скважины.</w:t>
      </w:r>
    </w:p>
    <w:tbl>
      <w:tblPr>
        <w:tblW w:w="9782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3403"/>
        <w:gridCol w:w="1134"/>
        <w:gridCol w:w="1134"/>
        <w:gridCol w:w="1134"/>
        <w:gridCol w:w="992"/>
        <w:gridCol w:w="992"/>
        <w:gridCol w:w="993"/>
      </w:tblGrid>
      <w:tr w:rsidR="001F5F6E" w:rsidRPr="003338CA"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</w:p>
        </w:tc>
        <w:tc>
          <w:tcPr>
            <w:tcW w:w="2268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на 1.01.2004 г.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на 01.2005 г.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+,-</w:t>
            </w:r>
          </w:p>
        </w:tc>
      </w:tr>
      <w:tr w:rsidR="001F5F6E" w:rsidRPr="003338CA">
        <w:trPr>
          <w:trHeight w:val="380"/>
        </w:trPr>
        <w:tc>
          <w:tcPr>
            <w:tcW w:w="340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Способ эксплуатации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нефть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жидк.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нефть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жидк.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нефть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жидк.</w:t>
            </w:r>
          </w:p>
        </w:tc>
      </w:tr>
      <w:tr w:rsidR="001F5F6E" w:rsidRPr="003338CA">
        <w:tc>
          <w:tcPr>
            <w:tcW w:w="340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Сред. дебит</w:t>
            </w:r>
            <w:r w:rsidRPr="003338CA">
              <w:t xml:space="preserve"> </w:t>
            </w:r>
            <w:r w:rsidR="001F5F6E" w:rsidRPr="003338CA">
              <w:t>1 скв.</w:t>
            </w:r>
            <w:r w:rsidRPr="003338CA">
              <w:t xml:space="preserve"> </w:t>
            </w:r>
            <w:r w:rsidR="001F5F6E" w:rsidRPr="003338CA">
              <w:t>т/сут.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13,5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4,4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11,6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-2,1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-1,9</w:t>
            </w:r>
          </w:p>
        </w:tc>
      </w:tr>
      <w:tr w:rsidR="001F5F6E" w:rsidRPr="003338CA"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Фонт.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rPr>
          <w:trHeight w:val="437"/>
        </w:trPr>
        <w:tc>
          <w:tcPr>
            <w:tcW w:w="3403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ЭЦН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134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992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993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c>
          <w:tcPr>
            <w:tcW w:w="3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ШГН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6,5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13,5</w:t>
            </w:r>
          </w:p>
        </w:tc>
        <w:tc>
          <w:tcPr>
            <w:tcW w:w="1134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4,4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11,6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-2,1</w:t>
            </w:r>
          </w:p>
        </w:tc>
        <w:tc>
          <w:tcPr>
            <w:tcW w:w="993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-1,9</w:t>
            </w:r>
          </w:p>
        </w:tc>
      </w:tr>
    </w:tbl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Прочие скважины.</w:t>
      </w:r>
      <w:r w:rsidR="003338CA">
        <w:rPr>
          <w:sz w:val="28"/>
          <w:szCs w:val="28"/>
        </w:rPr>
        <w:t xml:space="preserve">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К этой категории отнесены пьезометрические, ожидающие ликвидации, ликвидированные, поглотительные и консервированный фонд скважин.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На 1.01.2005 года в пьезометрическом фонде находится 1 скважина (№ 25490),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как в прошлом году.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В наблюдательном фонде также находится 1 скважина (№ 25489), как в прошлом году.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Количество ликвидированных скважин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на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конец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отчетного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года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составляет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2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 xml:space="preserve">скважины.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По состоянию на 1.01.2005 г. в консервированном фонде скважин нет.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За 2004 год по бобриковскому горизонту Бухарского месторождения планировалось добыть 39,884 тыс. тонн, фактически добыто 38,075 тыс. тонн.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Темп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выработки по объекту составил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2,95 %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от начальных извлекаемых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 xml:space="preserve">запасов и 3,27% от текущих извлекаемых запасов.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2004 году за счет ввода из бездействия 2 добывающих скважин получено 0,367 тыс.тонн нефти. Средний дебит нефти одной введенной из бездействия скважины составил 0,7 т/сут, по жидкости – 2,6 т/сут.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С начала разработки на 1.01.2005 года отобрано 163,089 тыс.тонн нефти или 12,7% от начальных извлекаемых запасов.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Обводненность на 1.01.2005 года составляет 61,9%. В 2004 году отобрано 50,408 тыс. тонн воды, водонефтяной фактор - 1,18.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целом по бобриковскому горизонту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на 1.01.2005 года работают с водой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23 скважины. Все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скважины обводнены пластовой водой.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По степени обводненности добываемой продукции обводненный фонд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скважин распределяется в таблице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7.</w:t>
      </w:r>
    </w:p>
    <w:p w:rsidR="003338CA" w:rsidRPr="00E32A72" w:rsidRDefault="003338CA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Таблица 7 Обводненость добываемой продукции</w:t>
      </w:r>
    </w:p>
    <w:tbl>
      <w:tblPr>
        <w:tblW w:w="0" w:type="auto"/>
        <w:tblInd w:w="276" w:type="dxa"/>
        <w:tblLayout w:type="fixed"/>
        <w:tblLook w:val="0000" w:firstRow="0" w:lastRow="0" w:firstColumn="0" w:lastColumn="0" w:noHBand="0" w:noVBand="0"/>
      </w:tblPr>
      <w:tblGrid>
        <w:gridCol w:w="3227"/>
        <w:gridCol w:w="2208"/>
        <w:gridCol w:w="2208"/>
        <w:gridCol w:w="1571"/>
      </w:tblGrid>
      <w:tr w:rsidR="001F5F6E" w:rsidRPr="003338CA">
        <w:tc>
          <w:tcPr>
            <w:tcW w:w="32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F5F6E" w:rsidRPr="003338CA" w:rsidRDefault="003338CA" w:rsidP="003338CA">
            <w:pPr>
              <w:spacing w:line="360" w:lineRule="auto"/>
            </w:pPr>
            <w:r w:rsidRPr="003338CA">
              <w:t xml:space="preserve"> </w:t>
            </w:r>
            <w:r w:rsidR="001F5F6E" w:rsidRPr="003338CA">
              <w:t>Степень</w:t>
            </w:r>
          </w:p>
        </w:tc>
        <w:tc>
          <w:tcPr>
            <w:tcW w:w="5987" w:type="dxa"/>
            <w:gridSpan w:val="3"/>
            <w:tcBorders>
              <w:top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pStyle w:val="1"/>
              <w:keepNext w:val="0"/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3338CA">
              <w:rPr>
                <w:rFonts w:ascii="Times New Roman" w:hAnsi="Times New Roman" w:cs="Times New Roman"/>
                <w:sz w:val="20"/>
                <w:szCs w:val="20"/>
              </w:rPr>
              <w:t>Количество скважин</w:t>
            </w:r>
          </w:p>
        </w:tc>
      </w:tr>
      <w:tr w:rsidR="001F5F6E" w:rsidRPr="003338CA">
        <w:tc>
          <w:tcPr>
            <w:tcW w:w="3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обводненности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на 1.01.2004 г.</w:t>
            </w:r>
          </w:p>
        </w:tc>
        <w:tc>
          <w:tcPr>
            <w:tcW w:w="220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на 1.01.2005 г.</w:t>
            </w:r>
          </w:p>
        </w:tc>
        <w:tc>
          <w:tcPr>
            <w:tcW w:w="157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+,-</w:t>
            </w:r>
          </w:p>
        </w:tc>
      </w:tr>
      <w:tr w:rsidR="001F5F6E" w:rsidRPr="003338CA"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до 2%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  <w:tc>
          <w:tcPr>
            <w:tcW w:w="1571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2 - 20%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6</w:t>
            </w:r>
          </w:p>
        </w:tc>
        <w:tc>
          <w:tcPr>
            <w:tcW w:w="1571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-2</w:t>
            </w:r>
          </w:p>
        </w:tc>
      </w:tr>
      <w:tr w:rsidR="001F5F6E" w:rsidRPr="003338CA"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20 - 50%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</w:t>
            </w:r>
          </w:p>
        </w:tc>
        <w:tc>
          <w:tcPr>
            <w:tcW w:w="1571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-</w:t>
            </w:r>
          </w:p>
        </w:tc>
      </w:tr>
      <w:tr w:rsidR="001F5F6E" w:rsidRPr="003338CA"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50 - 90%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5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8</w:t>
            </w:r>
          </w:p>
        </w:tc>
        <w:tc>
          <w:tcPr>
            <w:tcW w:w="1571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+3</w:t>
            </w:r>
          </w:p>
        </w:tc>
      </w:tr>
      <w:tr w:rsidR="001F5F6E" w:rsidRPr="003338CA">
        <w:tc>
          <w:tcPr>
            <w:tcW w:w="3227" w:type="dxa"/>
            <w:tcBorders>
              <w:left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больше 90%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3</w:t>
            </w:r>
          </w:p>
        </w:tc>
        <w:tc>
          <w:tcPr>
            <w:tcW w:w="2208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4</w:t>
            </w:r>
          </w:p>
        </w:tc>
        <w:tc>
          <w:tcPr>
            <w:tcW w:w="1571" w:type="dxa"/>
            <w:tcBorders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+4</w:t>
            </w:r>
          </w:p>
        </w:tc>
      </w:tr>
      <w:tr w:rsidR="001F5F6E" w:rsidRPr="003338CA">
        <w:tc>
          <w:tcPr>
            <w:tcW w:w="32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Всего</w:t>
            </w:r>
          </w:p>
        </w:tc>
        <w:tc>
          <w:tcPr>
            <w:tcW w:w="2208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21</w:t>
            </w:r>
          </w:p>
        </w:tc>
        <w:tc>
          <w:tcPr>
            <w:tcW w:w="2208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23</w:t>
            </w:r>
          </w:p>
        </w:tc>
        <w:tc>
          <w:tcPr>
            <w:tcW w:w="1571" w:type="dxa"/>
            <w:tcBorders>
              <w:bottom w:val="single" w:sz="6" w:space="0" w:color="auto"/>
              <w:right w:val="single" w:sz="6" w:space="0" w:color="auto"/>
            </w:tcBorders>
          </w:tcPr>
          <w:p w:rsidR="001F5F6E" w:rsidRPr="003338CA" w:rsidRDefault="001F5F6E" w:rsidP="003338CA">
            <w:pPr>
              <w:spacing w:line="360" w:lineRule="auto"/>
            </w:pPr>
            <w:r w:rsidRPr="003338CA">
              <w:t>+2</w:t>
            </w:r>
          </w:p>
        </w:tc>
      </w:tr>
    </w:tbl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На 1.01.2005 года пластовое давление по объекту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в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зоне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отбора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составило89,6 ат, против 88,5 ат в прошлом году.</w:t>
      </w:r>
      <w:r w:rsidR="003338CA">
        <w:rPr>
          <w:sz w:val="28"/>
          <w:szCs w:val="28"/>
        </w:rPr>
        <w:t xml:space="preserve"> </w:t>
      </w:r>
    </w:p>
    <w:p w:rsidR="00E32A72" w:rsidRDefault="00E32A72" w:rsidP="003338CA">
      <w:pPr>
        <w:spacing w:line="360" w:lineRule="auto"/>
        <w:ind w:firstLine="709"/>
        <w:jc w:val="both"/>
        <w:rPr>
          <w:sz w:val="28"/>
          <w:szCs w:val="28"/>
        </w:rPr>
        <w:sectPr w:rsidR="00E32A72" w:rsidSect="003338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5F6E" w:rsidRPr="00E32A72" w:rsidRDefault="001F5F6E" w:rsidP="00E32A7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E32A72">
        <w:rPr>
          <w:b/>
          <w:bCs/>
          <w:sz w:val="28"/>
          <w:szCs w:val="28"/>
        </w:rPr>
        <w:t>2 ОХРАНА ТРУДА И ПРОТИВОПОЖАРНАЯ ЗАЩИТА</w:t>
      </w:r>
    </w:p>
    <w:p w:rsidR="00E32A72" w:rsidRDefault="00E32A72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32A72" w:rsidRDefault="001F5F6E" w:rsidP="003338C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  <w:r w:rsidRPr="00E32A72">
        <w:rPr>
          <w:b/>
          <w:bCs/>
          <w:sz w:val="28"/>
          <w:szCs w:val="28"/>
        </w:rPr>
        <w:t xml:space="preserve">2.1 Профессиональные вредности и опасности в нефтяной </w:t>
      </w:r>
    </w:p>
    <w:p w:rsidR="001F5F6E" w:rsidRPr="00E32A72" w:rsidRDefault="001F5F6E" w:rsidP="003338CA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E32A72">
        <w:rPr>
          <w:b/>
          <w:bCs/>
          <w:sz w:val="28"/>
          <w:szCs w:val="28"/>
        </w:rPr>
        <w:t>промышленности</w:t>
      </w:r>
    </w:p>
    <w:p w:rsidR="00E32A72" w:rsidRDefault="00E32A72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составе загрязнителей содержатся многочисленные реагенты, катализаторы, ПАВ, ингибиторы, щелочи, кислоты, вещества, образующиеся при горении, химическом превращении и т.д..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Сырая нефть. Действие на организм паров сырой нефти непостоянно и зависит от ее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состава. Большое воздействие оказывает соприкосновение с жидкой нефтью кожи человека, вследствие чего могут возникать дерматиты или экземы.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Бензин поступает в организм через дыхательные пути, может заглатываться с воздухом и затем всасываться в кровь из желудочно-кишечного тракта. Бензин оказывает сильное действие на центральную неровную систему, кожный покров. Может вызвать острые и хронические отравления, иногда со смертельным исходом.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Окись углерода. СО - бесцветный газ без вкуса и запаха. Поступление СО в организм подчиняется закону диффузии газов. ПДК СО в воздухе рабочей зоны 20 мг/мЗ.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Двуокись углерода СО2-бесцветный газ, тяжелый, малореакционноспо-собный газ. При низких и умеренных температурах обладает слегка кисловатым запахом и вкусом.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Углекислый газ оказывает наркотическое действие на человека и может изменять его поведение, раздражать слизистые оболочки.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Предельные углеводороды, химически наиболее инертные среди органических соединений, они являются в то же время сильнейшими наркотиками. Действие их ослабляется ничтожной растворимостью в воде и крови, вследствие чего только при высоких концентрациях создается опасность отравления этими веществами.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Природный газ обычно рассматривается как безвредный газ. Действие его идентично действию предельных углеводородов. Главная опасность связана с асфиксией при недостатке кислорода.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Нефтяной крекинг-газ. Действует на человека, как смесь углеводородов. Сернистые соединения. Профессиональная вредность сернистых соединений определяется наиболее токсичными ингредиентами газовыделений из многосернистой нефти, природного газа и конденсата.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Сероводород. Бесцветный газ с неприятным запахом, ощутимым даже при незначительных концентрациях 1:1000000. Главное токсическое действие сероводорода проявляется не в раздражении слизистых оболочек, а в его общем действии на организм.</w:t>
      </w:r>
    </w:p>
    <w:p w:rsidR="001F5F6E" w:rsidRPr="003338CA" w:rsidRDefault="001F5F6E" w:rsidP="00333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Он действует на центральную нервную систему, окислительные процессы и кровь.</w:t>
      </w:r>
    </w:p>
    <w:p w:rsidR="00E32A72" w:rsidRDefault="00E32A72" w:rsidP="003338CA">
      <w:pPr>
        <w:shd w:val="clear" w:color="auto" w:fill="FFFFFF"/>
        <w:tabs>
          <w:tab w:val="left" w:pos="392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>2.2 Меры безопасности при производстве СКО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Работы по подготовке скважины к выполнению на ней требуемых технологическим процессом операций и выполнение этих операций должны проводиться по плану, утвержденному главным инженером НГДУ и под руководством ответственного лица.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К работам по приготовлению нефтекислотной и обратной эмульсий, применению их и соляной кислоты допускаются лица старше 18 лет, прошедшие мед.осмотр и обучение согласно «Положению о порядке обучения рабочих и инженерно-технических работников методам работы на предприятиях и организациях Миннефтепрома» и требованиям настоящего РД и только после проверки их знаний комиссией, назначенной приказом по предприятию.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Работники, занимающиеся приготовлением нефтекислотной и обратной эмульсией, применением их и соляной кислоты, д.б. обеспечены комплектом спецодежды, спецобувью.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Техническое обслуживание технических средств должно производиться согласно паспортам и инструкциям по эксплуатации на технические средства.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эксплуатации насосных и кислотных агрегатов, диспергатора необходимо руководствоваться требованиями «Правил устройства и безопасной эксплуатации сосудов, работающих под давлением».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наличии в продукции скважины сероводорода работы по промывке скважины выполнять только с применением обратной эмульсии, условная вязкость д.б. не ниже 250 с по ВП-5. Пи использовании других жидкостей должны применяться нейтрализаторы сероводорода.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плане по ОПЗ скважины указать объем, плотность и вязкость обратной и нефтекислотной эмульсий, основные операции и ответственных лиц по обработке.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течение всего времени работ с применением нефтекислотной и обратной эмульсий или товарной нефти на расстоянии менее 25 м от устья скважины и емкостей эмульсиями или нефтью запрещается: пользование открытым огнем (курение, электросварочные работы и др.); пребывание техники, не оборудованной искрогасителями на выхлопных трубах; пребывание посторонних людей.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До начала работ по обработке необходимо: подготовить и спланировать территорию вокруг устья скважины в радиусе 50 м для размещения агрегатов и другого оборудования; опрессовать устьевую арматуру; расположить спецтехнику и оборудование с наветренной стороны от устья скважины на расстоянии не менее 10 м; закачку производить только после опрессовки нагнетательной линии и диспергатора на 1,5-кратное давление от ожидаемого максимального с составлением акта; установить манометр для контроля за давлением в затрубном пространстве скважины.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Перед началом проведения работ ответственной за выполнение технологии обязан: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Ознакомить рабочих с планом работ и ликвидацией возможных осложнений провести инструктаж по технике безопасности, включающий все виды предусмотренных планом работ, с отметкой в «Журнале регистрации инструктажа на рабочем месте» и подписью инструктируемого;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Проверить состояние техники безопасности на рабочем месте, наличие и пригодность средств защиты.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проведении работ под давлением обслуживающий персонал и участ-ники обработки д.б. удалены за пределы опасной зоны.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При работе с нефтекислотной эмульсией и кислотой должны применяться индивидуальные средства защиты: противогаз марки «В», защитные очки, резиновые перчатки, фартук, обувь.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попадании нефтекислотной эмульсии на кожу рук и других частей тела эмульсию следует удалить с помощью ветоши, обмыть эти участки струей воды в течение 3-5 минут, вымыть с мылом и наложить на поверхность кожи водную кашицу чайной соды.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попадании кислоты на кожу человека немедленно обмыть этот участок струей воды в течение 3-5 минут и наложить на поверхность кожи кашицу чайной соды.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попадании кислоты и нефтекислотной эмульсии в глаза обильно промыть их чистой водой и немедленно направить пострадавшего в больницу.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проведении всех работ по выполнению данной технологии исключить разбрызгивание и разливание нефти, обратной и нефтекислотной эмульсий, кислоты, для чего: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Перед закачкой указанных жидкостей в скважину устьевая арматура, диспергатор, манифольд должны быть опрессованы пресной водой;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Подъем НКТ из скважины должен осуществляться с использованием устройства по очистке наружной поверхности труб;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устройство – «юбку» против разбрызгивания.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Обратная эмульсия или нефть, используемые в качестве продавочной и промывочной жидкостей, должны быть откачены в систему сбора нефти.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После закачки химреагентов до разборки нагнетательной системы агрегата должна прокачиваться инертная жидкость объемом, достаточным для промывки нагнетательной системы. Сброс жидкости после промывки должен производиться в сборную емкость; из емкости жидкость вывозится в пункты утилизации технологических жидкостей.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>2.3 Обеспечение пожарной безопасности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испытаниях необходимо руководствоваться «Правилами безопасности в нефтяной и газовой промышленности», утвержденными Госгортехнадзором России 14.12.92 г., М., НПО ОБТ, 1993 г., «Правилами пожарной безопасности в нефтяной промышленности», ППБО 85, «Недра», 1987 г. и другими руководящими документами в нефтяной и газовой промышленности.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Закачка рабочих агентов в пласт осуществляется подготовленной бригадой под руководством ответственного лица из числа ИТР, назначенного приказом по предприятию, производящему работы. До проведения закачки д.б. разработаны план производства работ на конкретной скважине и план ликвидации возможных аварий, утвержденные главным инженером предприятия.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Ответственный за закачку реагентов обязан: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Знать инструкцию по технике безопасности;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Ознакомить исполнителей с характером работ, мерами предосторожности, расположением оборудования и режимом его работы;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Произвести проверку применяемого оборудования;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Не допускать расстановку агрегатов, автоцистерны и спецоборудования под действующими линиями электропередач;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Обеспечить место работ средствами пожаротушения (огнетушители, кошма, песок).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Работы должны проводиться в светлое время суток или при освещении 20 люкс.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Технические средства, используемые для подготовки и закачки рабочих агентов, должны соответствовать требованиям ГОСТ 12.2.003-74,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ОСТ 39064-74, РД 39-32-617-81. Не допускается использование неисправных технических средств.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Передвижное оборудование и спецтехника должны располагаться с наветренной стороны на расстоянии не менее 20 м от скважины на площадке с уклоном не более 3</w:t>
      </w:r>
      <w:r w:rsidRPr="003338CA">
        <w:rPr>
          <w:sz w:val="28"/>
          <w:szCs w:val="28"/>
          <w:vertAlign w:val="superscript"/>
        </w:rPr>
        <w:t>0</w:t>
      </w:r>
      <w:r w:rsidRPr="003338CA">
        <w:rPr>
          <w:sz w:val="28"/>
          <w:szCs w:val="28"/>
        </w:rPr>
        <w:t xml:space="preserve"> и оборудоваться искрогасителями.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Все временные трубопроводы д.б. надежно закреплены и защищены от механических повреждений.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возникновении загорания применяют песок, асбестовое одеяло, пенные и углекислотные огнетушители.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работе с химреагентами необходимо пользоваться спецодеждой, защитными очками, резиновыми сапогами, перчатками из кислотостойкой резины и фартуками из кислотостойкой ткани, респираторами РИГ-673 в соответствии с действующими типовыми нормами. При работе в замкнутом помещении, без тяги или при сильном испарении химреагентов необходимо использование противогаза марки БКФ (ГОСТ 12.4.121-85).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Обслуживающий персонал, работающий с химреагентами, должен до начала работ пройти специнструктаж, а также подвергаться предварительному и периодическим медицинским осмотрам.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При появлении признаков отравления (головной боли, головокружения, тошноты, потери аппетита и сна) следует обратиться к руководителю работ и врачу.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Категорически запрещается принимать реагенты для нужд, не связанных с их прямой целью.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зоне работы с химреагентами запрещается хранение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и прием пищи и воды на расстоянии не менее 30 м.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Категорически запрещается попадание химреагентов в водоемы, канализационные системы, почву.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С целью исключения попадания химреагента в воздух рабочей зоны требуется обеспечить необходимую герметичность емкостей, оборудования, коммуникаций. 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numPr>
          <w:ilvl w:val="1"/>
          <w:numId w:val="1"/>
        </w:numPr>
        <w:spacing w:after="0" w:line="360" w:lineRule="auto"/>
        <w:ind w:left="0" w:firstLine="709"/>
        <w:jc w:val="both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 xml:space="preserve"> Выбор безопасного оборудования при СКО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Режим работы агрегата выбирают таким образом, чтобы давление, создаваемое насосом, было достаточно для продавки раствора в пласт при максимально возможной его подаче. В таблице 1 приведены характеристики агрегата Азинмаш –30А.</w:t>
      </w:r>
    </w:p>
    <w:p w:rsidR="003338CA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Таблица 1 - Техническая характеристика Азинмаш – 30А </w:t>
      </w:r>
    </w:p>
    <w:tbl>
      <w:tblPr>
        <w:tblW w:w="98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3317"/>
        <w:gridCol w:w="3023"/>
      </w:tblGrid>
      <w:tr w:rsidR="001F5F6E" w:rsidRPr="003338CA">
        <w:trPr>
          <w:cantSplit/>
          <w:trHeight w:hRule="exact" w:val="537"/>
        </w:trPr>
        <w:tc>
          <w:tcPr>
            <w:tcW w:w="3492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</w:pPr>
            <w:r w:rsidRPr="003338CA">
              <w:t>Скорость</w:t>
            </w:r>
          </w:p>
        </w:tc>
        <w:tc>
          <w:tcPr>
            <w:tcW w:w="3317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</w:pPr>
            <w:r w:rsidRPr="003338CA">
              <w:t>Подача, л/с</w:t>
            </w:r>
          </w:p>
        </w:tc>
        <w:tc>
          <w:tcPr>
            <w:tcW w:w="3023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</w:pPr>
            <w:r w:rsidRPr="003338CA">
              <w:t>Давление, МПа</w:t>
            </w:r>
          </w:p>
        </w:tc>
      </w:tr>
      <w:tr w:rsidR="001F5F6E" w:rsidRPr="003338CA">
        <w:trPr>
          <w:cantSplit/>
          <w:trHeight w:hRule="exact" w:val="537"/>
        </w:trPr>
        <w:tc>
          <w:tcPr>
            <w:tcW w:w="3492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  <w:rPr>
                <w:lang w:val="en-US"/>
              </w:rPr>
            </w:pPr>
            <w:r w:rsidRPr="003338CA">
              <w:rPr>
                <w:lang w:val="en-US"/>
              </w:rPr>
              <w:t>II</w:t>
            </w:r>
          </w:p>
        </w:tc>
        <w:tc>
          <w:tcPr>
            <w:tcW w:w="3317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</w:pPr>
            <w:r w:rsidRPr="003338CA">
              <w:t>3,60</w:t>
            </w:r>
          </w:p>
        </w:tc>
        <w:tc>
          <w:tcPr>
            <w:tcW w:w="3023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</w:pPr>
            <w:r w:rsidRPr="003338CA">
              <w:t>33,2</w:t>
            </w:r>
          </w:p>
        </w:tc>
      </w:tr>
      <w:tr w:rsidR="001F5F6E" w:rsidRPr="003338CA">
        <w:trPr>
          <w:cantSplit/>
          <w:trHeight w:hRule="exact" w:val="537"/>
        </w:trPr>
        <w:tc>
          <w:tcPr>
            <w:tcW w:w="3492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  <w:rPr>
                <w:lang w:val="en-US"/>
              </w:rPr>
            </w:pPr>
            <w:r w:rsidRPr="003338CA">
              <w:rPr>
                <w:lang w:val="en-US"/>
              </w:rPr>
              <w:t>III</w:t>
            </w:r>
          </w:p>
        </w:tc>
        <w:tc>
          <w:tcPr>
            <w:tcW w:w="3317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</w:pPr>
            <w:r w:rsidRPr="003338CA">
              <w:t>6,85</w:t>
            </w:r>
          </w:p>
        </w:tc>
        <w:tc>
          <w:tcPr>
            <w:tcW w:w="3023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</w:pPr>
            <w:r w:rsidRPr="003338CA">
              <w:t>17,4</w:t>
            </w:r>
          </w:p>
        </w:tc>
      </w:tr>
      <w:tr w:rsidR="001F5F6E" w:rsidRPr="003338CA">
        <w:trPr>
          <w:cantSplit/>
          <w:trHeight w:hRule="exact" w:val="537"/>
        </w:trPr>
        <w:tc>
          <w:tcPr>
            <w:tcW w:w="3492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  <w:rPr>
                <w:lang w:val="en-US"/>
              </w:rPr>
            </w:pPr>
            <w:r w:rsidRPr="003338CA">
              <w:rPr>
                <w:lang w:val="en-US"/>
              </w:rPr>
              <w:t>IV</w:t>
            </w:r>
          </w:p>
        </w:tc>
        <w:tc>
          <w:tcPr>
            <w:tcW w:w="3317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</w:pPr>
            <w:r w:rsidRPr="003338CA">
              <w:t>12,22</w:t>
            </w:r>
          </w:p>
        </w:tc>
        <w:tc>
          <w:tcPr>
            <w:tcW w:w="3023" w:type="dxa"/>
            <w:vAlign w:val="center"/>
          </w:tcPr>
          <w:p w:rsidR="001F5F6E" w:rsidRPr="003338CA" w:rsidRDefault="001F5F6E" w:rsidP="003338CA">
            <w:pPr>
              <w:pStyle w:val="21"/>
              <w:spacing w:after="0" w:line="360" w:lineRule="auto"/>
            </w:pPr>
            <w:r w:rsidRPr="003338CA">
              <w:t>9,7</w:t>
            </w:r>
          </w:p>
        </w:tc>
      </w:tr>
      <w:tr w:rsidR="001F5F6E" w:rsidRPr="003338CA">
        <w:trPr>
          <w:cantSplit/>
          <w:trHeight w:hRule="exact" w:val="537"/>
        </w:trPr>
        <w:tc>
          <w:tcPr>
            <w:tcW w:w="3492" w:type="dxa"/>
            <w:vAlign w:val="center"/>
          </w:tcPr>
          <w:p w:rsidR="001F5F6E" w:rsidRPr="003338CA" w:rsidRDefault="003338CA" w:rsidP="003338CA">
            <w:pPr>
              <w:pStyle w:val="21"/>
              <w:spacing w:after="0" w:line="360" w:lineRule="auto"/>
              <w:rPr>
                <w:lang w:val="en-US"/>
              </w:rPr>
            </w:pPr>
            <w:r w:rsidRPr="003338CA">
              <w:t xml:space="preserve"> </w:t>
            </w:r>
            <w:r w:rsidR="001F5F6E" w:rsidRPr="003338CA">
              <w:rPr>
                <w:lang w:val="en-US"/>
              </w:rPr>
              <w:t>V</w:t>
            </w:r>
          </w:p>
        </w:tc>
        <w:tc>
          <w:tcPr>
            <w:tcW w:w="3317" w:type="dxa"/>
            <w:vAlign w:val="center"/>
          </w:tcPr>
          <w:p w:rsidR="001F5F6E" w:rsidRPr="003338CA" w:rsidRDefault="003338CA" w:rsidP="003338CA">
            <w:pPr>
              <w:pStyle w:val="21"/>
              <w:spacing w:after="0" w:line="360" w:lineRule="auto"/>
            </w:pPr>
            <w:r w:rsidRPr="003338CA">
              <w:t xml:space="preserve"> </w:t>
            </w:r>
            <w:r w:rsidR="001F5F6E" w:rsidRPr="003338CA">
              <w:rPr>
                <w:lang w:val="en-US"/>
              </w:rPr>
              <w:t>15</w:t>
            </w:r>
            <w:r w:rsidR="001F5F6E" w:rsidRPr="003338CA">
              <w:t>,72</w:t>
            </w:r>
          </w:p>
        </w:tc>
        <w:tc>
          <w:tcPr>
            <w:tcW w:w="3023" w:type="dxa"/>
            <w:vAlign w:val="center"/>
          </w:tcPr>
          <w:p w:rsidR="001F5F6E" w:rsidRPr="003338CA" w:rsidRDefault="003338CA" w:rsidP="003338CA">
            <w:pPr>
              <w:pStyle w:val="21"/>
              <w:spacing w:after="0" w:line="360" w:lineRule="auto"/>
            </w:pPr>
            <w:r w:rsidRPr="003338CA">
              <w:t xml:space="preserve"> </w:t>
            </w:r>
            <w:r w:rsidR="001F5F6E" w:rsidRPr="003338CA">
              <w:t>7,6</w:t>
            </w:r>
          </w:p>
        </w:tc>
      </w:tr>
    </w:tbl>
    <w:p w:rsidR="003338CA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 Определим необходимое давление на выкиде насоса при закачке в скважину жидкости с расходом </w:t>
      </w:r>
      <w:r w:rsidRPr="003338CA">
        <w:rPr>
          <w:sz w:val="28"/>
          <w:szCs w:val="28"/>
          <w:lang w:val="en-US"/>
        </w:rPr>
        <w:t>q</w:t>
      </w:r>
      <w:r w:rsidRPr="003338CA">
        <w:rPr>
          <w:sz w:val="28"/>
          <w:szCs w:val="28"/>
        </w:rPr>
        <w:t xml:space="preserve"> = 6,85 л/с по формуле, приведенной в [5]: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вн</w:t>
      </w:r>
      <w:r w:rsidRPr="003338CA">
        <w:rPr>
          <w:sz w:val="28"/>
          <w:szCs w:val="28"/>
        </w:rPr>
        <w:t xml:space="preserve"> = Р</w:t>
      </w:r>
      <w:r w:rsidRPr="003338CA">
        <w:rPr>
          <w:sz w:val="28"/>
          <w:szCs w:val="28"/>
          <w:vertAlign w:val="subscript"/>
        </w:rPr>
        <w:t>заб</w:t>
      </w:r>
      <w:r w:rsidRPr="003338CA">
        <w:rPr>
          <w:sz w:val="28"/>
          <w:szCs w:val="28"/>
        </w:rPr>
        <w:t xml:space="preserve"> – Р</w:t>
      </w:r>
      <w:r w:rsidRPr="003338CA">
        <w:rPr>
          <w:sz w:val="28"/>
          <w:szCs w:val="28"/>
          <w:vertAlign w:val="subscript"/>
        </w:rPr>
        <w:t>ж</w:t>
      </w:r>
      <w:r w:rsidRPr="003338CA">
        <w:rPr>
          <w:sz w:val="28"/>
          <w:szCs w:val="28"/>
        </w:rPr>
        <w:t xml:space="preserve"> + Р</w:t>
      </w:r>
      <w:r w:rsidRPr="003338CA">
        <w:rPr>
          <w:sz w:val="28"/>
          <w:szCs w:val="28"/>
          <w:vertAlign w:val="subscript"/>
        </w:rPr>
        <w:t>т</w:t>
      </w:r>
      <w:r w:rsidRPr="003338CA">
        <w:rPr>
          <w:sz w:val="28"/>
          <w:szCs w:val="28"/>
        </w:rPr>
        <w:t>,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где Р</w:t>
      </w:r>
      <w:r w:rsidRPr="003338CA">
        <w:rPr>
          <w:sz w:val="28"/>
          <w:szCs w:val="28"/>
          <w:vertAlign w:val="subscript"/>
        </w:rPr>
        <w:t>заб</w:t>
      </w:r>
      <w:r w:rsidRPr="003338CA">
        <w:rPr>
          <w:sz w:val="28"/>
          <w:szCs w:val="28"/>
        </w:rPr>
        <w:t xml:space="preserve"> – максимальное забойное давление при продавке раствора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заб</w:t>
      </w:r>
      <w:r w:rsidRPr="003338CA">
        <w:rPr>
          <w:sz w:val="28"/>
          <w:szCs w:val="28"/>
        </w:rPr>
        <w:t xml:space="preserve"> = Р</w:t>
      </w:r>
      <w:r w:rsidRPr="003338CA">
        <w:rPr>
          <w:sz w:val="28"/>
          <w:szCs w:val="28"/>
          <w:vertAlign w:val="subscript"/>
        </w:rPr>
        <w:t>пл</w:t>
      </w:r>
      <w:r w:rsidRPr="003338CA">
        <w:rPr>
          <w:sz w:val="28"/>
          <w:szCs w:val="28"/>
        </w:rPr>
        <w:t xml:space="preserve"> + </w:t>
      </w:r>
      <w:r w:rsidRPr="003338CA">
        <w:rPr>
          <w:sz w:val="28"/>
          <w:szCs w:val="28"/>
          <w:lang w:val="en-US"/>
        </w:rPr>
        <w:t>q</w:t>
      </w:r>
      <w:r w:rsidRPr="003338CA">
        <w:rPr>
          <w:sz w:val="28"/>
          <w:szCs w:val="28"/>
        </w:rPr>
        <w:t>*10</w:t>
      </w:r>
      <w:r w:rsidRPr="003338CA">
        <w:rPr>
          <w:sz w:val="28"/>
          <w:szCs w:val="28"/>
          <w:vertAlign w:val="superscript"/>
        </w:rPr>
        <w:t>-3</w:t>
      </w:r>
      <w:r w:rsidRPr="003338CA">
        <w:rPr>
          <w:sz w:val="28"/>
          <w:szCs w:val="28"/>
        </w:rPr>
        <w:t>*86400/К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заб</w:t>
      </w:r>
      <w:r w:rsidRPr="003338CA">
        <w:rPr>
          <w:sz w:val="28"/>
          <w:szCs w:val="28"/>
        </w:rPr>
        <w:t xml:space="preserve"> = 15 + 6,85*10</w:t>
      </w:r>
      <w:r w:rsidRPr="003338CA">
        <w:rPr>
          <w:sz w:val="28"/>
          <w:szCs w:val="28"/>
          <w:vertAlign w:val="superscript"/>
        </w:rPr>
        <w:t>-3</w:t>
      </w:r>
      <w:r w:rsidRPr="003338CA">
        <w:rPr>
          <w:sz w:val="28"/>
          <w:szCs w:val="28"/>
        </w:rPr>
        <w:t>*86400/ 51,3 = 26,7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МПа,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ж</w:t>
      </w:r>
      <w:r w:rsidRPr="003338CA">
        <w:rPr>
          <w:sz w:val="28"/>
          <w:szCs w:val="28"/>
        </w:rPr>
        <w:t xml:space="preserve"> – гидростатическое давление столба продавочной жидкости (вода с плотностью 1000 кг/м</w:t>
      </w:r>
      <w:r w:rsidRPr="003338CA">
        <w:rPr>
          <w:sz w:val="28"/>
          <w:szCs w:val="28"/>
          <w:vertAlign w:val="superscript"/>
        </w:rPr>
        <w:t>3</w:t>
      </w:r>
      <w:r w:rsidRPr="003338CA">
        <w:rPr>
          <w:sz w:val="28"/>
          <w:szCs w:val="28"/>
        </w:rPr>
        <w:t>)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ж</w:t>
      </w:r>
      <w:r w:rsidRPr="003338CA">
        <w:rPr>
          <w:sz w:val="28"/>
          <w:szCs w:val="28"/>
        </w:rPr>
        <w:t xml:space="preserve"> = ρgL 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ж</w:t>
      </w:r>
      <w:r w:rsidRPr="003338CA">
        <w:rPr>
          <w:sz w:val="28"/>
          <w:szCs w:val="28"/>
        </w:rPr>
        <w:t xml:space="preserve"> = 1000*9,81*1280*10</w:t>
      </w:r>
      <w:r w:rsidRPr="003338CA">
        <w:rPr>
          <w:sz w:val="28"/>
          <w:szCs w:val="28"/>
          <w:vertAlign w:val="superscript"/>
        </w:rPr>
        <w:t>-6</w:t>
      </w:r>
      <w:r w:rsidRPr="003338CA">
        <w:rPr>
          <w:sz w:val="28"/>
          <w:szCs w:val="28"/>
        </w:rPr>
        <w:t xml:space="preserve"> = 12,56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>МПа,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т</w:t>
      </w:r>
      <w:r w:rsidRPr="003338CA">
        <w:rPr>
          <w:sz w:val="28"/>
          <w:szCs w:val="28"/>
        </w:rPr>
        <w:t xml:space="preserve"> – потери давления на трение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т</w:t>
      </w:r>
      <w:r w:rsidRPr="003338CA">
        <w:rPr>
          <w:sz w:val="28"/>
          <w:szCs w:val="28"/>
        </w:rPr>
        <w:t xml:space="preserve"> = λυ</w:t>
      </w:r>
      <w:r w:rsidRPr="003338CA">
        <w:rPr>
          <w:sz w:val="28"/>
          <w:szCs w:val="28"/>
          <w:vertAlign w:val="superscript"/>
        </w:rPr>
        <w:t>2</w:t>
      </w:r>
      <w:r w:rsidRPr="003338CA">
        <w:rPr>
          <w:sz w:val="28"/>
          <w:szCs w:val="28"/>
          <w:lang w:val="en-US"/>
        </w:rPr>
        <w:t>L</w:t>
      </w:r>
      <w:r w:rsidRPr="003338CA">
        <w:rPr>
          <w:sz w:val="28"/>
          <w:szCs w:val="28"/>
        </w:rPr>
        <w:t>ρ/ (2</w:t>
      </w:r>
      <w:r w:rsidRPr="003338CA">
        <w:rPr>
          <w:sz w:val="28"/>
          <w:szCs w:val="28"/>
          <w:lang w:val="en-US"/>
        </w:rPr>
        <w:t>d</w:t>
      </w:r>
      <w:r w:rsidRPr="003338CA">
        <w:rPr>
          <w:sz w:val="28"/>
          <w:szCs w:val="28"/>
        </w:rPr>
        <w:t>),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где υ – скорость движения жидкости по трубам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υ = </w:t>
      </w:r>
      <w:r w:rsidRPr="003338CA">
        <w:rPr>
          <w:sz w:val="28"/>
          <w:szCs w:val="28"/>
          <w:lang w:val="en-US"/>
        </w:rPr>
        <w:t>q</w:t>
      </w:r>
      <w:r w:rsidRPr="003338CA">
        <w:rPr>
          <w:sz w:val="28"/>
          <w:szCs w:val="28"/>
        </w:rPr>
        <w:t>*10</w:t>
      </w:r>
      <w:r w:rsidRPr="003338CA">
        <w:rPr>
          <w:sz w:val="28"/>
          <w:szCs w:val="28"/>
          <w:vertAlign w:val="superscript"/>
        </w:rPr>
        <w:t>-3</w:t>
      </w:r>
      <w:r w:rsidRPr="003338CA">
        <w:rPr>
          <w:sz w:val="28"/>
          <w:szCs w:val="28"/>
        </w:rPr>
        <w:t>/ (0,785</w:t>
      </w:r>
      <w:r w:rsidRPr="003338CA">
        <w:rPr>
          <w:sz w:val="28"/>
          <w:szCs w:val="28"/>
          <w:lang w:val="en-US"/>
        </w:rPr>
        <w:t>d</w:t>
      </w:r>
      <w:r w:rsidRPr="003338CA">
        <w:rPr>
          <w:sz w:val="28"/>
          <w:szCs w:val="28"/>
          <w:vertAlign w:val="superscript"/>
        </w:rPr>
        <w:t>2</w:t>
      </w:r>
      <w:r w:rsidRPr="003338CA">
        <w:rPr>
          <w:sz w:val="28"/>
          <w:szCs w:val="28"/>
        </w:rPr>
        <w:t>)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υ = 14,6*10</w:t>
      </w:r>
      <w:r w:rsidRPr="003338CA">
        <w:rPr>
          <w:sz w:val="28"/>
          <w:szCs w:val="28"/>
          <w:vertAlign w:val="superscript"/>
        </w:rPr>
        <w:t>-3</w:t>
      </w:r>
      <w:r w:rsidRPr="003338CA">
        <w:rPr>
          <w:sz w:val="28"/>
          <w:szCs w:val="28"/>
        </w:rPr>
        <w:t>/ (0,785*0,073</w:t>
      </w:r>
      <w:r w:rsidRPr="003338CA">
        <w:rPr>
          <w:sz w:val="28"/>
          <w:szCs w:val="28"/>
          <w:vertAlign w:val="superscript"/>
        </w:rPr>
        <w:t>2</w:t>
      </w:r>
      <w:r w:rsidRPr="003338CA">
        <w:rPr>
          <w:sz w:val="28"/>
          <w:szCs w:val="28"/>
        </w:rPr>
        <w:t>) = 3,49 м/с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λ – коэффициент гидравлического сопротивления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λ = 0,3164/ </w:t>
      </w:r>
      <w:r w:rsidRPr="003338CA">
        <w:rPr>
          <w:sz w:val="28"/>
          <w:szCs w:val="28"/>
          <w:lang w:val="en-US"/>
        </w:rPr>
        <w:t>Re</w:t>
      </w:r>
      <w:r w:rsidRPr="003338CA">
        <w:rPr>
          <w:sz w:val="28"/>
          <w:szCs w:val="28"/>
          <w:vertAlign w:val="superscript"/>
        </w:rPr>
        <w:t>0,25</w:t>
      </w:r>
      <w:r w:rsidRPr="003338CA">
        <w:rPr>
          <w:sz w:val="28"/>
          <w:szCs w:val="28"/>
        </w:rPr>
        <w:t>,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  <w:lang w:val="en-US"/>
        </w:rPr>
        <w:t>Re</w:t>
      </w:r>
      <w:r w:rsidRPr="003338CA">
        <w:rPr>
          <w:sz w:val="28"/>
          <w:szCs w:val="28"/>
        </w:rPr>
        <w:t xml:space="preserve"> – число Рейнольдса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  <w:lang w:val="en-US"/>
        </w:rPr>
        <w:t>Re</w:t>
      </w:r>
      <w:r w:rsidRPr="003338CA">
        <w:rPr>
          <w:sz w:val="28"/>
          <w:szCs w:val="28"/>
        </w:rPr>
        <w:t xml:space="preserve"> = υ</w:t>
      </w:r>
      <w:r w:rsidRPr="003338CA">
        <w:rPr>
          <w:sz w:val="28"/>
          <w:szCs w:val="28"/>
          <w:lang w:val="en-US"/>
        </w:rPr>
        <w:t>d</w:t>
      </w:r>
      <w:r w:rsidRPr="003338CA">
        <w:rPr>
          <w:sz w:val="28"/>
          <w:szCs w:val="28"/>
        </w:rPr>
        <w:t>ρ / μ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  <w:lang w:val="en-US"/>
        </w:rPr>
        <w:t>Re</w:t>
      </w:r>
      <w:r w:rsidRPr="003338CA">
        <w:rPr>
          <w:sz w:val="28"/>
          <w:szCs w:val="28"/>
        </w:rPr>
        <w:t xml:space="preserve"> = 3,49*0,073*940/(23*10</w:t>
      </w:r>
      <w:r w:rsidRPr="003338CA">
        <w:rPr>
          <w:sz w:val="28"/>
          <w:szCs w:val="28"/>
          <w:vertAlign w:val="superscript"/>
        </w:rPr>
        <w:t>-3</w:t>
      </w:r>
      <w:r w:rsidRPr="003338CA">
        <w:rPr>
          <w:sz w:val="28"/>
          <w:szCs w:val="28"/>
        </w:rPr>
        <w:t>) = 10412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μ – динамическая вязкость воды, равная 6,6 мПа*с.</w:t>
      </w: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Отсюда,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λ = 0,3164/ 34741 </w:t>
      </w:r>
      <w:r w:rsidRPr="003338CA">
        <w:rPr>
          <w:sz w:val="28"/>
          <w:szCs w:val="28"/>
          <w:vertAlign w:val="superscript"/>
        </w:rPr>
        <w:t xml:space="preserve">0,25 </w:t>
      </w:r>
      <w:r w:rsidRPr="003338CA">
        <w:rPr>
          <w:sz w:val="28"/>
          <w:szCs w:val="28"/>
        </w:rPr>
        <w:t xml:space="preserve">= 0,0313, 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т</w:t>
      </w:r>
      <w:r w:rsidRPr="003338CA">
        <w:rPr>
          <w:sz w:val="28"/>
          <w:szCs w:val="28"/>
        </w:rPr>
        <w:t xml:space="preserve"> = 0,0313*3,49 </w:t>
      </w:r>
      <w:r w:rsidRPr="003338CA">
        <w:rPr>
          <w:sz w:val="28"/>
          <w:szCs w:val="28"/>
          <w:vertAlign w:val="superscript"/>
        </w:rPr>
        <w:t xml:space="preserve">2 </w:t>
      </w:r>
      <w:r w:rsidRPr="003338CA">
        <w:rPr>
          <w:sz w:val="28"/>
          <w:szCs w:val="28"/>
        </w:rPr>
        <w:t>* 1280*940*10</w:t>
      </w:r>
      <w:r w:rsidRPr="003338CA">
        <w:rPr>
          <w:sz w:val="28"/>
          <w:szCs w:val="28"/>
          <w:vertAlign w:val="superscript"/>
        </w:rPr>
        <w:t>-6</w:t>
      </w:r>
      <w:r w:rsidRPr="003338CA">
        <w:rPr>
          <w:sz w:val="28"/>
          <w:szCs w:val="28"/>
        </w:rPr>
        <w:t xml:space="preserve"> / (2*0,073) = 3,14 МПа,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Р</w:t>
      </w:r>
      <w:r w:rsidRPr="003338CA">
        <w:rPr>
          <w:sz w:val="28"/>
          <w:szCs w:val="28"/>
          <w:vertAlign w:val="subscript"/>
        </w:rPr>
        <w:t>вн</w:t>
      </w:r>
      <w:r w:rsidRPr="003338CA">
        <w:rPr>
          <w:sz w:val="28"/>
          <w:szCs w:val="28"/>
        </w:rPr>
        <w:t xml:space="preserve"> = 26,7 – 12,56 + 3,14 = 17,2 МПа.</w:t>
      </w:r>
    </w:p>
    <w:p w:rsidR="003338CA" w:rsidRPr="00E32A72" w:rsidRDefault="003338CA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pStyle w:val="21"/>
        <w:spacing w:after="0"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Итак, при закачке кислотного раствора агрегат Азинмаш – 30А работает на </w:t>
      </w:r>
      <w:r w:rsidRPr="003338CA">
        <w:rPr>
          <w:sz w:val="28"/>
          <w:szCs w:val="28"/>
          <w:lang w:val="en-US"/>
        </w:rPr>
        <w:t>III</w:t>
      </w:r>
      <w:r w:rsidRPr="003338CA">
        <w:rPr>
          <w:sz w:val="28"/>
          <w:szCs w:val="28"/>
        </w:rPr>
        <w:t xml:space="preserve"> скорости при диаметре плунжера 120 мм. При этом давление на выкиде насоса (17,4 МПа) больше, чем необходимо для продавки в пласт раствора с дебитом 6,85 л/с. </w:t>
      </w:r>
    </w:p>
    <w:p w:rsidR="003338CA" w:rsidRDefault="003338CA" w:rsidP="003338CA">
      <w:pPr>
        <w:spacing w:line="360" w:lineRule="auto"/>
        <w:ind w:firstLine="709"/>
        <w:jc w:val="both"/>
        <w:rPr>
          <w:sz w:val="28"/>
          <w:szCs w:val="28"/>
        </w:rPr>
        <w:sectPr w:rsidR="003338CA" w:rsidSect="003338CA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1F5F6E" w:rsidRPr="003338CA" w:rsidRDefault="001F5F6E" w:rsidP="003338C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>3 ОХРАНА НЕДР И ОКРУЖАЮЩЕЙ СРЕДЫ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3338CA" w:rsidRPr="00E32A72" w:rsidRDefault="001F5F6E" w:rsidP="003338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 xml:space="preserve">3.1 Мероприятия, направленные на охрану недр и окружающей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3338CA">
        <w:rPr>
          <w:b/>
          <w:bCs/>
          <w:sz w:val="28"/>
          <w:szCs w:val="28"/>
        </w:rPr>
        <w:t>среды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Для предотвращения загрязнения почвы, водоёмов и атмосферного воздуха применяемыми реагентами необходимо предусмотреть: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 - герметизацию всех соединений на устье скважины, насосных агрегатах, автоцистернах, ёмкостях и другого оборудования при перевозке, хранении и проведении работ;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 - по окончании технологического процесса промыть пресной водой насосы агрегатов, ёмкости, нагнетательные линии, приёмные и выкидные шланги от остатков реагентов в желобную систему с их последующим вывозом в специально отведённые места нейтрализации и захоронения.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В случае разлива раствора силиката натрия на землю, пропитанный им слой почвы нейтрализуется пластовой водой плотностью 1,18 г/см</w:t>
      </w:r>
      <w:r w:rsidRPr="003338CA">
        <w:rPr>
          <w:sz w:val="28"/>
          <w:szCs w:val="28"/>
          <w:vertAlign w:val="superscript"/>
        </w:rPr>
        <w:t>3</w:t>
      </w:r>
      <w:r w:rsidRPr="003338CA">
        <w:rPr>
          <w:sz w:val="28"/>
          <w:szCs w:val="28"/>
        </w:rPr>
        <w:t xml:space="preserve"> и засыпается песком.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Для снижения вредных выбросов в атмосферу должно быть обеспечено выполнение следующих условий: </w:t>
      </w:r>
    </w:p>
    <w:p w:rsidR="001F5F6E" w:rsidRPr="003338CA" w:rsidRDefault="001F5F6E" w:rsidP="003338C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поддержания технического состояния существующего оборудования и трубопроводов на надлежащем уровне;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широкое внедрение новых технологий и технических средств;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разработка более совершенных технологий и оборудования.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Для осуществления первой из намеченных задач запланированы следующие конкретные мероприятия: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-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 xml:space="preserve">ремонт и замена резервуаров; </w:t>
      </w:r>
    </w:p>
    <w:p w:rsidR="001F5F6E" w:rsidRPr="003338CA" w:rsidRDefault="001F5F6E" w:rsidP="003338C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строительство и замена товарных и технологических нефтепроводов и газопроводов;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-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 xml:space="preserve">реконструкция установок подготовки нефти и изменение грузопотоков;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Реализации второй – внедрение освоенных технологий и оборудования, что потребует более широкого использования: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системы УЛФ из резервуаров;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установки очистки газа от сероводорода с получением элементарной серы;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мультифазных насосов для утилизации попутного газа;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газовых электростанций для утилизации попутного газа; </w:t>
      </w:r>
    </w:p>
    <w:p w:rsidR="001F5F6E" w:rsidRPr="003338CA" w:rsidRDefault="001F5F6E" w:rsidP="003338CA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нейтрализации выхлопных газов на автомобилях;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строительства объездных дорог;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проведения мониторинга атмосферного воздуха.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В число третьей группы задач вошла разработка: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технологии очистки попутного газа от сероводорода окислением до элементарной серы на твёрдых катализаторах;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- технологии нейтрализации газовых выбросов;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технологии и оборудования для откачки газа из затрубного пространства скважин с утилизацией его в систему нефтесбора. Внедрение оборудования позволит сократить выбросы углеводородов и сероводорода в атмосферу;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Мероприятия по охране поверхностных и пресных подземных вод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Поверхностный и подземный стоки тесно взаимосвязаны. Большую часть года реки питаются подземными водами (родниковый сток), лишь в период весеннего снеготаяния (апрель – май) расходы рек резко (до 10 раз) возрастают за счёт поверхностного стока, составляющего 60% годового. Дождевой сток в тёплое время года увеличивает расходы рек незначительно (9% общего годового). В холодный период года реки получают исключительно подземное питание, отражая загрязненность подземных вод (родников).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Поверхностные источники загрязнения рек вполне очевидны: аварийные порывы трубопроводов, разливы нефти и солённых вод в результате нарушения герметичности нефтепромысловых сооружений, стоки промобъектов, объектов сельскохозяйственного назначения, стоки городов и населённых пунктов.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Источники загрязнения подземных вод скрыты. Это фильтрация загрязнённых вод с поверхности (из амбаров, трубпроводов, при скважинной обваловки и др.) или снизу, из негерметичной скважины за счёт заколонных перетоков жидкости. Выявление очагов и источников загрязнения пресных подземных вод требует системы специальных исследований (электроразведка, бурение эколого-гидрогеологических скважин и др.).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Мероприятия по снижению загрязнения пресных и речных подземных вод с поверхности как результата функционирования нефтяной промышленности включают в себя следующие виды работ: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- ликвидацию нефтегазопроявлений на устье скважин при нарушении герметичности эксплуатационных колонн и возникновения заколонных перетоков снизу – вверх;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сооружения ливневой канализации на промобъектах для сбора и обезвреживания стоков и автомоек;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-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 xml:space="preserve">утилизацию нефтешламов;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-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 xml:space="preserve">капитальный ремонт и проектную защиту нефтепроводов;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оснащение бригад ПКРС оборудованием для предотвращения разливов жидкости;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-</w:t>
      </w:r>
      <w:r w:rsidR="003338CA">
        <w:rPr>
          <w:sz w:val="28"/>
          <w:szCs w:val="28"/>
        </w:rPr>
        <w:t xml:space="preserve"> </w:t>
      </w:r>
      <w:r w:rsidRPr="003338CA">
        <w:rPr>
          <w:sz w:val="28"/>
          <w:szCs w:val="28"/>
        </w:rPr>
        <w:t xml:space="preserve">гидроизоляцию земляных амбаров;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Мероприятия по снижению загрязнения пресных подземных вод снизу предусматривают: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герметизацию эксплуатационных колонн скважин;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ликвидацию заколонных перетоков;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доподъём цемента за кондуктором и эксплуатационной колонной;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ликвидацию скважин старого некачественного фонда;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-переликвидацию ранее ликвидированных поисково-разведочных и эксплуатационных скважин;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Повышение долговечности нефтепромыслового оборудования при помощи защитных покрытий НКТ, установки пакер – гильз, протекторной защитой, ингибиторов коррозии.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Мероприятия по хозяйственно-питьевому водоснабжению включает в себя обеспечение населённых пунктов на территории нефтепромыслов питьевой водой согласно санитарно – гигиеническим средствам. Они предусматривают бурение водозаборных скважин, строительство и ремонт водопротоков, каптаж родников, выделение зон санитарной охраны и другие работы.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Мероприятия по охране земельных ресурсов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Перспективные направления работ и объёмы внедрения мероприятий, направленных на обеспечение экологической безопасности при капитальном и подземном ремонте скважин, включает в себя комплекс перечисляемых ниже эффективных технико-технологических решений.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1. Технология герметизации земляных амбаров с использованием полимерно-го листового материала. В ТатНИПИнефти разработана технология герметизации земляных амбаров с использованием полиэтиленовых полотен. Герметизация земляных амбаров при КРС на индивидуальных площадках или на кустах при амбарной и ёмкостной системах очистки жидкости позволяет защитить от загрязнения поверхностные и поземные питьевые воды, а также плодородный слой земли.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2. Освоение скважины на специальной жидкости с вызовом притока насосным оборудованием в линию нефтесбора. Данный способ освоения скважин исключает необходимость установки дополнительного оборудования (ёмкости для сбора нефти), что предотвращает разлив на территории скважины, а следовательно, и загрязнение земель.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3. Приготовление из отработанного глинистого раствора тампонажных паст для изоляции зон поглощения. Это сокращает дополнительные затраты на изоляцию зон поглощения, а также на утилизацию и захоронения раствора.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Мероприятия по обеспечению радиационной безопасности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Мероприятия по обеспечению радиационной безопасности на объектах подготовки нефти при разработке месторождений нефти в девонских отложениях направлены на выполнение требований федеральных законов «Об использовании атомной энергии», «О радиационной безопасности населения», Федеральной целевой программы «Снижения уровня обучения населения России и производственного персонала от природных радиоактивных источников», «временных санитарных правил и норм по ограничению облучения населения Республики Татарстан от природных источников ионизирующего излучения – Временные СанПин №2.6.2.001 – 96», рекомендаций по нормализации радиационно-экологической обстановки на объектах нефтегазодобычи топливно-энергетического комплекса России» «минтоэнерго России, 1996г.).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Целью их является: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обеспечение радиационной безопасности персонала, проводящего работы по ремонту и очистке технологического оборудования товарных парков и УКПН, загрязнённого нефтешламами, содержащие естественные радионуклиды;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- предотвращения проникновения естественных радионуклидов за пределы территории производственных объектов в окружающую среду.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Прежде всего предусматривается постоянный ведомственный и оперативный контроль радиационной обстановки на объектах подготовки нефти, контроль за уровнем облучения персонала (радиометрическое обследование оборудования и территории товарных парков и УКПН, индивидуальная дозиметрия, контроль за содержанием радиоактивных аэрозолей в воздухе на территории товарных парков и УКПН). На основе полученных данных должен ежегодно проводится анализ радиационной обстановки и составляется радиационно-гигиенический и инвентаризационный паспорта. </w:t>
      </w:r>
    </w:p>
    <w:p w:rsidR="001F5F6E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 xml:space="preserve">В рассматриваемый период часть объектов подготовки нефти будет выводится из эксплуатации. В связи с этим намечены дополнительные меры по обеспечению радиационной безопасности: консервация мест временного размещения нефтешламов, содержащих естественные радионуклиды, путём их дополнительной герметизации. Учитывая, что на территории товарных парков и УКПН в пределах обваловки технологического оборудования практически нет места для временного размещения нефтешламов в земляных амбарах, необходимо провести соответствующие работы по размещению нефтешламов в используемых (высвобождающихся) РВС. Мера эта, однако, временная и требует дальнейшего решения. </w:t>
      </w:r>
    </w:p>
    <w:p w:rsidR="007978DB" w:rsidRPr="003338CA" w:rsidRDefault="001F5F6E" w:rsidP="003338CA">
      <w:pPr>
        <w:spacing w:line="360" w:lineRule="auto"/>
        <w:ind w:firstLine="709"/>
        <w:jc w:val="both"/>
        <w:rPr>
          <w:sz w:val="28"/>
          <w:szCs w:val="28"/>
        </w:rPr>
      </w:pPr>
      <w:r w:rsidRPr="003338CA">
        <w:rPr>
          <w:sz w:val="28"/>
          <w:szCs w:val="28"/>
        </w:rPr>
        <w:t>Основные направления научно-исследовательских работ, намечаемых на рассматриваемый период, охватывают также проблему радиационной обстановки на объектах подготовки нефти с ориентацией на действующие федеральные законы, санитарные нормы и правила. Прежде всего, это создание соответствующей системы информационного обеспечения планирования и реализации мероприятий по радиационной безопасности.</w:t>
      </w:r>
      <w:bookmarkStart w:id="0" w:name="_GoBack"/>
      <w:bookmarkEnd w:id="0"/>
    </w:p>
    <w:sectPr w:rsidR="007978DB" w:rsidRPr="003338CA" w:rsidSect="003338C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F6815"/>
    <w:multiLevelType w:val="multilevel"/>
    <w:tmpl w:val="8CA4064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78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F6E"/>
    <w:rsid w:val="001F5F6E"/>
    <w:rsid w:val="003338CA"/>
    <w:rsid w:val="007978DB"/>
    <w:rsid w:val="007D0451"/>
    <w:rsid w:val="007F50DB"/>
    <w:rsid w:val="009F18D0"/>
    <w:rsid w:val="00A712D3"/>
    <w:rsid w:val="00E32A72"/>
    <w:rsid w:val="00E8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55E342D-D9B8-4574-8F7E-6E46990D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6E"/>
  </w:style>
  <w:style w:type="paragraph" w:styleId="1">
    <w:name w:val="heading 1"/>
    <w:basedOn w:val="a"/>
    <w:next w:val="a"/>
    <w:link w:val="10"/>
    <w:uiPriority w:val="99"/>
    <w:qFormat/>
    <w:rsid w:val="001F5F6E"/>
    <w:pPr>
      <w:keepNext/>
      <w:jc w:val="center"/>
      <w:outlineLvl w:val="0"/>
    </w:pPr>
    <w:rPr>
      <w:rFonts w:ascii="GOST type A" w:hAnsi="GOST type A" w:cs="GOST type A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1F5F6E"/>
    <w:pPr>
      <w:keepNext/>
      <w:outlineLvl w:val="1"/>
    </w:pPr>
    <w:rPr>
      <w:rFonts w:ascii="GOST type A" w:hAnsi="GOST type A" w:cs="GOST type 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sid w:val="001F5F6E"/>
    <w:pPr>
      <w:jc w:val="both"/>
    </w:pPr>
    <w:rPr>
      <w:sz w:val="26"/>
      <w:szCs w:val="26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1F5F6E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1">
    <w:name w:val="Body Text 2"/>
    <w:basedOn w:val="a"/>
    <w:link w:val="22"/>
    <w:uiPriority w:val="99"/>
    <w:rsid w:val="001F5F6E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6577</Words>
  <Characters>37492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ИСХОДНЫЕ ДАННЫЕ</vt:lpstr>
    </vt:vector>
  </TitlesOfParts>
  <Company>ITG</Company>
  <LinksUpToDate>false</LinksUpToDate>
  <CharactersWithSpaces>43982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ИСХОДНЫЕ ДАННЫЕ</dc:title>
  <dc:subject/>
  <dc:creator>ITG</dc:creator>
  <cp:keywords/>
  <dc:description/>
  <cp:lastModifiedBy>admin</cp:lastModifiedBy>
  <cp:revision>2</cp:revision>
  <dcterms:created xsi:type="dcterms:W3CDTF">2014-03-02T10:26:00Z</dcterms:created>
  <dcterms:modified xsi:type="dcterms:W3CDTF">2014-03-02T10:26:00Z</dcterms:modified>
</cp:coreProperties>
</file>