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Министерство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аграрной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политики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Украины</w:t>
      </w:r>
    </w:p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Луганский национальный аграрный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университет</w:t>
      </w:r>
    </w:p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кафедра менеджмента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права</w:t>
      </w:r>
    </w:p>
    <w:p w:rsidR="00554734" w:rsidRPr="00437465" w:rsidRDefault="00554734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  <w:szCs w:val="48"/>
        </w:rPr>
      </w:pPr>
    </w:p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b/>
          <w:spacing w:val="0"/>
          <w:szCs w:val="48"/>
        </w:rPr>
      </w:pPr>
      <w:r w:rsidRPr="00437465">
        <w:rPr>
          <w:rFonts w:ascii="Times New Roman" w:hAnsi="Times New Roman"/>
          <w:b/>
          <w:spacing w:val="0"/>
          <w:szCs w:val="48"/>
        </w:rPr>
        <w:t>ОТЧЕТ О ПРОИЗВОДСТВЕННОЙ ПРАКТИКЕ</w:t>
      </w:r>
    </w:p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Место прохождения практики: ЧСП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«АФ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Приволье»</w:t>
      </w:r>
    </w:p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b/>
          <w:spacing w:val="0"/>
        </w:rPr>
      </w:pPr>
    </w:p>
    <w:p w:rsidR="00554734" w:rsidRPr="00437465" w:rsidRDefault="00554734" w:rsidP="00437465">
      <w:pPr>
        <w:pStyle w:val="31"/>
        <w:spacing w:after="0"/>
        <w:ind w:firstLine="720"/>
        <w:jc w:val="right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Студента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244 группы:</w:t>
      </w:r>
    </w:p>
    <w:p w:rsidR="00554734" w:rsidRPr="00437465" w:rsidRDefault="00554734" w:rsidP="00437465">
      <w:pPr>
        <w:pStyle w:val="31"/>
        <w:spacing w:after="0"/>
        <w:ind w:firstLine="720"/>
        <w:jc w:val="right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Руководитель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кафедры:</w:t>
      </w:r>
    </w:p>
    <w:p w:rsidR="00554734" w:rsidRPr="00437465" w:rsidRDefault="00554734" w:rsidP="00437465">
      <w:pPr>
        <w:pStyle w:val="31"/>
        <w:tabs>
          <w:tab w:val="left" w:pos="6160"/>
          <w:tab w:val="right" w:pos="15136"/>
        </w:tabs>
        <w:spacing w:after="0"/>
        <w:ind w:firstLine="720"/>
        <w:jc w:val="right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Руководитель:</w:t>
      </w:r>
    </w:p>
    <w:p w:rsidR="00554734" w:rsidRPr="00437465" w:rsidRDefault="00554734" w:rsidP="00437465">
      <w:pPr>
        <w:pStyle w:val="31"/>
        <w:spacing w:after="0"/>
        <w:ind w:firstLine="720"/>
        <w:jc w:val="right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от предприятия</w:t>
      </w:r>
    </w:p>
    <w:p w:rsidR="00554734" w:rsidRPr="00437465" w:rsidRDefault="00554734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35FFE" w:rsidRPr="00437465" w:rsidRDefault="00535FFE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272B9F" w:rsidRPr="00437465" w:rsidRDefault="00272B9F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31"/>
        <w:spacing w:after="0"/>
        <w:ind w:firstLine="720"/>
        <w:jc w:val="both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3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Луганск-2007г.</w:t>
      </w:r>
    </w:p>
    <w:p w:rsidR="00554734" w:rsidRPr="00437465" w:rsidRDefault="00535FFE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spacing w:val="0"/>
        </w:rPr>
        <w:br w:type="page"/>
      </w:r>
      <w:r w:rsidR="00554734" w:rsidRPr="00437465">
        <w:rPr>
          <w:rFonts w:ascii="Times New Roman" w:hAnsi="Times New Roman"/>
          <w:b/>
          <w:spacing w:val="0"/>
        </w:rPr>
        <w:t>СОДЕРЖАНИЕ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1 Организационно-экономическая характеристика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«Агрофирма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2 Организационно-правовая форма ЧСП «Агрофирма Приволье»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3 Структура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 ЧСП «Агрофирма Приволье»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4 Организация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руководителей и специалистов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5 Организация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службы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6 Система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внутрихозяйственного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планирования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«Агрофирма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7 Управление трудовыми ресурсами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Выводы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предложения</w:t>
      </w:r>
    </w:p>
    <w:p w:rsidR="00554734" w:rsidRPr="00437465" w:rsidRDefault="00554734" w:rsidP="00437465">
      <w:pPr>
        <w:pStyle w:val="21"/>
        <w:spacing w:after="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Приложения</w:t>
      </w:r>
    </w:p>
    <w:p w:rsidR="00554734" w:rsidRPr="00437465" w:rsidRDefault="00535FFE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spacing w:val="0"/>
        </w:rPr>
        <w:br w:type="page"/>
      </w:r>
      <w:r w:rsidR="00554734" w:rsidRPr="00437465">
        <w:rPr>
          <w:rFonts w:ascii="Times New Roman" w:hAnsi="Times New Roman"/>
          <w:b/>
          <w:spacing w:val="0"/>
        </w:rPr>
        <w:t>1. Организационно – экономическая характеристика</w:t>
      </w:r>
      <w:r w:rsidRPr="00437465">
        <w:rPr>
          <w:rFonts w:ascii="Times New Roman" w:hAnsi="Times New Roman"/>
          <w:b/>
          <w:spacing w:val="0"/>
        </w:rPr>
        <w:t xml:space="preserve"> </w:t>
      </w:r>
      <w:r w:rsidR="00554734" w:rsidRPr="00437465">
        <w:rPr>
          <w:rFonts w:ascii="Times New Roman" w:hAnsi="Times New Roman"/>
          <w:b/>
          <w:spacing w:val="0"/>
        </w:rPr>
        <w:t>ЧСП «Агрофирма Приволье»</w:t>
      </w: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ЧСП “АФ Приволье” расположено в юго-восточной части Троицкого района Луганской области. Хозяйство организовано в 1929 году землепользование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представляет единый массив, вытянутый с севера на юг на </w:t>
      </w:r>
      <w:smartTag w:uri="urn:schemas-microsoft-com:office:smarttags" w:element="metricconverter">
        <w:smartTagPr>
          <w:attr w:name="ProductID" w:val="23 км"/>
        </w:smartTagPr>
        <w:r w:rsidRPr="00437465">
          <w:rPr>
            <w:rFonts w:ascii="Times New Roman" w:hAnsi="Times New Roman"/>
            <w:spacing w:val="0"/>
          </w:rPr>
          <w:t>23 км</w:t>
        </w:r>
      </w:smartTag>
      <w:r w:rsidRPr="00437465">
        <w:rPr>
          <w:rFonts w:ascii="Times New Roman" w:hAnsi="Times New Roman"/>
          <w:spacing w:val="0"/>
        </w:rPr>
        <w:t xml:space="preserve">, и с запада на восток на </w:t>
      </w:r>
      <w:smartTag w:uri="urn:schemas-microsoft-com:office:smarttags" w:element="metricconverter">
        <w:smartTagPr>
          <w:attr w:name="ProductID" w:val="12 км"/>
        </w:smartTagPr>
        <w:r w:rsidRPr="00437465">
          <w:rPr>
            <w:rFonts w:ascii="Times New Roman" w:hAnsi="Times New Roman"/>
            <w:spacing w:val="0"/>
          </w:rPr>
          <w:t>12 км</w:t>
        </w:r>
      </w:smartTag>
      <w:r w:rsidRPr="00437465">
        <w:rPr>
          <w:rFonts w:ascii="Times New Roman" w:hAnsi="Times New Roman"/>
          <w:spacing w:val="0"/>
        </w:rPr>
        <w:t>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ЧСП “АФ Приволье” было образовано в апреле 2003 года 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базе КСП Приволье. Оно было образовано на основе аренды земельных паев для осуществления предпринимательской деятельности с целью получения прибыли.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Направление хозяйства: производство зерна, молока, мяса, шерсти. Организационная структура ведения хозяйства – отделенческая. За хозяйством закреплено </w:t>
      </w:r>
      <w:smartTag w:uri="urn:schemas-microsoft-com:office:smarttags" w:element="metricconverter">
        <w:smartTagPr>
          <w:attr w:name="ProductID" w:val="12772 га"/>
        </w:smartTagPr>
        <w:r w:rsidRPr="00437465">
          <w:rPr>
            <w:rFonts w:ascii="Times New Roman" w:hAnsi="Times New Roman"/>
            <w:spacing w:val="0"/>
          </w:rPr>
          <w:t>12772 га</w:t>
        </w:r>
      </w:smartTag>
      <w:r w:rsidRPr="00437465">
        <w:rPr>
          <w:rFonts w:ascii="Times New Roman" w:hAnsi="Times New Roman"/>
          <w:spacing w:val="0"/>
        </w:rPr>
        <w:t xml:space="preserve">, в том числе сельхозугодий 11660га. Из них пашни </w:t>
      </w:r>
      <w:smartTag w:uri="urn:schemas-microsoft-com:office:smarttags" w:element="metricconverter">
        <w:smartTagPr>
          <w:attr w:name="ProductID" w:val="8099 га"/>
        </w:smartTagPr>
        <w:r w:rsidRPr="00437465">
          <w:rPr>
            <w:rFonts w:ascii="Times New Roman" w:hAnsi="Times New Roman"/>
            <w:spacing w:val="0"/>
          </w:rPr>
          <w:t>8099 га</w:t>
        </w:r>
      </w:smartTag>
      <w:r w:rsidRPr="00437465">
        <w:rPr>
          <w:rFonts w:ascii="Times New Roman" w:hAnsi="Times New Roman"/>
          <w:spacing w:val="0"/>
        </w:rPr>
        <w:t xml:space="preserve">, многолетних насаждений </w:t>
      </w:r>
      <w:smartTag w:uri="urn:schemas-microsoft-com:office:smarttags" w:element="metricconverter">
        <w:smartTagPr>
          <w:attr w:name="ProductID" w:val="113 га"/>
        </w:smartTagPr>
        <w:r w:rsidRPr="00437465">
          <w:rPr>
            <w:rFonts w:ascii="Times New Roman" w:hAnsi="Times New Roman"/>
            <w:spacing w:val="0"/>
          </w:rPr>
          <w:t>113 га</w:t>
        </w:r>
      </w:smartTag>
      <w:r w:rsidRPr="00437465">
        <w:rPr>
          <w:rFonts w:ascii="Times New Roman" w:hAnsi="Times New Roman"/>
          <w:spacing w:val="0"/>
        </w:rPr>
        <w:t xml:space="preserve">, пастбищ </w:t>
      </w:r>
      <w:smartTag w:uri="urn:schemas-microsoft-com:office:smarttags" w:element="metricconverter">
        <w:smartTagPr>
          <w:attr w:name="ProductID" w:val="3363 га"/>
        </w:smartTagPr>
        <w:r w:rsidRPr="00437465">
          <w:rPr>
            <w:rFonts w:ascii="Times New Roman" w:hAnsi="Times New Roman"/>
            <w:spacing w:val="0"/>
          </w:rPr>
          <w:t>3363 га</w:t>
        </w:r>
      </w:smartTag>
      <w:r w:rsidRPr="00437465">
        <w:rPr>
          <w:rFonts w:ascii="Times New Roman" w:hAnsi="Times New Roman"/>
          <w:spacing w:val="0"/>
        </w:rPr>
        <w:t>. На территории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хозяйства расположено 6 населенных пунктов. ИЗ культурно-бытовых учреждений в центральной усадьбе имеются: школа, дом культуры, библиотека, больница, магазины, почта и др.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Территория хозяйства расположена в Северной Степи Украины, первом агроклиматическом районе области. Климат, в целом, умеренно континентальный, с жарким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сухим летом и малоснежной с оттепелями зимой.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Основные показатели климатических ресурсов следующие: среднегодовая температура воздуха +7,2,самий жаркий месяц–июнь(21,5),самый холодный – январь(-21).Температурный максимум41, минимум–39.Продолжительность периода активной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вегетации растений ( выше + 10) 162 дня, сумма положительных температур за этот период 2890.Прекращение весенних заморозков наблюдается в третьей декаде апреля, начало осенних- в конце сентября. Средняя продолжительность безморозного периода 150-170 дней.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Гидротехнический коэффициент 0,9.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 геоморфологическом отношении территории землепользования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«АФ Приволье» расположена в пределах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Высокого Задонцовья, которое является продолжением отрогов Средне – Русской возвышенности на межречном водоразделе Оскол-Айдар.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Меж речной водораздел на территории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хозяйства предоставлен плато и склонами северо-западной и юга – восточной экспозицией. Основные элементы рельефа сформировались под воздействием водно – эрозийных процессов. Плато водораздела широкое, 500-</w:t>
      </w:r>
      <w:smartTag w:uri="urn:schemas-microsoft-com:office:smarttags" w:element="metricconverter">
        <w:smartTagPr>
          <w:attr w:name="ProductID" w:val="1000 м"/>
        </w:smartTagPr>
        <w:r w:rsidRPr="00437465">
          <w:rPr>
            <w:rFonts w:ascii="Times New Roman" w:hAnsi="Times New Roman"/>
            <w:spacing w:val="0"/>
          </w:rPr>
          <w:t>1000 м</w:t>
        </w:r>
      </w:smartTag>
      <w:r w:rsidRPr="00437465">
        <w:rPr>
          <w:rFonts w:ascii="Times New Roman" w:hAnsi="Times New Roman"/>
          <w:spacing w:val="0"/>
        </w:rPr>
        <w:t>, имеет извилистую конфигурацию. Поверхность плато ровная.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Склоны коренного водораздела древними балками: Свирский ЯР, Каменный Яр, Красный Яр делится на ряд крупных меж балочных водоразделов с хорошо выраженными ровными плато шириной 150-</w:t>
      </w:r>
      <w:smartTag w:uri="urn:schemas-microsoft-com:office:smarttags" w:element="metricconverter">
        <w:smartTagPr>
          <w:attr w:name="ProductID" w:val="500 м"/>
        </w:smartTagPr>
        <w:r w:rsidRPr="00437465">
          <w:rPr>
            <w:rFonts w:ascii="Times New Roman" w:hAnsi="Times New Roman"/>
            <w:spacing w:val="0"/>
          </w:rPr>
          <w:t>500 м</w:t>
        </w:r>
      </w:smartTag>
      <w:r w:rsidRPr="00437465">
        <w:rPr>
          <w:rFonts w:ascii="Times New Roman" w:hAnsi="Times New Roman"/>
          <w:spacing w:val="0"/>
        </w:rPr>
        <w:t>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Плато постепенно переходит в слабо пологие и пологие склоны различных экспозиций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протяженностей. Северные склоны, как правило, протяженные, ровные, крутизной 1-3.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Поверхность склонов слабо расчленена ложбинами стока.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Склоны южной экспозиции короткие, со сложным микрорельефом. Поверхность склонов выпуклая или вогнутая, местами сильно ложбинистая, прибалочные части склонов террасовидные. Почвы на этих склонах более интенсивно подвержены плоскостной и линейной эрозии.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Расчлененность территории балочной сетью умеренная-0,8 кв.км.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Овраги и многочисленные отвершки балок создают трудности при нарезке полей севооборотов, удобных для работы сельскохозяйственных машин и орудий, обеспечивают большие объезды, крутые подъемы и спуски на дорогах, что неблагоприятно влияет на сельскохозяйственное производство.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Гидрографическая сеть хозяйства предоставлена многочисленными балками и их еще более многочисленными отвершками. Общая протяженность гидрографической сети около </w:t>
      </w:r>
      <w:smartTag w:uri="urn:schemas-microsoft-com:office:smarttags" w:element="metricconverter">
        <w:smartTagPr>
          <w:attr w:name="ProductID" w:val="109 м"/>
        </w:smartTagPr>
        <w:r w:rsidRPr="00437465">
          <w:rPr>
            <w:rFonts w:ascii="Times New Roman" w:hAnsi="Times New Roman"/>
            <w:spacing w:val="0"/>
          </w:rPr>
          <w:t>109 м</w:t>
        </w:r>
      </w:smartTag>
      <w:r w:rsidRPr="00437465">
        <w:rPr>
          <w:rFonts w:ascii="Times New Roman" w:hAnsi="Times New Roman"/>
          <w:spacing w:val="0"/>
        </w:rPr>
        <w:t>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Наиболее крупные балки Алексеевский Яр, Красный Яр. Кормовые угодья хозяйства находятся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 балках. На водораздельных пространствах в прошлом господствовала разнотравно-типчаково-ковыльная растительность. Сейчас она сохранилась по склонам и дну балок.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Сухость почв и бессистемный выпас скота способствуют изреженности травянистого покрова.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Растительность суходольных склоновых участков предоставлена разнотравно-злаковыми, злаково-разнотравными, разнотравными, злаковобобово-разнотравными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разнотравно-тонконогими ассоциациями, злаково-разнотравными и разнотравными сбоями.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Среди злаков распространены травы среднего кормового достоинства. Преобладающие виды разнотравья среднего и низкого кормового достоинства.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Бобовые встречаются единично.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Качество зеленой массы и сена ухудшают грубо стебельные и ядовитые травы.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По данным геоботанического обследования кормовых угодий урожайность суходольных пастбищ составляет 12-25 ц/га зеленой массы, а на заболоченных пастбищах-70-80 ц/га.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 целях улучшения травостоя и повышения продуктивности кормовых угодий на них необходимо проводить коренное и поверхностное улучшение.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Зональными почвами в хозяйстве являются черноземы обыкновенные среднегумусные мощные, обыкновенные среднегумусные, малогумусные среднемощные и маломощные.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Основная производимая продукция: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tabs>
          <w:tab w:val="clear" w:pos="720"/>
          <w:tab w:val="left" w:pos="709"/>
          <w:tab w:val="num" w:pos="1134"/>
        </w:tabs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Зерновые культуры и подсолнечник.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Организационная структура предприятия состоит из следующих подразделений: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Растениеводческие бригады №1,2,3,4(выращивание с/х продукции);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МТФ(производство молока);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Свиноферма(производства мяса);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Ферма по откорму КРС(производства мяса);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Овцеводческая ферма(производство мяса и шерсти);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Мех. Мастерская (обслуживание и ремонт оборудования);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Автопарк(транспортировка сырья и готовой продукции);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Ток, склад готовой продукции;</w:t>
      </w:r>
    </w:p>
    <w:p w:rsidR="00554734" w:rsidRPr="00437465" w:rsidRDefault="00554734" w:rsidP="00437465">
      <w:pPr>
        <w:pStyle w:val="21"/>
        <w:numPr>
          <w:ilvl w:val="0"/>
          <w:numId w:val="4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Строй двор.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Среднегодовая численность работников составляет 281 человек из них заняты в основном производстве 254 человек, в обслуживающем производстве 27.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 структуре основных средств здания и сооружения занимают 5,5% общей стоимости основных средств, машин и оборудования 82%, транспортные средства 6,5%, инструменты, приспособления, инвентарь 0,8%, рабочий и продуктивный скот 4%, другие основные средства 1,2%.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Рассмотрим структуру земельных угодий хозяйства в динамике за 3 года.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Таблица 1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Структура земельных угодий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“АФ Приволье”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8"/>
        <w:gridCol w:w="837"/>
        <w:gridCol w:w="864"/>
        <w:gridCol w:w="851"/>
        <w:gridCol w:w="850"/>
        <w:gridCol w:w="829"/>
        <w:gridCol w:w="826"/>
        <w:gridCol w:w="697"/>
        <w:gridCol w:w="709"/>
        <w:gridCol w:w="708"/>
      </w:tblGrid>
      <w:tr w:rsidR="00554734" w:rsidRPr="00513934" w:rsidTr="00437465">
        <w:trPr>
          <w:cantSplit/>
          <w:trHeight w:val="1310"/>
        </w:trPr>
        <w:tc>
          <w:tcPr>
            <w:tcW w:w="1101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Виды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угодий</w:t>
            </w:r>
          </w:p>
        </w:tc>
        <w:tc>
          <w:tcPr>
            <w:tcW w:w="1745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</w:t>
            </w:r>
          </w:p>
        </w:tc>
        <w:tc>
          <w:tcPr>
            <w:tcW w:w="1715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</w:t>
            </w:r>
          </w:p>
        </w:tc>
        <w:tc>
          <w:tcPr>
            <w:tcW w:w="1679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2005</w:t>
            </w:r>
          </w:p>
        </w:tc>
        <w:tc>
          <w:tcPr>
            <w:tcW w:w="1523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Отклонения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пощади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13934">
                <w:rPr>
                  <w:rFonts w:ascii="Times New Roman" w:hAnsi="Times New Roman"/>
                  <w:spacing w:val="0"/>
                  <w:sz w:val="20"/>
                  <w:szCs w:val="20"/>
                </w:rPr>
                <w:t>2005 г</w:t>
              </w:r>
            </w:smartTag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. от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уровня</w:t>
            </w:r>
          </w:p>
        </w:tc>
        <w:tc>
          <w:tcPr>
            <w:tcW w:w="1417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Отклонения уровня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2005г.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от (+,-)</w:t>
            </w:r>
          </w:p>
        </w:tc>
      </w:tr>
      <w:tr w:rsidR="00554734" w:rsidRPr="00513934" w:rsidTr="00535FFE">
        <w:trPr>
          <w:cantSplit/>
          <w:trHeight w:val="1337"/>
        </w:trPr>
        <w:tc>
          <w:tcPr>
            <w:tcW w:w="1101" w:type="dxa"/>
            <w:vMerge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08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Площадь, га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837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Удельный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Вес, %</w:t>
            </w:r>
          </w:p>
        </w:tc>
        <w:tc>
          <w:tcPr>
            <w:tcW w:w="864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Площадь, га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Удельный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Вес, %</w:t>
            </w:r>
          </w:p>
        </w:tc>
        <w:tc>
          <w:tcPr>
            <w:tcW w:w="850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Площадь, га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829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Удельный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Вес, %</w:t>
            </w:r>
          </w:p>
        </w:tc>
        <w:tc>
          <w:tcPr>
            <w:tcW w:w="826" w:type="dxa"/>
            <w:textDirection w:val="btLr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2003г</w:t>
            </w:r>
          </w:p>
        </w:tc>
        <w:tc>
          <w:tcPr>
            <w:tcW w:w="697" w:type="dxa"/>
            <w:textDirection w:val="btLr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2004г</w:t>
            </w:r>
          </w:p>
        </w:tc>
        <w:tc>
          <w:tcPr>
            <w:tcW w:w="709" w:type="dxa"/>
            <w:textDirection w:val="btLr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2003г</w:t>
            </w:r>
          </w:p>
        </w:tc>
        <w:tc>
          <w:tcPr>
            <w:tcW w:w="708" w:type="dxa"/>
            <w:textDirection w:val="btLr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2004г</w:t>
            </w:r>
          </w:p>
        </w:tc>
      </w:tr>
      <w:tr w:rsidR="00554734" w:rsidRPr="00513934" w:rsidTr="00535FFE">
        <w:trPr>
          <w:trHeight w:val="646"/>
        </w:trPr>
        <w:tc>
          <w:tcPr>
            <w:tcW w:w="110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С/х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угодья</w:t>
            </w:r>
          </w:p>
        </w:tc>
        <w:tc>
          <w:tcPr>
            <w:tcW w:w="9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6449</w:t>
            </w:r>
          </w:p>
        </w:tc>
        <w:tc>
          <w:tcPr>
            <w:tcW w:w="83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  <w:tc>
          <w:tcPr>
            <w:tcW w:w="86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8736</w:t>
            </w:r>
          </w:p>
        </w:tc>
        <w:tc>
          <w:tcPr>
            <w:tcW w:w="8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9227</w:t>
            </w:r>
          </w:p>
        </w:tc>
        <w:tc>
          <w:tcPr>
            <w:tcW w:w="82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  <w:tc>
          <w:tcPr>
            <w:tcW w:w="82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2778</w:t>
            </w:r>
          </w:p>
        </w:tc>
        <w:tc>
          <w:tcPr>
            <w:tcW w:w="69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491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</w:tr>
      <w:tr w:rsidR="00554734" w:rsidRPr="00513934" w:rsidTr="00535FFE">
        <w:trPr>
          <w:trHeight w:val="374"/>
        </w:trPr>
        <w:tc>
          <w:tcPr>
            <w:tcW w:w="110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пашня</w:t>
            </w:r>
          </w:p>
        </w:tc>
        <w:tc>
          <w:tcPr>
            <w:tcW w:w="9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6368</w:t>
            </w:r>
          </w:p>
        </w:tc>
        <w:tc>
          <w:tcPr>
            <w:tcW w:w="83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98,7</w:t>
            </w:r>
          </w:p>
        </w:tc>
        <w:tc>
          <w:tcPr>
            <w:tcW w:w="86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7636</w:t>
            </w:r>
          </w:p>
        </w:tc>
        <w:tc>
          <w:tcPr>
            <w:tcW w:w="8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87,4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8099</w:t>
            </w:r>
          </w:p>
        </w:tc>
        <w:tc>
          <w:tcPr>
            <w:tcW w:w="82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87,7</w:t>
            </w:r>
          </w:p>
        </w:tc>
        <w:tc>
          <w:tcPr>
            <w:tcW w:w="82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1731</w:t>
            </w:r>
          </w:p>
        </w:tc>
        <w:tc>
          <w:tcPr>
            <w:tcW w:w="69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463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27</w:t>
            </w:r>
            <w:r w:rsidR="00535FFE"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</w:p>
        </w:tc>
      </w:tr>
      <w:tr w:rsidR="00554734" w:rsidRPr="00513934" w:rsidTr="00535FFE">
        <w:trPr>
          <w:trHeight w:val="251"/>
        </w:trPr>
        <w:tc>
          <w:tcPr>
            <w:tcW w:w="110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сенокосы</w:t>
            </w:r>
          </w:p>
        </w:tc>
        <w:tc>
          <w:tcPr>
            <w:tcW w:w="9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sym w:font="Symbol" w:char="F0BE"/>
            </w:r>
          </w:p>
        </w:tc>
        <w:tc>
          <w:tcPr>
            <w:tcW w:w="83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sym w:font="Symbol" w:char="F0BE"/>
            </w:r>
          </w:p>
        </w:tc>
        <w:tc>
          <w:tcPr>
            <w:tcW w:w="86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0,1</w:t>
            </w:r>
          </w:p>
        </w:tc>
        <w:tc>
          <w:tcPr>
            <w:tcW w:w="82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</w:tr>
      <w:tr w:rsidR="00554734" w:rsidRPr="00513934" w:rsidTr="00535FFE">
        <w:trPr>
          <w:trHeight w:val="415"/>
        </w:trPr>
        <w:tc>
          <w:tcPr>
            <w:tcW w:w="110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пастбища</w:t>
            </w:r>
          </w:p>
        </w:tc>
        <w:tc>
          <w:tcPr>
            <w:tcW w:w="9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81</w:t>
            </w:r>
          </w:p>
        </w:tc>
        <w:tc>
          <w:tcPr>
            <w:tcW w:w="83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1,3</w:t>
            </w:r>
          </w:p>
        </w:tc>
        <w:tc>
          <w:tcPr>
            <w:tcW w:w="86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1099</w:t>
            </w:r>
          </w:p>
        </w:tc>
        <w:tc>
          <w:tcPr>
            <w:tcW w:w="8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12,56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1127</w:t>
            </w:r>
          </w:p>
        </w:tc>
        <w:tc>
          <w:tcPr>
            <w:tcW w:w="82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12,2</w:t>
            </w:r>
          </w:p>
        </w:tc>
        <w:tc>
          <w:tcPr>
            <w:tcW w:w="82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1046</w:t>
            </w:r>
          </w:p>
        </w:tc>
        <w:tc>
          <w:tcPr>
            <w:tcW w:w="69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1291</w:t>
            </w:r>
          </w:p>
        </w:tc>
        <w:tc>
          <w:tcPr>
            <w:tcW w:w="70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102</w:t>
            </w:r>
          </w:p>
        </w:tc>
      </w:tr>
    </w:tbl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На основании данных таблицы 1 можно сделать вывод, что за данный период произошли изменения сельскохозяйственных угодий. Так площадь с/х угодий увеличилась в 2005 году по сравнению с 2003 годом на </w:t>
      </w:r>
      <w:smartTag w:uri="urn:schemas-microsoft-com:office:smarttags" w:element="metricconverter">
        <w:smartTagPr>
          <w:attr w:name="ProductID" w:val="2778 га"/>
        </w:smartTagPr>
        <w:r w:rsidRPr="00437465">
          <w:rPr>
            <w:rFonts w:ascii="Times New Roman" w:hAnsi="Times New Roman"/>
            <w:spacing w:val="0"/>
          </w:rPr>
          <w:t>2778 га</w:t>
        </w:r>
      </w:smartTag>
      <w:r w:rsidRPr="00437465">
        <w:rPr>
          <w:rFonts w:ascii="Times New Roman" w:hAnsi="Times New Roman"/>
          <w:spacing w:val="0"/>
        </w:rPr>
        <w:t xml:space="preserve">, что составило 43%. В том числе площадь пашни увеличилась на </w:t>
      </w:r>
      <w:smartTag w:uri="urn:schemas-microsoft-com:office:smarttags" w:element="metricconverter">
        <w:smartTagPr>
          <w:attr w:name="ProductID" w:val="1731 га"/>
        </w:smartTagPr>
        <w:r w:rsidRPr="00437465">
          <w:rPr>
            <w:rFonts w:ascii="Times New Roman" w:hAnsi="Times New Roman"/>
            <w:spacing w:val="0"/>
          </w:rPr>
          <w:t>1731 га</w:t>
        </w:r>
      </w:smartTag>
      <w:r w:rsidRPr="00437465">
        <w:rPr>
          <w:rFonts w:ascii="Times New Roman" w:hAnsi="Times New Roman"/>
          <w:spacing w:val="0"/>
        </w:rPr>
        <w:t>, что составило 27%. Соответственно увеличилась площадь пастбищ на 1046,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 составило 1291%.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 целью выявления основных и дополнительных отраслей, малоэффективных отраслей, которые не способствуют развитию основных отраслей, проводят анализ специализации хозяйства. Специализация хозяйства определяется структурой денежных поступлений от реализации товарной продукции, в которой отражается характер его экономических связей с народнохозяйственным комплексом и его роль в общественном разделении труда. Для этого составим и рассчитаем таблицу «Состав и структура товарной продукции ЧСП “АФ Приволье”» (Приложение №1).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Обобщающим показателем, характеризующим уровень специализации, который рассчитывается по формуле:</w:t>
      </w:r>
    </w:p>
    <w:p w:rsidR="00554734" w:rsidRPr="00437465" w:rsidRDefault="00AF71BA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5.25pt">
            <v:imagedata r:id="rId7" o:title=""/>
          </v:shape>
        </w:pict>
      </w:r>
      <w:r w:rsidR="00554734" w:rsidRPr="00437465">
        <w:rPr>
          <w:rFonts w:ascii="Times New Roman" w:hAnsi="Times New Roman"/>
          <w:spacing w:val="0"/>
        </w:rPr>
        <w:t xml:space="preserve"> ,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где </w:t>
      </w:r>
      <w:r w:rsidRPr="00437465">
        <w:rPr>
          <w:rFonts w:ascii="Times New Roman" w:hAnsi="Times New Roman"/>
          <w:iCs/>
          <w:spacing w:val="0"/>
        </w:rPr>
        <w:t>р</w:t>
      </w:r>
      <w:r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iCs/>
          <w:spacing w:val="0"/>
        </w:rPr>
        <w:t xml:space="preserve">– </w:t>
      </w:r>
      <w:r w:rsidRPr="00437465">
        <w:rPr>
          <w:rFonts w:ascii="Times New Roman" w:hAnsi="Times New Roman"/>
          <w:spacing w:val="0"/>
        </w:rPr>
        <w:t>удельный вес вида товарной продукции,</w:t>
      </w:r>
      <w:r w:rsidRPr="00437465">
        <w:rPr>
          <w:rFonts w:ascii="Times New Roman" w:hAnsi="Times New Roman"/>
          <w:iCs/>
          <w:spacing w:val="0"/>
        </w:rPr>
        <w:t xml:space="preserve"> </w:t>
      </w:r>
      <w:r w:rsidRPr="00437465">
        <w:rPr>
          <w:rFonts w:ascii="Times New Roman" w:hAnsi="Times New Roman"/>
          <w:iCs/>
          <w:spacing w:val="0"/>
          <w:szCs w:val="28"/>
        </w:rPr>
        <w:sym w:font="Symbol" w:char="F069"/>
      </w:r>
      <w:r w:rsidRPr="00437465">
        <w:rPr>
          <w:rFonts w:ascii="Times New Roman" w:hAnsi="Times New Roman"/>
          <w:iCs/>
          <w:spacing w:val="0"/>
        </w:rPr>
        <w:t xml:space="preserve"> - </w:t>
      </w:r>
      <w:r w:rsidRPr="00437465">
        <w:rPr>
          <w:rFonts w:ascii="Times New Roman" w:hAnsi="Times New Roman"/>
          <w:spacing w:val="0"/>
        </w:rPr>
        <w:t>порядковый номер в ранжированном ряде.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Рассчитанные таким образом коэффициенты специализации составили: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К(2003) - 0,29,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К(2004) - 0,31,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К(2005) - 0,30.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Исходя из анализа данных таблицы(приложения 2), в 2003 году удельный вес в структуре товарной продукции занимает реализация зерновых культур 50,87% и подсолнечника 23,42, молока 7,22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мяса КРС 7,06. Коэффициент специализации 0,29 указывает на низкий уровень специализации в хозяйстве.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 2004 году специализация изменилась незначительно. Наибольший удельный вес занимает зерновые 61,69% и молока 14,0% удельный вес которого увеличился в 2 раза. Значительно снизился удельный вес реализации подсолнечника с 23,42% в 2003г. до 7,27% в2004г. 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реализации мяса КРС с 7,06% до 2,87%. Коэффициент специализации составил 0,31.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 2005 году по-прежнему существенную долю специализации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 структуре товарной продукции занимает реализация зерновых 50,84% и молока 19,58%. Продукция животноводства составила 30,4%, что существенно выше против уровня 2003 и 2004 годов. Коэффициент специализации составил 0,30.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На основании вышеизложенного можно сделать вывод, что определяющим специализацию является реализация зерновых, молока и подсолнечника. Низкий коэффициент специализации указывает на то, что в хозяйстве наблюдается низкий уровень специализации, сложившийся под влиянием экономических условий.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Таблица 2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Основные показатели экономической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деятельности ЧСП «Агрофирма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Приволье»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417"/>
        <w:gridCol w:w="1418"/>
        <w:gridCol w:w="1134"/>
        <w:gridCol w:w="850"/>
      </w:tblGrid>
      <w:tr w:rsidR="00554734" w:rsidRPr="00513934" w:rsidTr="00535FFE">
        <w:trPr>
          <w:cantSplit/>
          <w:trHeight w:val="587"/>
        </w:trPr>
        <w:tc>
          <w:tcPr>
            <w:tcW w:w="3085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</w:t>
            </w:r>
          </w:p>
        </w:tc>
        <w:tc>
          <w:tcPr>
            <w:tcW w:w="1417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</w:t>
            </w:r>
          </w:p>
        </w:tc>
        <w:tc>
          <w:tcPr>
            <w:tcW w:w="1418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2005</w:t>
            </w:r>
          </w:p>
        </w:tc>
        <w:tc>
          <w:tcPr>
            <w:tcW w:w="1984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Отклонение (+,-)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2005г от уровня</w:t>
            </w:r>
          </w:p>
        </w:tc>
      </w:tr>
      <w:tr w:rsidR="00554734" w:rsidRPr="00513934" w:rsidTr="00535FFE">
        <w:trPr>
          <w:cantSplit/>
          <w:trHeight w:val="313"/>
        </w:trPr>
        <w:tc>
          <w:tcPr>
            <w:tcW w:w="3085" w:type="dxa"/>
            <w:vMerge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</w:t>
            </w:r>
          </w:p>
        </w:tc>
      </w:tr>
      <w:tr w:rsidR="00554734" w:rsidRPr="00513934" w:rsidTr="00535FFE">
        <w:trPr>
          <w:trHeight w:val="248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</w:p>
        </w:tc>
      </w:tr>
      <w:tr w:rsidR="00554734" w:rsidRPr="00513934" w:rsidTr="00535FFE">
        <w:trPr>
          <w:trHeight w:val="570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Стоимость валовой продукции с\х текущих ценах, тыс. грн. 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5426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7176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7875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2449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699</w:t>
            </w:r>
          </w:p>
        </w:tc>
      </w:tr>
      <w:tr w:rsidR="00554734" w:rsidRPr="00513934" w:rsidTr="00535FFE">
        <w:trPr>
          <w:trHeight w:val="333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Выручка от реализации, тыс. грн.</w:t>
            </w:r>
            <w:r w:rsidR="00535FFE"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4845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6903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9083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4238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2180</w:t>
            </w:r>
          </w:p>
        </w:tc>
      </w:tr>
      <w:tr w:rsidR="00554734" w:rsidRPr="00513934" w:rsidTr="00535FFE">
        <w:trPr>
          <w:trHeight w:val="395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Прибыль от реализации, 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1151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1959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2415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1264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456</w:t>
            </w:r>
          </w:p>
        </w:tc>
      </w:tr>
      <w:tr w:rsidR="00554734" w:rsidRPr="00513934" w:rsidTr="00535FFE">
        <w:trPr>
          <w:trHeight w:val="274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Чистая прибыль, 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1057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2734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2993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1936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259</w:t>
            </w:r>
          </w:p>
        </w:tc>
      </w:tr>
      <w:tr w:rsidR="00554734" w:rsidRPr="00513934" w:rsidTr="00535FFE">
        <w:trPr>
          <w:trHeight w:val="495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Себестоимость реализованной продукции, 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3694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4944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6668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2974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1724</w:t>
            </w:r>
          </w:p>
        </w:tc>
      </w:tr>
      <w:tr w:rsidR="00554734" w:rsidRPr="00513934" w:rsidTr="00535FFE">
        <w:trPr>
          <w:trHeight w:val="510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Себестоимость произведенной продукции, 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5426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7176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7875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2449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699</w:t>
            </w:r>
          </w:p>
        </w:tc>
      </w:tr>
      <w:tr w:rsidR="00554734" w:rsidRPr="00513934" w:rsidTr="00535FFE">
        <w:trPr>
          <w:trHeight w:val="356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Площадь с\х угодий, га.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6449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8736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9227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2778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491</w:t>
            </w:r>
          </w:p>
        </w:tc>
      </w:tr>
      <w:tr w:rsidR="00554734" w:rsidRPr="00513934" w:rsidTr="00535FFE">
        <w:trPr>
          <w:trHeight w:val="555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244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259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15</w:t>
            </w:r>
          </w:p>
        </w:tc>
      </w:tr>
      <w:tr w:rsidR="00554734" w:rsidRPr="00513934" w:rsidTr="00535FFE">
        <w:trPr>
          <w:trHeight w:val="425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Затраты труда тыс. чел.-часов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552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873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598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277</w:t>
            </w:r>
          </w:p>
        </w:tc>
      </w:tr>
      <w:tr w:rsidR="00554734" w:rsidRPr="00513934" w:rsidTr="00535FFE">
        <w:trPr>
          <w:trHeight w:val="795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Среднегодовая стоимость основных производственных фондов,тыс.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1007</w:t>
            </w:r>
            <w:r w:rsidR="00535FFE"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1870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2995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1988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1125</w:t>
            </w:r>
          </w:p>
        </w:tc>
      </w:tr>
      <w:tr w:rsidR="00554734" w:rsidRPr="00513934" w:rsidTr="00535FFE">
        <w:trPr>
          <w:cantSplit/>
          <w:trHeight w:val="431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</w:p>
        </w:tc>
      </w:tr>
      <w:tr w:rsidR="00554734" w:rsidRPr="00513934" w:rsidTr="00535FFE">
        <w:trPr>
          <w:cantSplit/>
          <w:trHeight w:val="431"/>
        </w:trPr>
        <w:tc>
          <w:tcPr>
            <w:tcW w:w="9180" w:type="dxa"/>
            <w:gridSpan w:val="6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Показатели уровня интенсивности</w:t>
            </w:r>
          </w:p>
        </w:tc>
      </w:tr>
      <w:tr w:rsidR="00554734" w:rsidRPr="00513934" w:rsidTr="00535FFE">
        <w:trPr>
          <w:trHeight w:val="545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Фондообеспеченность, 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0,156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0,214 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0,324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0,168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0,11</w:t>
            </w:r>
          </w:p>
        </w:tc>
      </w:tr>
      <w:tr w:rsidR="00554734" w:rsidRPr="00513934" w:rsidTr="00535FFE">
        <w:trPr>
          <w:trHeight w:val="694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Фондовооруженность, тыс. грн.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3,77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6,19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11,56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7,79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5,37</w:t>
            </w:r>
          </w:p>
        </w:tc>
      </w:tr>
      <w:tr w:rsidR="00554734" w:rsidRPr="00513934" w:rsidTr="00535FFE">
        <w:trPr>
          <w:cantSplit/>
          <w:trHeight w:val="727"/>
        </w:trPr>
        <w:tc>
          <w:tcPr>
            <w:tcW w:w="3085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Приходится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513934">
                <w:rPr>
                  <w:rFonts w:ascii="Times New Roman" w:hAnsi="Times New Roman"/>
                  <w:spacing w:val="0"/>
                  <w:sz w:val="20"/>
                  <w:szCs w:val="20"/>
                </w:rPr>
                <w:t>100 га</w:t>
              </w:r>
            </w:smartTag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с\х угодий:</w:t>
            </w:r>
          </w:p>
          <w:p w:rsidR="00554734" w:rsidRPr="00513934" w:rsidRDefault="00554734" w:rsidP="00437465">
            <w:pPr>
              <w:pStyle w:val="21"/>
              <w:tabs>
                <w:tab w:val="num" w:pos="284"/>
              </w:tabs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numPr>
                <w:ilvl w:val="0"/>
                <w:numId w:val="8"/>
              </w:numPr>
              <w:tabs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Производственные затраты, тыс. грн.</w:t>
            </w:r>
          </w:p>
          <w:p w:rsidR="00554734" w:rsidRPr="00513934" w:rsidRDefault="00554734" w:rsidP="00437465">
            <w:pPr>
              <w:pStyle w:val="21"/>
              <w:numPr>
                <w:ilvl w:val="0"/>
                <w:numId w:val="8"/>
              </w:numPr>
              <w:tabs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Затрат труда, тыс. чел.-часов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84,1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82,1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3,0</w:t>
            </w:r>
          </w:p>
        </w:tc>
      </w:tr>
      <w:tr w:rsidR="00554734" w:rsidRPr="00513934" w:rsidTr="00535FFE">
        <w:trPr>
          <w:cantSplit/>
          <w:trHeight w:val="269"/>
        </w:trPr>
        <w:tc>
          <w:tcPr>
            <w:tcW w:w="3085" w:type="dxa"/>
            <w:vMerge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8,55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9,99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3,91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2,47</w:t>
            </w:r>
          </w:p>
        </w:tc>
      </w:tr>
      <w:tr w:rsidR="00554734" w:rsidRPr="00513934" w:rsidTr="00437465">
        <w:trPr>
          <w:cantSplit/>
          <w:trHeight w:val="372"/>
        </w:trPr>
        <w:tc>
          <w:tcPr>
            <w:tcW w:w="9180" w:type="dxa"/>
            <w:gridSpan w:val="6"/>
            <w:vAlign w:val="center"/>
          </w:tcPr>
          <w:p w:rsidR="00554734" w:rsidRPr="00513934" w:rsidRDefault="00554734" w:rsidP="00437465">
            <w:pPr>
              <w:pStyle w:val="21"/>
              <w:tabs>
                <w:tab w:val="num" w:pos="284"/>
              </w:tabs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Показатели эффективности интенсификации</w:t>
            </w:r>
          </w:p>
        </w:tc>
      </w:tr>
      <w:tr w:rsidR="00554734" w:rsidRPr="00513934" w:rsidTr="00535FFE">
        <w:trPr>
          <w:trHeight w:val="220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Фондоотдача 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5,4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3,8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-2,8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-1,2</w:t>
            </w:r>
          </w:p>
        </w:tc>
      </w:tr>
      <w:tr w:rsidR="00554734" w:rsidRPr="00513934" w:rsidTr="00535FFE">
        <w:trPr>
          <w:cantSplit/>
          <w:trHeight w:val="1130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Прибыль от реализации, тыс. грн.:</w:t>
            </w:r>
          </w:p>
          <w:p w:rsidR="00554734" w:rsidRPr="00513934" w:rsidRDefault="00554734" w:rsidP="00437465">
            <w:pPr>
              <w:pStyle w:val="21"/>
              <w:numPr>
                <w:ilvl w:val="1"/>
                <w:numId w:val="7"/>
              </w:numPr>
              <w:tabs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513934">
                <w:rPr>
                  <w:rFonts w:ascii="Times New Roman" w:hAnsi="Times New Roman"/>
                  <w:spacing w:val="0"/>
                  <w:sz w:val="20"/>
                  <w:szCs w:val="20"/>
                </w:rPr>
                <w:t>100 га</w:t>
              </w:r>
            </w:smartTag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с\х угодий</w:t>
            </w:r>
          </w:p>
          <w:p w:rsidR="00554734" w:rsidRPr="00513934" w:rsidRDefault="00554734" w:rsidP="00437465">
            <w:pPr>
              <w:pStyle w:val="21"/>
              <w:numPr>
                <w:ilvl w:val="1"/>
                <w:numId w:val="7"/>
              </w:numPr>
              <w:tabs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На 1 среднегодового работника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17,84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4,79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31,29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8,02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32,47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9,32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14,63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4,53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1,18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1,3</w:t>
            </w:r>
          </w:p>
        </w:tc>
      </w:tr>
      <w:tr w:rsidR="00554734" w:rsidRPr="00513934" w:rsidTr="00535FFE">
        <w:trPr>
          <w:trHeight w:val="440"/>
        </w:trPr>
        <w:tc>
          <w:tcPr>
            <w:tcW w:w="3085" w:type="dxa"/>
            <w:vAlign w:val="center"/>
          </w:tcPr>
          <w:p w:rsidR="00554734" w:rsidRPr="00513934" w:rsidRDefault="00554734" w:rsidP="00437465">
            <w:pPr>
              <w:pStyle w:val="21"/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Чистая прибыль в тыс. грн.</w:t>
            </w:r>
          </w:p>
          <w:p w:rsidR="00554734" w:rsidRPr="00513934" w:rsidRDefault="00554734" w:rsidP="00437465">
            <w:pPr>
              <w:pStyle w:val="21"/>
              <w:numPr>
                <w:ilvl w:val="1"/>
                <w:numId w:val="7"/>
              </w:numPr>
              <w:tabs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513934">
                <w:rPr>
                  <w:rFonts w:ascii="Times New Roman" w:hAnsi="Times New Roman"/>
                  <w:spacing w:val="0"/>
                  <w:sz w:val="20"/>
                  <w:szCs w:val="20"/>
                </w:rPr>
                <w:t>100 га</w:t>
              </w:r>
            </w:smartTag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с\х угодий</w:t>
            </w:r>
          </w:p>
          <w:p w:rsidR="00554734" w:rsidRPr="00513934" w:rsidRDefault="00554734" w:rsidP="00437465">
            <w:pPr>
              <w:pStyle w:val="21"/>
              <w:numPr>
                <w:ilvl w:val="1"/>
                <w:numId w:val="7"/>
              </w:numPr>
              <w:tabs>
                <w:tab w:val="num" w:pos="284"/>
              </w:tabs>
              <w:spacing w:after="0"/>
              <w:ind w:left="0" w:firstLine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На 1 среднегодового работника</w:t>
            </w:r>
          </w:p>
          <w:p w:rsidR="00554734" w:rsidRPr="00513934" w:rsidRDefault="00554734" w:rsidP="00437465">
            <w:pPr>
              <w:pStyle w:val="21"/>
              <w:tabs>
                <w:tab w:val="num" w:pos="284"/>
              </w:tabs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16,4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3,95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31,3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9,05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32,4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11,55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16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7,6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1,1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2,5</w:t>
            </w:r>
          </w:p>
        </w:tc>
      </w:tr>
      <w:tr w:rsidR="00554734" w:rsidRPr="00513934" w:rsidTr="00535FFE">
        <w:trPr>
          <w:trHeight w:val="500"/>
        </w:trPr>
        <w:tc>
          <w:tcPr>
            <w:tcW w:w="3085" w:type="dxa"/>
            <w:vAlign w:val="center"/>
          </w:tcPr>
          <w:p w:rsidR="00554734" w:rsidRPr="00513934" w:rsidRDefault="00535FFE" w:rsidP="00437465">
            <w:pPr>
              <w:pStyle w:val="21"/>
              <w:tabs>
                <w:tab w:val="num" w:pos="284"/>
              </w:tabs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="00554734" w:rsidRPr="00513934">
              <w:rPr>
                <w:rFonts w:ascii="Times New Roman" w:hAnsi="Times New Roman"/>
                <w:spacing w:val="0"/>
                <w:sz w:val="20"/>
                <w:szCs w:val="20"/>
              </w:rPr>
              <w:t>4.</w:t>
            </w: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="00554734" w:rsidRPr="00513934">
              <w:rPr>
                <w:rFonts w:ascii="Times New Roman" w:hAnsi="Times New Roman"/>
                <w:spacing w:val="0"/>
                <w:sz w:val="20"/>
                <w:szCs w:val="20"/>
              </w:rPr>
              <w:t>Уровень рентабельности предприятия</w:t>
            </w:r>
          </w:p>
        </w:tc>
        <w:tc>
          <w:tcPr>
            <w:tcW w:w="1276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28,6</w:t>
            </w:r>
          </w:p>
        </w:tc>
        <w:tc>
          <w:tcPr>
            <w:tcW w:w="1417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55,3</w:t>
            </w:r>
          </w:p>
        </w:tc>
        <w:tc>
          <w:tcPr>
            <w:tcW w:w="141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44,9</w:t>
            </w:r>
          </w:p>
        </w:tc>
        <w:tc>
          <w:tcPr>
            <w:tcW w:w="1134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16,3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-10,4</w:t>
            </w:r>
          </w:p>
        </w:tc>
      </w:tr>
    </w:tbl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  <w:szCs w:val="2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Более полно эффективность с\х производства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 ЧСП «Агрофирма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 можно охарактеризовать, проанализировав показатели уровня интенсивности и эффективности интенсификации.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Показателем уровня интенсивности характеризуют степень затрат или вложений, направленных на производство продукции в расчете на единицу ресурсного потенциала.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 показателям эффективности интенсификации относят такие показатели, которые характеризируют сумму эффекта или конечного результата в расчете на единицу ресурсного потенциала или на одну гривну затрат, понесенных на производство.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Анализируя показатели уровня интенсификации, можно сделать выводы. Фондообеспеченность, характеризующая стоимость основных производственных фондов в расчете на единицу земельной площади, в2003 составила 156 грн, 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2004 году этот показатель поднялся до 214 грн. В 2005 году он составил 324 грн, что на 110 грн. Больше чем в 2004 году.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Показатель фондовооруженности характеризующий отношение стоимости основных производственных фондов к среднегодовой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численности работников в хозяйстве. Анализируя этот показатель в динамике за 3 года мы видим, что этот показатель увеличивается в 2003г. он составил 3,77 тыс.грн., в 2004 – 6,19, а в 2005 – 11,56.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Увеличение значений показателей фондообеспеченности и фондообеспеченности обусловлено увеличением стоимости основных производственных фондов, которая составила в 2003г. – 1007 тыс. грн. В 2004г. – 1870 тыс. грн., а в 2005г. – 2995 тыс. грн.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В 2003г. на </w:t>
      </w:r>
      <w:smartTag w:uri="urn:schemas-microsoft-com:office:smarttags" w:element="metricconverter">
        <w:smartTagPr>
          <w:attr w:name="ProductID" w:val="100 га"/>
        </w:smartTagPr>
        <w:r w:rsidRPr="00437465">
          <w:rPr>
            <w:rFonts w:ascii="Times New Roman" w:hAnsi="Times New Roman"/>
            <w:spacing w:val="0"/>
          </w:rPr>
          <w:t>100 га</w:t>
        </w:r>
      </w:smartTag>
      <w:r w:rsidRPr="00437465">
        <w:rPr>
          <w:rFonts w:ascii="Times New Roman" w:hAnsi="Times New Roman"/>
          <w:spacing w:val="0"/>
        </w:rPr>
        <w:t xml:space="preserve"> с\х угодий приходилось 84,1 тыс. грн. производственных затрат, в 2003г. – 82,1 тыс. грн., а в 2005 – 85,1 тыс. грн. Количество прямых затрат труда в расчете на </w:t>
      </w:r>
      <w:smartTag w:uri="urn:schemas-microsoft-com:office:smarttags" w:element="metricconverter">
        <w:smartTagPr>
          <w:attr w:name="ProductID" w:val="100 га"/>
        </w:smartTagPr>
        <w:r w:rsidRPr="00437465">
          <w:rPr>
            <w:rFonts w:ascii="Times New Roman" w:hAnsi="Times New Roman"/>
            <w:spacing w:val="0"/>
          </w:rPr>
          <w:t>100 га</w:t>
        </w:r>
      </w:smartTag>
      <w:r w:rsidRPr="00437465">
        <w:rPr>
          <w:rFonts w:ascii="Times New Roman" w:hAnsi="Times New Roman"/>
          <w:spacing w:val="0"/>
        </w:rPr>
        <w:t xml:space="preserve"> с\х угодий в 2003г. составило 8,55 тыс. чел-часов, а в 2005г. – этот показатель составил 12,46 тыс. чел-часов.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При анализе показателей эффективности интенсификации, фондоотдача, которая показывает стоимость валовой продукции, полученой при использовании единицы основных производственных фондов, в 2003г. составила 5,4 , в 2005г. значение этого показателя уменшилась на 2,8 и составило 2,6. это связано с увеличением стоимости основных производственных фондов.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В 2005г. по сравнению с 2003г. увеличился размер прибыли от реализации продукции, работ и услуг. Так сумма прибыли в расчете на </w:t>
      </w:r>
      <w:smartTag w:uri="urn:schemas-microsoft-com:office:smarttags" w:element="metricconverter">
        <w:smartTagPr>
          <w:attr w:name="ProductID" w:val="100 га"/>
        </w:smartTagPr>
        <w:r w:rsidRPr="00437465">
          <w:rPr>
            <w:rFonts w:ascii="Times New Roman" w:hAnsi="Times New Roman"/>
            <w:spacing w:val="0"/>
          </w:rPr>
          <w:t>100 га</w:t>
        </w:r>
      </w:smartTag>
      <w:r w:rsidRPr="00437465">
        <w:rPr>
          <w:rFonts w:ascii="Times New Roman" w:hAnsi="Times New Roman"/>
          <w:spacing w:val="0"/>
        </w:rPr>
        <w:t xml:space="preserve"> с\х угодий увеличилась на 14,63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тыс. грн., и составила 32,47 тыс. грн. В расчете на одного среднегодового работника сумма прибыли увеличилась на 4,53 тыс. грн. и составила 9,39 тыс. грн. увеличение прибыли повлекло за собой увеличение уровня рентабельности предприятия в 2005г. на 16,3 % по сравнению с 2003 годом.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2 Организационно-правовая форма ЧСП «Агрофирма Приволье»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ЧСП «Агрофирма Приволье» осуществляет свою деятельность на основе таких Законов Украины как: «О предприятиях», «О предпринимательстве», «О частных предприятиях».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ЧСП – это предприятие учрежденное одним лицом, уставный капитал которого состоит из суммы арендованных имущественных и земельных паев. Глава предприятия несет ответственность и отвечает перед своими обязанностями перед теми кто заключил с ним договор «Аренды земли». В тоже время предприятие как юридическое лицо отвечает перед своими кредиторами по обязательствам только своим имуществом, а не имуществом арендованных паев.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Для осуществления хозяйственной деятельности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«Агрофирма Приволье» формирует уставный капитал в размере 9 тыс. грн.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Главной целью предприятия является получение прибыли. Согласно уставу предприятия прибыль формируется в результате реализации сельскохозяйственной продукции.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Так для нормальной хозяйственной деятельности и с целью устранения возможных рисков финансового характера, ЧСП «Агрофирма Приволье» формирует резервный фонд в размере 25% уставного фонда. Резервный фонд формируется за счет ежегодных 5% отчислений от чистой прибыли.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Высшим органом ЧСП «Агрофирма Приволье» является директор который является высшим звеном в цепи управления данным предприятием(Приложение №2). Он и осуществляет руководство и смотрит за деятельностью предприятия в целом.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3 СТРУКТУРА УПРАВЛЕНИЯ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ЧСП «АФ ПРИВОЛЬЕ»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Достижение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организационных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целей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предлагает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совместную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людей,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являющихся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работниками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Каждое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нуждается 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координации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этого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взаимодействия,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установление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определенного внутреннего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порядка,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этот порядок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проявляется 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форме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организационной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структуре.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Организационная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определяет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соотношение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между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функциями,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выполняемыми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сотрудниками предприятия.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проявляется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таких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формах как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разделение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создание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специализированных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подразделений, иерархия должностей,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внутриорганизационные процедуры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является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необходимым элементом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эффективной организации,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предает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ей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внутреннюю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стабильность и позволяет добиться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определенного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порядка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использовании ресурсов.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Традиционно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организационной структурой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понимается,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прежде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всего,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принцип,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положенный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основу разделения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труда.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Как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любое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«АФ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также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имеет,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сорю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производственно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финансовое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устройство.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 глядя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приложение №2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можно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сказать,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верхнее звено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занимает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директор, которому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подчиняются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остальные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звенья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Среднее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звено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возглавляют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главный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бухгалтер, главный ветврач,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главный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инженер,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главный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агроном, инженер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охране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труда.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Нижнее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звено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состоит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вет.фельшера,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бухгалтерии,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заведующего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гаражом,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мастерской,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бригадиров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растениеводческих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бригад,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заведующего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током и прорабом.</w:t>
      </w:r>
      <w:r w:rsidR="00535FFE" w:rsidRPr="00437465">
        <w:rPr>
          <w:rFonts w:ascii="Times New Roman" w:hAnsi="Times New Roman"/>
          <w:spacing w:val="0"/>
        </w:rPr>
        <w:t xml:space="preserve">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Приложение №3 отражает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производственное устройство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«АФ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которое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состоит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основного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вспомогательного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обслуживающего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производства.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Отсутствует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хозяйстве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отдел,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который бы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занимался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маркетингом,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разработкой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стратегии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тактики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сбыта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готовой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продукции,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совместно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 главным экономистом занимался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разработкой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проведением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мероприятий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снижению затрат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сбыт.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4 ОРГАНИЗАЦИЯ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ТРУДА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РУКОВОДИТЕЛЕЙ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И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СПЕЦИАЛИСТОВ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Основным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критерием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уровня организации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аппарата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является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времени.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эффективной работы аппарата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 необходимо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выполнить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ряд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условий: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Разработать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или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утвердить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положение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подразделениях,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должностные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инструкции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для руководителей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специалистов,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позволит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рационально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распределить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работу между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разными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категориями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работников;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Рациональная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организации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всех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даст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возможность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достичь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согласованности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производством;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Провести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наблюдения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времени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каждого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позволит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иметь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исходные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данные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планирования.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анализа существующих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форм организации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 применяется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фотография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или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самофотография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дня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руководителя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или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Чтобы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детально изучить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распорядок 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дня руководителя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11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января 2007 года была проведена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фотография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дня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«АФ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Оденчука Д.А.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приведенных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данных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Приложения 4 следует,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большую часть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времени руководитель,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отдает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оперативному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организации производства.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Нужно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заметить,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один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день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отражает истинную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структуру 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времени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руководителя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существенных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выводов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этого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недостаточно. 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более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выявления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времени,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все работникам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управления следует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самофотографию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дня.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5 ОРГАНИЗАЦИЯ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ЭКОНОМИЧЕСКОЙ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СЛУЖБЫ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ЧСП «АФ ПРИВОЛЬЕ»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Результативность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деятельности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многом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зависит от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правильной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организации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службы.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Экономическая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служба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выполняет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обязанности: 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Разработка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совместно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 другими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руководителями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производственно- финансового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плана 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годовых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хозрасчетных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заданий;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Расчет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технологических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карт;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Формирование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системы оплаты труда;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Внедрение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технически- обоснованных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норм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выработки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 все виды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Разработка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положения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 фонде материального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стимулирования;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Составление штатного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расписания;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Контроль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правильности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применения норм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выработки;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Проведение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анализа;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Выявление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резервов увеличения производства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продукции;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Снижение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себестоимости продукции;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Повышение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производительности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труда;</w:t>
      </w:r>
    </w:p>
    <w:p w:rsidR="00554734" w:rsidRPr="00437465" w:rsidRDefault="00554734" w:rsidP="00437465">
      <w:pPr>
        <w:pStyle w:val="21"/>
        <w:numPr>
          <w:ilvl w:val="0"/>
          <w:numId w:val="1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Разработка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методики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аттестации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проведения;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Планово -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отдел ЧСП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«АФ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Приволье» состоит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из главного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экономиста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экономиста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труду.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Планово -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отдел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предприятия, кроме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вышеперечисленных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функций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предоставляет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материалы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 наложении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взыскания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привлечения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ответственности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работников предприятия,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выполненных и невыполненных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плановых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заданий,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нарушения технологий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перерасход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лимитов затрат, нарушение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трудовой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дисциплины.</w:t>
      </w:r>
      <w:r w:rsidR="00535FFE" w:rsidRPr="00437465">
        <w:rPr>
          <w:rFonts w:ascii="Times New Roman" w:hAnsi="Times New Roman"/>
          <w:spacing w:val="0"/>
        </w:rPr>
        <w:t xml:space="preserve">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Также экономический отдел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дает заключение 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материалам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предоставленных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 поощрение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работников.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более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оперативного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всестороннего анализа предприятия функционирует структура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экономического анализа.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входит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специалисты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подразделений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руководителей,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также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передовые работники.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Возглавляет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структуру экономического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анализа -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главный экономист.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Заседание проводят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ежемесячно,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также 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необходимости. 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начале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года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составляется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работы.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Основными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функциями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структуры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анализа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является: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разработка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основных,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текущих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перспективных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планов развития производства;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глубокий 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всесторонний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анализ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его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хозрасчетных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подразделений;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анализ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ресурсов 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выполнения производственной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программы;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анализ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договорных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обязательств;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анализ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качества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соблюдения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сроков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использования;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анализ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себестоимости продукции,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услуг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финансовых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результатов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рентабельности,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финансового положения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выполнению плана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капитальных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вложений.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Структура экономического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анализа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разрабатывает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экономически обоснованные предложения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мероприятию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дальнейшей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интенсификации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увеличения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улучшения качества продукции,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росту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производительности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труда, снижение производственных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затрат,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более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полному и эффективному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использованию ресурсов.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6 СИСТЕМА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ВНУТРИХОЗЯЙСТВЕННОГО</w:t>
      </w:r>
      <w:r w:rsidR="00535FFE" w:rsidRPr="00437465">
        <w:rPr>
          <w:rFonts w:ascii="Times New Roman" w:hAnsi="Times New Roman"/>
          <w:b/>
          <w:spacing w:val="0"/>
        </w:rPr>
        <w:t xml:space="preserve"> </w:t>
      </w:r>
      <w:r w:rsidRPr="00437465">
        <w:rPr>
          <w:rFonts w:ascii="Times New Roman" w:hAnsi="Times New Roman"/>
          <w:b/>
          <w:spacing w:val="0"/>
        </w:rPr>
        <w:t>ПЛАНИРОВАНИЯ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Система планирования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 АФ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«Приволье»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включает разработку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перспективных,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годовых и оперативных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планов.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Перспективные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определяют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направления,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масштабы 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темпы экономического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социального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развития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 несколько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лет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вперед.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Они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должны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основываться 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поиске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оптимального варианта,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то есть на прогнозе максимального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продукции при минимальных затратах труда и средств.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 хозяйству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должен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быть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органически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связан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развитием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отраслей сельского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хозяйства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районе, агропромышленного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комплекса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целом.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настоящее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 анализируемом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предприятии, как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 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большинстве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Украины,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этот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вид плана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 составляется,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 как в настоящее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время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из – за нестабильности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 экономике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политике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государства по отношению 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сельскохозяйственным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предприятиям, составить достоверный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прогноз на несколько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лет практически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невозможно.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Даже 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составлении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годовых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планов,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экономическая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служба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сталкивается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многими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трудностями.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Так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нестабильные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цены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определенные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виды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услуг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не позволяют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обоснованно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спланировать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стоимостные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показатели.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 результате,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стоимостные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показатели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корректируются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насколько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раз за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плановый год.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ЧСП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АФ «Приволье»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составляются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следующие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текущие планы: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годовой производственно – финансовый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экономического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социального развития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предприятия;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хозрасчетные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производственные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задания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подразделениям.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Годовой план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представляет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собой,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программу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работы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хозяйства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конкретный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календарный год.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Оперативные планы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представляют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собой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детализацию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годовых.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Они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включают: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рабочие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планы,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которые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составляют на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определенные рабочие подразделения;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декадные,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месячные,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квартальные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для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обслуживающих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производств;</w:t>
      </w:r>
    </w:p>
    <w:p w:rsidR="00554734" w:rsidRPr="00437465" w:rsidRDefault="00554734" w:rsidP="00437465">
      <w:pPr>
        <w:pStyle w:val="21"/>
        <w:numPr>
          <w:ilvl w:val="0"/>
          <w:numId w:val="2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планы – наряды – задание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конкретным исполнителям по выполнению работ,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намеченных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рабочими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планами.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Эти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виды планов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тесно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взаимосвязаны.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Все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они решают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одну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общую задачу,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но каждый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содействует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ее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выполнению по- своему.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Каждый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план, необходимое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звено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 xml:space="preserve">внутрихозяйственного планирования.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b/>
          <w:spacing w:val="0"/>
        </w:rPr>
        <w:t>7 УПРАВЛЕНИЕ ТРУДОВЫМИ РЕСУРСАМИ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Известно, что труд является одним из важнейших фа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торов в жизни человека, естественной его необходимости. Воздействуя на природу человек, создает свою среду обитания, условия для жизни дальнейшего своего развития.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Процесс труда включает в себя следующие элементы:</w:t>
      </w:r>
    </w:p>
    <w:p w:rsidR="00554734" w:rsidRPr="00437465" w:rsidRDefault="00554734" w:rsidP="00437465">
      <w:pPr>
        <w:pStyle w:val="21"/>
        <w:numPr>
          <w:ilvl w:val="0"/>
          <w:numId w:val="3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собственно труд как целесообразную деятельность человека;</w:t>
      </w:r>
    </w:p>
    <w:p w:rsidR="00554734" w:rsidRPr="00437465" w:rsidRDefault="00554734" w:rsidP="00437465">
      <w:pPr>
        <w:pStyle w:val="21"/>
        <w:numPr>
          <w:ilvl w:val="0"/>
          <w:numId w:val="3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предмет труда;</w:t>
      </w:r>
    </w:p>
    <w:p w:rsidR="00554734" w:rsidRPr="00437465" w:rsidRDefault="00554734" w:rsidP="00437465">
      <w:pPr>
        <w:pStyle w:val="21"/>
        <w:numPr>
          <w:ilvl w:val="0"/>
          <w:numId w:val="3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средства труда;</w:t>
      </w:r>
    </w:p>
    <w:p w:rsidR="00554734" w:rsidRPr="00437465" w:rsidRDefault="00554734" w:rsidP="00437465">
      <w:pPr>
        <w:pStyle w:val="21"/>
        <w:numPr>
          <w:ilvl w:val="0"/>
          <w:numId w:val="3"/>
        </w:numPr>
        <w:spacing w:after="0"/>
        <w:ind w:left="0"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результат труда.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В состав трудовых ресурсов сельскохозяйственного производства включается рабочая сила − совокупность физических и духовных способностей, которыми обладает человек, и которые могут быть им использованы в производственном процессе.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Труд в сельском хозяйстве имеет свои специфические особенности, которые сводятся к следующим: эффективность труда в большей степени зависит не от его интенсивности, а от природно-климатических условий и плодородия почвы. Эта особенность снижает мотивацию труда и требует создания иных стимулов для повышения его качества и интенсивности; процесс труда в сельском хозяйстве носит ярко выраженный сезонный характер, что обуславливает неравномерное использование трудового потенциала в зависимости от времени года, кроме того, это делает невозможной узкую специализацию работников, занятых в производственном процессе. Последнее, в свою очередь, ведет к дополнительным затратам финансовых ресурсов для обучения работников по нескольким смежным специальностям и обуславливает сравнительно низкий уровень квалификации. Большая часть производственных процессов осуществляется в природных условиях, что влечет за собой дополнительные затраты по обеспечению персонала спец одеждой.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Следовательно, наиболее вероятным направлением повышения производительности труда является его интенсификация.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Управление трудовыми ресурсами – целенаправленное воздействие, оказывающее влияние на подбор и расстановку, обучение и оценку деятельности, движение кадров предприятия. Подбор, управление персоналом имеет исключительное значение для достижения поставленных перед предприятием задач.</w:t>
      </w:r>
    </w:p>
    <w:p w:rsidR="00554734" w:rsidRPr="00437465" w:rsidRDefault="00535FFE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br w:type="page"/>
      </w:r>
      <w:r w:rsidR="00554734" w:rsidRPr="00437465">
        <w:rPr>
          <w:rFonts w:ascii="Times New Roman" w:hAnsi="Times New Roman"/>
          <w:spacing w:val="0"/>
        </w:rPr>
        <w:t>Таблица 3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Состав, структура и динамика трудовых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ресурсов ЧСП «Агрофирма Приволье»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70"/>
        <w:gridCol w:w="789"/>
        <w:gridCol w:w="1088"/>
        <w:gridCol w:w="789"/>
        <w:gridCol w:w="1088"/>
        <w:gridCol w:w="805"/>
        <w:gridCol w:w="850"/>
        <w:gridCol w:w="709"/>
      </w:tblGrid>
      <w:tr w:rsidR="00554734" w:rsidRPr="00513934" w:rsidTr="00535FFE">
        <w:trPr>
          <w:cantSplit/>
        </w:trPr>
        <w:tc>
          <w:tcPr>
            <w:tcW w:w="1951" w:type="dxa"/>
            <w:vMerge w:val="restart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Категория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работников</w:t>
            </w:r>
          </w:p>
        </w:tc>
        <w:tc>
          <w:tcPr>
            <w:tcW w:w="1759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</w:t>
            </w:r>
          </w:p>
        </w:tc>
        <w:tc>
          <w:tcPr>
            <w:tcW w:w="1877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</w:t>
            </w:r>
          </w:p>
        </w:tc>
        <w:tc>
          <w:tcPr>
            <w:tcW w:w="1893" w:type="dxa"/>
            <w:gridSpan w:val="2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2005</w:t>
            </w:r>
          </w:p>
        </w:tc>
        <w:tc>
          <w:tcPr>
            <w:tcW w:w="1559" w:type="dxa"/>
            <w:gridSpan w:val="2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Отклонение среднегодовой численности работников 2005г. от уровня</w:t>
            </w:r>
          </w:p>
        </w:tc>
      </w:tr>
      <w:tr w:rsidR="00554734" w:rsidRPr="00513934" w:rsidTr="00535FFE">
        <w:trPr>
          <w:cantSplit/>
          <w:trHeight w:val="2026"/>
        </w:trPr>
        <w:tc>
          <w:tcPr>
            <w:tcW w:w="1951" w:type="dxa"/>
            <w:vMerge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70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Среднегодовая 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численность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работников 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%</w:t>
            </w:r>
          </w:p>
        </w:tc>
        <w:tc>
          <w:tcPr>
            <w:tcW w:w="1088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Среднегодовая 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численность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работников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%</w:t>
            </w:r>
          </w:p>
        </w:tc>
        <w:tc>
          <w:tcPr>
            <w:tcW w:w="1088" w:type="dxa"/>
            <w:textDirection w:val="btL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Среднегодовая 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численность</w:t>
            </w:r>
          </w:p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работников</w:t>
            </w:r>
          </w:p>
        </w:tc>
        <w:tc>
          <w:tcPr>
            <w:tcW w:w="80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2003</w:t>
            </w:r>
          </w:p>
        </w:tc>
        <w:tc>
          <w:tcPr>
            <w:tcW w:w="709" w:type="dxa"/>
            <w:textDirection w:val="btLr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2004</w:t>
            </w:r>
          </w:p>
        </w:tc>
      </w:tr>
      <w:tr w:rsidR="00554734" w:rsidRPr="00513934" w:rsidTr="00535FFE">
        <w:tc>
          <w:tcPr>
            <w:tcW w:w="19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Занятые в с\х производстве</w:t>
            </w:r>
          </w:p>
        </w:tc>
        <w:tc>
          <w:tcPr>
            <w:tcW w:w="97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229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95,4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232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95,1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249</w:t>
            </w:r>
          </w:p>
        </w:tc>
        <w:tc>
          <w:tcPr>
            <w:tcW w:w="80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96,1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17</w:t>
            </w:r>
          </w:p>
        </w:tc>
      </w:tr>
      <w:tr w:rsidR="00554734" w:rsidRPr="00513934" w:rsidTr="00535FFE">
        <w:tc>
          <w:tcPr>
            <w:tcW w:w="19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В т. ч. работников растениеводства</w:t>
            </w:r>
          </w:p>
        </w:tc>
        <w:tc>
          <w:tcPr>
            <w:tcW w:w="97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143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59,6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127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52,1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147</w:t>
            </w:r>
          </w:p>
        </w:tc>
        <w:tc>
          <w:tcPr>
            <w:tcW w:w="80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56,7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20</w:t>
            </w:r>
          </w:p>
        </w:tc>
      </w:tr>
      <w:tr w:rsidR="00554734" w:rsidRPr="00513934" w:rsidTr="00535FFE">
        <w:tc>
          <w:tcPr>
            <w:tcW w:w="19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Работников животноводства</w:t>
            </w:r>
          </w:p>
        </w:tc>
        <w:tc>
          <w:tcPr>
            <w:tcW w:w="97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86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35,8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105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43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102</w:t>
            </w:r>
          </w:p>
        </w:tc>
        <w:tc>
          <w:tcPr>
            <w:tcW w:w="80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39,4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-3</w:t>
            </w:r>
          </w:p>
        </w:tc>
      </w:tr>
      <w:tr w:rsidR="00554734" w:rsidRPr="00513934" w:rsidTr="00535FFE">
        <w:tc>
          <w:tcPr>
            <w:tcW w:w="19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Занятые не в с\х производстве</w:t>
            </w:r>
          </w:p>
        </w:tc>
        <w:tc>
          <w:tcPr>
            <w:tcW w:w="97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4,6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4,9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80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3,9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-1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-2</w:t>
            </w:r>
          </w:p>
        </w:tc>
      </w:tr>
      <w:tr w:rsidR="00554734" w:rsidRPr="00513934" w:rsidTr="00535FFE">
        <w:trPr>
          <w:trHeight w:val="531"/>
        </w:trPr>
        <w:tc>
          <w:tcPr>
            <w:tcW w:w="1951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Общая численность</w:t>
            </w:r>
          </w:p>
        </w:tc>
        <w:tc>
          <w:tcPr>
            <w:tcW w:w="97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240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244</w:t>
            </w:r>
          </w:p>
        </w:tc>
        <w:tc>
          <w:tcPr>
            <w:tcW w:w="78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  <w:tc>
          <w:tcPr>
            <w:tcW w:w="1088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259</w:t>
            </w:r>
          </w:p>
        </w:tc>
        <w:tc>
          <w:tcPr>
            <w:tcW w:w="805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54734" w:rsidRPr="00513934" w:rsidRDefault="00554734" w:rsidP="00437465">
            <w:pPr>
              <w:pStyle w:val="21"/>
              <w:spacing w:after="0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513934">
              <w:rPr>
                <w:rFonts w:ascii="Times New Roman" w:hAnsi="Times New Roman"/>
                <w:spacing w:val="0"/>
                <w:sz w:val="20"/>
                <w:szCs w:val="20"/>
              </w:rPr>
              <w:t>15</w:t>
            </w:r>
          </w:p>
        </w:tc>
      </w:tr>
    </w:tbl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На основании данных таблицы 3 можно сделать вывод, что среднегодовая численность работников в ЧСП «Агрофирма Приволье» имела тенденцию увеличению. Если в 2003г. она составила 240 человек, то в 2005 – 259 человек, что на 7% больше. Увеличение численности работников наблюдается во всех отраслях, но наибольший – в животноводстве. В животноводстве численность работников увеличилась в 2005г. по сравнению с 2003г. на 18,6%, что обусловлено, прежде всего, увеличением поголовья КРС и появлением свинофермы.</w:t>
      </w:r>
    </w:p>
    <w:p w:rsidR="00554734" w:rsidRPr="00437465" w:rsidRDefault="00535FFE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 </w:t>
      </w:r>
      <w:r w:rsidR="00554734" w:rsidRPr="00437465">
        <w:rPr>
          <w:rFonts w:ascii="Times New Roman" w:hAnsi="Times New Roman"/>
          <w:spacing w:val="0"/>
        </w:rPr>
        <w:t xml:space="preserve">Сейчас перед руководителями предприятий стоит задача по совершенствованию управления имеющихся в их распоряжении трудовыми ресурсами. Правильное сочетание, последовательное применение различных методов воздействия на коллектив -административно - распорядительных, социально – психологических и экономических способно создать условия для успешного решения одной из основных задач управления персоналом – задачи побуждения работников к развитию их способностей для более интенсивного и производительного труда. </w:t>
      </w:r>
    </w:p>
    <w:p w:rsidR="00554734" w:rsidRPr="00437465" w:rsidRDefault="00535FFE" w:rsidP="00437465">
      <w:pPr>
        <w:pStyle w:val="21"/>
        <w:spacing w:after="0"/>
        <w:ind w:firstLine="720"/>
        <w:jc w:val="center"/>
        <w:rPr>
          <w:rFonts w:ascii="Times New Roman" w:hAnsi="Times New Roman"/>
          <w:b/>
          <w:spacing w:val="0"/>
        </w:rPr>
      </w:pPr>
      <w:r w:rsidRPr="00437465">
        <w:rPr>
          <w:rFonts w:ascii="Times New Roman" w:hAnsi="Times New Roman"/>
          <w:spacing w:val="0"/>
        </w:rPr>
        <w:br w:type="page"/>
      </w:r>
      <w:r w:rsidR="00554734" w:rsidRPr="00437465">
        <w:rPr>
          <w:rFonts w:ascii="Times New Roman" w:hAnsi="Times New Roman"/>
          <w:b/>
          <w:spacing w:val="0"/>
        </w:rPr>
        <w:t>Выводы и предложения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Основной целью деятельности ЧСП «Агрофирма Приволье» является получением прибыли. Но, как было указано выше, чистая прибыль и, соответственно, уровень рентабельности производства в течении последних трех лет имеет тенденцию к увеличению (прибыль на 1936тыс.грн., а рентабельность на 16,3%). Темпы роста себестоимости произведенной продукции на 2449тыс.грн., Трудовые ресурсы на предприятии используются рационально. Так, в 2003г. одним работником было отработано 2300 часов, в 2004 – 3577 часов, в 2005 – 4440 часов, при норме рабочего времени 2002 часа. 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 xml:space="preserve">В хозяйстве хорошо развиты производство зерна, подсолнечника и производство молока и мяса КРС, а вот развитию по выращиванию свиней и овец уделяется, не заслужено мало внимания. Если учесть сезонный характер производства продукции растениеводства, трудности со сбытом зерна, а, следовательно, и не регулярность поступления денежных средств от реализации зерна, то необходимо развивать такую отрасль животноводства как свиноводство. Реализация взрослого поголовья на мясо и молодняка свиней обеспечит предприятию дополнительное поступление денежных средств в перерывах между реализацией зерна и подсолнечника. Так же целесообразно развивать такую отрасль животноводство как овцеводство. Для этой отрасли животноводства производственная база (помещения корма) на предприятии имеется. Так как овцеводческих комплексов в районе, не осталось, то ни какой конкуренции со стороны других предприятий не </w:t>
      </w:r>
      <w:r w:rsidR="00437465" w:rsidRPr="00437465">
        <w:rPr>
          <w:rFonts w:ascii="Times New Roman" w:hAnsi="Times New Roman"/>
          <w:spacing w:val="0"/>
        </w:rPr>
        <w:t>будет,</w:t>
      </w:r>
      <w:r w:rsidR="00535FFE" w:rsidRPr="00437465">
        <w:rPr>
          <w:rFonts w:ascii="Times New Roman" w:hAnsi="Times New Roman"/>
          <w:spacing w:val="0"/>
        </w:rPr>
        <w:t xml:space="preserve"> </w:t>
      </w:r>
      <w:r w:rsidRPr="00437465">
        <w:rPr>
          <w:rFonts w:ascii="Times New Roman" w:hAnsi="Times New Roman"/>
          <w:spacing w:val="0"/>
        </w:rPr>
        <w:t>что даст развиваться отрасли.</w:t>
      </w:r>
    </w:p>
    <w:p w:rsidR="00554734" w:rsidRPr="00437465" w:rsidRDefault="00554734" w:rsidP="00437465">
      <w:pPr>
        <w:pStyle w:val="21"/>
        <w:spacing w:after="0"/>
        <w:ind w:firstLine="720"/>
        <w:rPr>
          <w:rFonts w:ascii="Times New Roman" w:hAnsi="Times New Roman"/>
          <w:spacing w:val="0"/>
        </w:rPr>
      </w:pPr>
      <w:r w:rsidRPr="00437465">
        <w:rPr>
          <w:rFonts w:ascii="Times New Roman" w:hAnsi="Times New Roman"/>
          <w:spacing w:val="0"/>
        </w:rPr>
        <w:t>Для разработки стратегии и тактики сбыта готовой продукции необходимо ввести в штат специалиста по маркетингу. Это также позволить руководителю уделять больше внимания и времени производственным вопросам.</w:t>
      </w:r>
      <w:bookmarkStart w:id="0" w:name="_GoBack"/>
      <w:bookmarkEnd w:id="0"/>
    </w:p>
    <w:sectPr w:rsidR="00554734" w:rsidRPr="00437465" w:rsidSect="00437465">
      <w:pgSz w:w="11906" w:h="16838" w:code="9"/>
      <w:pgMar w:top="1134" w:right="851" w:bottom="1134" w:left="1701" w:header="709" w:footer="709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34" w:rsidRDefault="00513934">
      <w:r>
        <w:separator/>
      </w:r>
    </w:p>
  </w:endnote>
  <w:endnote w:type="continuationSeparator" w:id="0">
    <w:p w:rsidR="00513934" w:rsidRDefault="0051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34" w:rsidRDefault="00513934">
      <w:r>
        <w:separator/>
      </w:r>
    </w:p>
  </w:footnote>
  <w:footnote w:type="continuationSeparator" w:id="0">
    <w:p w:rsidR="00513934" w:rsidRDefault="0051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C5C"/>
    <w:multiLevelType w:val="hybridMultilevel"/>
    <w:tmpl w:val="B866C0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B49E6"/>
    <w:multiLevelType w:val="hybridMultilevel"/>
    <w:tmpl w:val="64EADB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E53B9"/>
    <w:multiLevelType w:val="hybridMultilevel"/>
    <w:tmpl w:val="D00E6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3917AD"/>
    <w:multiLevelType w:val="hybridMultilevel"/>
    <w:tmpl w:val="9FE21F14"/>
    <w:lvl w:ilvl="0" w:tplc="8C2ABF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4E5E1EB1"/>
    <w:multiLevelType w:val="hybridMultilevel"/>
    <w:tmpl w:val="48FA11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967FA"/>
    <w:multiLevelType w:val="hybridMultilevel"/>
    <w:tmpl w:val="D974B604"/>
    <w:lvl w:ilvl="0" w:tplc="DBEA1F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3476BDD"/>
    <w:multiLevelType w:val="hybridMultilevel"/>
    <w:tmpl w:val="8340A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14682D"/>
    <w:multiLevelType w:val="hybridMultilevel"/>
    <w:tmpl w:val="C4EE73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B9F"/>
    <w:rsid w:val="000D125A"/>
    <w:rsid w:val="00161E1C"/>
    <w:rsid w:val="00272B9F"/>
    <w:rsid w:val="003C1083"/>
    <w:rsid w:val="00437465"/>
    <w:rsid w:val="00513934"/>
    <w:rsid w:val="00535FFE"/>
    <w:rsid w:val="00554734"/>
    <w:rsid w:val="009236E1"/>
    <w:rsid w:val="00A40572"/>
    <w:rsid w:val="00AF71BA"/>
    <w:rsid w:val="00E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DCE84E-5692-4CCA-9BB6-244D637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  <w:rsid w:val="00AF71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F71BA"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шрифт"/>
  </w:style>
  <w:style w:type="paragraph" w:customStyle="1" w:styleId="BodyText">
    <w:name w:val="Body Text.Рабочий"/>
    <w:basedOn w:val="a"/>
    <w:autoRedefine/>
    <w:pPr>
      <w:tabs>
        <w:tab w:val="left" w:pos="993"/>
      </w:tabs>
      <w:spacing w:line="360" w:lineRule="auto"/>
      <w:ind w:left="1418" w:right="142" w:hanging="851"/>
      <w:jc w:val="both"/>
      <w:outlineLvl w:val="0"/>
    </w:pPr>
    <w:rPr>
      <w:rFonts w:ascii="Arial" w:hAnsi="Arial" w:cs="Arial"/>
      <w:spacing w:val="38"/>
      <w:sz w:val="28"/>
      <w:lang w:val="uk-UA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pPr>
      <w:spacing w:line="360" w:lineRule="auto"/>
      <w:ind w:right="142"/>
      <w:jc w:val="center"/>
    </w:pPr>
    <w:rPr>
      <w:rFonts w:ascii="Verdana" w:hAnsi="Verdana"/>
      <w:spacing w:val="10"/>
    </w:rPr>
  </w:style>
  <w:style w:type="character" w:customStyle="1" w:styleId="a7">
    <w:name w:val="Основний текст з від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567" w:firstLine="709"/>
    </w:pPr>
    <w:rPr>
      <w:rFonts w:ascii="Arial" w:hAnsi="Arial" w:cs="Arial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pPr>
      <w:jc w:val="both"/>
    </w:pPr>
    <w:rPr>
      <w:rFonts w:ascii="Arial" w:hAnsi="Arial" w:cs="Arial"/>
    </w:rPr>
  </w:style>
  <w:style w:type="character" w:customStyle="1" w:styleId="ae">
    <w:name w:val="Основни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pacing w:val="20"/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pPr>
      <w:spacing w:line="360" w:lineRule="auto"/>
      <w:jc w:val="center"/>
    </w:pPr>
    <w:rPr>
      <w:rFonts w:ascii="Arial" w:hAnsi="Arial" w:cs="Arial"/>
      <w:spacing w:val="40"/>
      <w:sz w:val="28"/>
    </w:rPr>
  </w:style>
  <w:style w:type="character" w:customStyle="1" w:styleId="af0">
    <w:name w:val="Назва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bCs/>
      <w:spacing w:val="38"/>
      <w:sz w:val="28"/>
      <w:szCs w:val="28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УРЕНГОЙСКАЯ  75</Company>
  <LinksUpToDate>false</LinksUpToDate>
  <CharactersWithSpaces>27785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АРТЕМ</dc:creator>
  <cp:keywords/>
  <dc:description/>
  <cp:lastModifiedBy>Irina</cp:lastModifiedBy>
  <cp:revision>2</cp:revision>
  <cp:lastPrinted>2007-02-09T13:50:00Z</cp:lastPrinted>
  <dcterms:created xsi:type="dcterms:W3CDTF">2014-08-11T11:54:00Z</dcterms:created>
  <dcterms:modified xsi:type="dcterms:W3CDTF">2014-08-11T11:54:00Z</dcterms:modified>
</cp:coreProperties>
</file>