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2EE" w:rsidRDefault="00D352EE" w:rsidP="00D352EE">
      <w:pPr>
        <w:spacing w:line="360" w:lineRule="auto"/>
        <w:jc w:val="center"/>
        <w:rPr>
          <w:b/>
          <w:bCs/>
          <w:sz w:val="28"/>
          <w:szCs w:val="28"/>
          <w:lang w:val="ru-RU"/>
        </w:rPr>
      </w:pPr>
    </w:p>
    <w:p w:rsidR="00D352EE" w:rsidRDefault="00D352EE" w:rsidP="00D352EE">
      <w:pPr>
        <w:spacing w:line="360" w:lineRule="auto"/>
        <w:jc w:val="center"/>
        <w:rPr>
          <w:b/>
          <w:bCs/>
          <w:sz w:val="28"/>
          <w:szCs w:val="28"/>
          <w:lang w:val="ru-RU"/>
        </w:rPr>
      </w:pPr>
    </w:p>
    <w:p w:rsidR="00D352EE" w:rsidRDefault="00D352EE" w:rsidP="00D352EE">
      <w:pPr>
        <w:spacing w:line="360" w:lineRule="auto"/>
        <w:jc w:val="center"/>
        <w:rPr>
          <w:b/>
          <w:bCs/>
          <w:sz w:val="28"/>
          <w:szCs w:val="28"/>
          <w:lang w:val="ru-RU"/>
        </w:rPr>
      </w:pPr>
    </w:p>
    <w:p w:rsidR="00D352EE" w:rsidRDefault="00D352EE" w:rsidP="00D352EE">
      <w:pPr>
        <w:spacing w:line="360" w:lineRule="auto"/>
        <w:jc w:val="center"/>
        <w:rPr>
          <w:b/>
          <w:bCs/>
          <w:sz w:val="28"/>
          <w:szCs w:val="28"/>
          <w:lang w:val="ru-RU"/>
        </w:rPr>
      </w:pPr>
    </w:p>
    <w:p w:rsidR="00D352EE" w:rsidRDefault="00D352EE" w:rsidP="00D352EE">
      <w:pPr>
        <w:spacing w:line="360" w:lineRule="auto"/>
        <w:jc w:val="center"/>
        <w:rPr>
          <w:b/>
          <w:bCs/>
          <w:sz w:val="28"/>
          <w:szCs w:val="28"/>
          <w:lang w:val="ru-RU"/>
        </w:rPr>
      </w:pPr>
    </w:p>
    <w:p w:rsidR="00D352EE" w:rsidRDefault="00D352EE" w:rsidP="00D352EE">
      <w:pPr>
        <w:spacing w:line="360" w:lineRule="auto"/>
        <w:jc w:val="center"/>
        <w:rPr>
          <w:b/>
          <w:bCs/>
          <w:sz w:val="28"/>
          <w:szCs w:val="28"/>
          <w:lang w:val="ru-RU"/>
        </w:rPr>
      </w:pPr>
    </w:p>
    <w:p w:rsidR="00D352EE" w:rsidRDefault="00D352EE" w:rsidP="00D352EE">
      <w:pPr>
        <w:spacing w:line="360" w:lineRule="auto"/>
        <w:jc w:val="center"/>
        <w:rPr>
          <w:b/>
          <w:bCs/>
          <w:sz w:val="28"/>
          <w:szCs w:val="28"/>
          <w:lang w:val="ru-RU"/>
        </w:rPr>
      </w:pPr>
    </w:p>
    <w:p w:rsidR="00D352EE" w:rsidRDefault="00D352EE" w:rsidP="00D352EE">
      <w:pPr>
        <w:spacing w:line="360" w:lineRule="auto"/>
        <w:jc w:val="center"/>
        <w:rPr>
          <w:b/>
          <w:bCs/>
          <w:sz w:val="28"/>
          <w:szCs w:val="28"/>
          <w:lang w:val="ru-RU"/>
        </w:rPr>
      </w:pPr>
    </w:p>
    <w:p w:rsidR="00D352EE" w:rsidRDefault="00D352EE" w:rsidP="00D352EE">
      <w:pPr>
        <w:spacing w:line="360" w:lineRule="auto"/>
        <w:jc w:val="center"/>
        <w:rPr>
          <w:b/>
          <w:bCs/>
          <w:sz w:val="28"/>
          <w:szCs w:val="28"/>
          <w:lang w:val="ru-RU"/>
        </w:rPr>
      </w:pPr>
    </w:p>
    <w:p w:rsidR="00D352EE" w:rsidRDefault="00D352EE" w:rsidP="00D352EE">
      <w:pPr>
        <w:spacing w:line="360" w:lineRule="auto"/>
        <w:jc w:val="center"/>
        <w:rPr>
          <w:b/>
          <w:bCs/>
          <w:sz w:val="28"/>
          <w:szCs w:val="28"/>
          <w:lang w:val="ru-RU"/>
        </w:rPr>
      </w:pPr>
    </w:p>
    <w:p w:rsidR="00D352EE" w:rsidRDefault="00D352EE" w:rsidP="00D352EE">
      <w:pPr>
        <w:spacing w:line="360" w:lineRule="auto"/>
        <w:jc w:val="center"/>
        <w:rPr>
          <w:b/>
          <w:bCs/>
          <w:sz w:val="28"/>
          <w:szCs w:val="28"/>
          <w:lang w:val="ru-RU"/>
        </w:rPr>
      </w:pPr>
    </w:p>
    <w:p w:rsidR="00D352EE" w:rsidRDefault="00D352EE" w:rsidP="00D352EE">
      <w:pPr>
        <w:spacing w:line="360" w:lineRule="auto"/>
        <w:jc w:val="center"/>
        <w:rPr>
          <w:b/>
          <w:bCs/>
          <w:sz w:val="28"/>
          <w:szCs w:val="28"/>
          <w:lang w:val="ru-RU"/>
        </w:rPr>
      </w:pPr>
    </w:p>
    <w:p w:rsidR="00D352EE" w:rsidRDefault="00D352EE" w:rsidP="00D352EE">
      <w:pPr>
        <w:spacing w:line="360" w:lineRule="auto"/>
        <w:jc w:val="center"/>
        <w:rPr>
          <w:b/>
          <w:bCs/>
          <w:sz w:val="28"/>
          <w:szCs w:val="28"/>
          <w:lang w:val="ru-RU"/>
        </w:rPr>
      </w:pPr>
    </w:p>
    <w:p w:rsidR="00D352EE" w:rsidRDefault="00D352EE" w:rsidP="00D352EE">
      <w:pPr>
        <w:spacing w:line="360" w:lineRule="auto"/>
        <w:jc w:val="center"/>
        <w:rPr>
          <w:b/>
          <w:bCs/>
          <w:sz w:val="28"/>
          <w:szCs w:val="28"/>
          <w:lang w:val="ru-RU"/>
        </w:rPr>
      </w:pPr>
    </w:p>
    <w:p w:rsidR="006A34DA" w:rsidRPr="00D352EE" w:rsidRDefault="006A34DA" w:rsidP="00D352EE">
      <w:pPr>
        <w:spacing w:line="360" w:lineRule="auto"/>
        <w:jc w:val="center"/>
        <w:rPr>
          <w:b/>
          <w:bCs/>
          <w:sz w:val="28"/>
          <w:szCs w:val="28"/>
          <w:lang w:val="en-US"/>
        </w:rPr>
      </w:pPr>
      <w:r w:rsidRPr="00D352EE">
        <w:rPr>
          <w:b/>
          <w:bCs/>
          <w:sz w:val="28"/>
          <w:szCs w:val="28"/>
          <w:lang w:val="en-GB"/>
        </w:rPr>
        <w:t>Quantification of osteocyte lacunar density and anisotropy of vascular canals in compact bone</w:t>
      </w:r>
    </w:p>
    <w:p w:rsidR="00D352EE" w:rsidRDefault="00D352EE" w:rsidP="00D352EE">
      <w:pPr>
        <w:spacing w:line="360" w:lineRule="auto"/>
        <w:jc w:val="center"/>
        <w:rPr>
          <w:b/>
          <w:bCs/>
          <w:sz w:val="28"/>
          <w:szCs w:val="28"/>
          <w:lang w:val="ru-RU"/>
        </w:rPr>
      </w:pPr>
    </w:p>
    <w:p w:rsidR="006A34DA" w:rsidRPr="00D352EE" w:rsidRDefault="00D352EE" w:rsidP="00D352EE">
      <w:pPr>
        <w:spacing w:line="360" w:lineRule="auto"/>
        <w:ind w:left="708"/>
        <w:jc w:val="both"/>
        <w:rPr>
          <w:b/>
          <w:bCs/>
          <w:sz w:val="28"/>
          <w:szCs w:val="28"/>
        </w:rPr>
      </w:pPr>
      <w:r w:rsidRPr="00D352EE">
        <w:rPr>
          <w:b/>
          <w:bCs/>
          <w:sz w:val="28"/>
          <w:szCs w:val="28"/>
          <w:lang w:val="en-US"/>
        </w:rPr>
        <w:br w:type="page"/>
      </w:r>
      <w:r w:rsidR="006A34DA" w:rsidRPr="00D352EE">
        <w:rPr>
          <w:b/>
          <w:bCs/>
          <w:sz w:val="28"/>
          <w:szCs w:val="28"/>
        </w:rPr>
        <w:t xml:space="preserve">-Introduction, bone structure, remodelation, osteoporosis, </w:t>
      </w:r>
    </w:p>
    <w:p w:rsidR="006A34DA" w:rsidRPr="00D352EE" w:rsidRDefault="006A34DA" w:rsidP="00D352EE">
      <w:pPr>
        <w:spacing w:line="360" w:lineRule="auto"/>
        <w:ind w:firstLine="709"/>
        <w:jc w:val="both"/>
        <w:rPr>
          <w:sz w:val="28"/>
          <w:szCs w:val="28"/>
          <w:lang w:val="en-GB"/>
        </w:rPr>
      </w:pPr>
      <w:r w:rsidRPr="00D352EE">
        <w:rPr>
          <w:sz w:val="28"/>
          <w:szCs w:val="28"/>
          <w:lang w:val="en-GB"/>
        </w:rPr>
        <w:t xml:space="preserve">Remodelling of Haversian bone may result in both spatial and temporal variability of osteocyte lacunar density and arrangement of vascular canals. </w:t>
      </w:r>
    </w:p>
    <w:p w:rsidR="006A34DA" w:rsidRPr="00D352EE" w:rsidRDefault="006A34DA" w:rsidP="00D352EE">
      <w:pPr>
        <w:spacing w:line="360" w:lineRule="auto"/>
        <w:ind w:firstLine="708"/>
        <w:jc w:val="both"/>
        <w:rPr>
          <w:b/>
          <w:bCs/>
          <w:color w:val="000000"/>
          <w:sz w:val="28"/>
          <w:szCs w:val="28"/>
        </w:rPr>
      </w:pPr>
      <w:r w:rsidRPr="00D352EE">
        <w:rPr>
          <w:b/>
          <w:bCs/>
          <w:color w:val="000000"/>
          <w:sz w:val="28"/>
          <w:szCs w:val="28"/>
        </w:rPr>
        <w:t>-Parameters and methods in bone histomorphometry, tetracycline labeling, disector</w:t>
      </w:r>
    </w:p>
    <w:p w:rsidR="006A34DA" w:rsidRPr="00D352EE" w:rsidRDefault="006A34DA" w:rsidP="00D352EE">
      <w:pPr>
        <w:spacing w:line="360" w:lineRule="auto"/>
        <w:ind w:firstLine="709"/>
        <w:jc w:val="both"/>
        <w:rPr>
          <w:sz w:val="28"/>
          <w:szCs w:val="28"/>
        </w:rPr>
      </w:pPr>
      <w:r w:rsidRPr="00D352EE">
        <w:rPr>
          <w:b/>
          <w:bCs/>
          <w:sz w:val="28"/>
          <w:szCs w:val="28"/>
        </w:rPr>
        <w:t xml:space="preserve">The most commonly used histomorphometric parameters: </w:t>
      </w:r>
      <w:r w:rsidRPr="00D352EE">
        <w:rPr>
          <w:sz w:val="28"/>
          <w:szCs w:val="28"/>
        </w:rPr>
        <w:t>[1]</w:t>
      </w:r>
    </w:p>
    <w:p w:rsidR="006A34DA" w:rsidRPr="00D352EE" w:rsidRDefault="006A34DA" w:rsidP="00D352EE">
      <w:pPr>
        <w:spacing w:line="360" w:lineRule="auto"/>
        <w:ind w:firstLine="709"/>
        <w:jc w:val="both"/>
        <w:rPr>
          <w:b/>
          <w:bCs/>
          <w:sz w:val="28"/>
          <w:szCs w:val="28"/>
        </w:rPr>
      </w:pPr>
      <w:r w:rsidRPr="00D352EE">
        <w:rPr>
          <w:b/>
          <w:bCs/>
          <w:sz w:val="28"/>
          <w:szCs w:val="28"/>
        </w:rPr>
        <w:t>1- Structural parameters</w:t>
      </w:r>
    </w:p>
    <w:p w:rsidR="006A34DA" w:rsidRPr="00D352EE" w:rsidRDefault="006A34DA" w:rsidP="00D352EE">
      <w:pPr>
        <w:spacing w:line="360" w:lineRule="auto"/>
        <w:ind w:firstLine="709"/>
        <w:jc w:val="both"/>
        <w:rPr>
          <w:b/>
          <w:bCs/>
          <w:sz w:val="28"/>
          <w:szCs w:val="28"/>
        </w:rPr>
      </w:pPr>
      <w:r w:rsidRPr="00D352EE">
        <w:rPr>
          <w:b/>
          <w:bCs/>
          <w:sz w:val="28"/>
          <w:szCs w:val="28"/>
        </w:rPr>
        <w:t xml:space="preserve">Measures that describe the biopsy specimen </w:t>
      </w:r>
    </w:p>
    <w:p w:rsidR="006A34DA" w:rsidRPr="00D352EE" w:rsidRDefault="006A34DA" w:rsidP="00D352EE">
      <w:pPr>
        <w:spacing w:line="360" w:lineRule="auto"/>
        <w:ind w:firstLine="709"/>
        <w:jc w:val="both"/>
        <w:rPr>
          <w:sz w:val="28"/>
          <w:szCs w:val="28"/>
        </w:rPr>
      </w:pPr>
      <w:r w:rsidRPr="00D352EE">
        <w:rPr>
          <w:sz w:val="28"/>
          <w:szCs w:val="28"/>
        </w:rPr>
        <w:t>-Core width (mm)</w:t>
      </w:r>
      <w:r w:rsidRPr="00D352EE">
        <w:rPr>
          <w:sz w:val="28"/>
          <w:szCs w:val="28"/>
        </w:rPr>
        <w:tab/>
      </w:r>
    </w:p>
    <w:p w:rsidR="006A34DA" w:rsidRPr="00D352EE" w:rsidRDefault="00D352EE" w:rsidP="00D352EE">
      <w:pPr>
        <w:spacing w:line="360" w:lineRule="auto"/>
        <w:ind w:firstLine="709"/>
        <w:jc w:val="both"/>
        <w:rPr>
          <w:sz w:val="28"/>
          <w:szCs w:val="28"/>
        </w:rPr>
      </w:pPr>
      <w:r>
        <w:rPr>
          <w:sz w:val="28"/>
          <w:szCs w:val="28"/>
        </w:rPr>
        <w:t>C.Wi</w:t>
      </w:r>
      <w:r>
        <w:rPr>
          <w:sz w:val="28"/>
          <w:szCs w:val="28"/>
        </w:rPr>
        <w:tab/>
      </w:r>
      <w:r w:rsidR="006A34DA" w:rsidRPr="00D352EE">
        <w:rPr>
          <w:sz w:val="28"/>
          <w:szCs w:val="28"/>
        </w:rPr>
        <w:t>Overall size of the biopsy specimen,</w:t>
      </w:r>
      <w:r>
        <w:rPr>
          <w:sz w:val="28"/>
          <w:szCs w:val="28"/>
        </w:rPr>
        <w:t xml:space="preserve"> </w:t>
      </w:r>
      <w:r w:rsidR="006A34DA" w:rsidRPr="00D352EE">
        <w:rPr>
          <w:sz w:val="28"/>
          <w:szCs w:val="28"/>
        </w:rPr>
        <w:t>refers to the width of the entire biopsy specimen or core. It is the distance between the inner and outer periosteal surfaces</w:t>
      </w:r>
    </w:p>
    <w:p w:rsidR="006A34DA" w:rsidRPr="00D352EE" w:rsidRDefault="00D352EE" w:rsidP="00D352EE">
      <w:pPr>
        <w:spacing w:line="360" w:lineRule="auto"/>
        <w:ind w:firstLine="709"/>
        <w:jc w:val="both"/>
        <w:rPr>
          <w:sz w:val="28"/>
          <w:szCs w:val="28"/>
          <w:lang w:val="ru-RU"/>
        </w:rPr>
      </w:pPr>
      <w:r>
        <w:rPr>
          <w:sz w:val="28"/>
          <w:szCs w:val="28"/>
        </w:rPr>
        <w:t>-Cortical width (μm)</w:t>
      </w:r>
    </w:p>
    <w:p w:rsidR="006A34DA" w:rsidRPr="00D352EE" w:rsidRDefault="00D352EE" w:rsidP="00D352EE">
      <w:pPr>
        <w:spacing w:line="360" w:lineRule="auto"/>
        <w:ind w:firstLine="709"/>
        <w:jc w:val="both"/>
        <w:rPr>
          <w:sz w:val="28"/>
          <w:szCs w:val="28"/>
        </w:rPr>
      </w:pPr>
      <w:r>
        <w:rPr>
          <w:sz w:val="28"/>
          <w:szCs w:val="28"/>
        </w:rPr>
        <w:t xml:space="preserve">Ct.Wi </w:t>
      </w:r>
      <w:r w:rsidRPr="00D352EE">
        <w:rPr>
          <w:sz w:val="28"/>
          <w:szCs w:val="28"/>
          <w:lang w:val="en-US"/>
        </w:rPr>
        <w:t xml:space="preserve"> </w:t>
      </w:r>
      <w:r w:rsidR="006A34DA" w:rsidRPr="00D352EE">
        <w:rPr>
          <w:sz w:val="28"/>
          <w:szCs w:val="28"/>
        </w:rPr>
        <w:t>Distance between periosteal and endocortical surfaces, he sum of the widths of inner and outer cortices of the biopsy specimen.</w:t>
      </w:r>
    </w:p>
    <w:p w:rsidR="006A34DA" w:rsidRPr="00D352EE" w:rsidRDefault="006A34DA" w:rsidP="00D352EE">
      <w:pPr>
        <w:spacing w:line="360" w:lineRule="auto"/>
        <w:ind w:firstLine="709"/>
        <w:jc w:val="both"/>
        <w:rPr>
          <w:sz w:val="28"/>
          <w:szCs w:val="28"/>
        </w:rPr>
      </w:pPr>
      <w:r w:rsidRPr="00D352EE">
        <w:rPr>
          <w:sz w:val="28"/>
          <w:szCs w:val="28"/>
        </w:rPr>
        <w:t xml:space="preserve">-Bone volume / tissue volume (%) </w:t>
      </w:r>
    </w:p>
    <w:p w:rsidR="006A34DA" w:rsidRPr="00D352EE" w:rsidRDefault="00D352EE" w:rsidP="00D352EE">
      <w:pPr>
        <w:spacing w:line="360" w:lineRule="auto"/>
        <w:ind w:firstLine="709"/>
        <w:jc w:val="both"/>
        <w:rPr>
          <w:sz w:val="28"/>
          <w:szCs w:val="28"/>
          <w:lang w:val="en-US"/>
        </w:rPr>
      </w:pPr>
      <w:r>
        <w:rPr>
          <w:sz w:val="28"/>
          <w:szCs w:val="28"/>
        </w:rPr>
        <w:t>BV/TV</w:t>
      </w:r>
      <w:r w:rsidRPr="00D352EE">
        <w:rPr>
          <w:sz w:val="28"/>
          <w:szCs w:val="28"/>
          <w:lang w:val="en-US"/>
        </w:rPr>
        <w:t xml:space="preserve"> </w:t>
      </w:r>
      <w:r w:rsidR="006A34DA" w:rsidRPr="00D352EE">
        <w:rPr>
          <w:sz w:val="28"/>
          <w:szCs w:val="28"/>
        </w:rPr>
        <w:t>Space taken up by mineralized and unmineralized bone relative to the total size of a bone compartmen, is cancellous bone volume as a percentage of tissue volume. The numerator includes matrix, whether mineralized or not, and the denominator includes cancellous bone, marrow, and associated soft tissue.</w:t>
      </w:r>
    </w:p>
    <w:p w:rsidR="006A34DA" w:rsidRPr="00D352EE" w:rsidRDefault="006A34DA" w:rsidP="00D352EE">
      <w:pPr>
        <w:spacing w:line="360" w:lineRule="auto"/>
        <w:ind w:firstLine="709"/>
        <w:jc w:val="both"/>
        <w:rPr>
          <w:b/>
          <w:bCs/>
          <w:sz w:val="28"/>
          <w:szCs w:val="28"/>
        </w:rPr>
      </w:pPr>
      <w:r w:rsidRPr="00D352EE">
        <w:rPr>
          <w:b/>
          <w:bCs/>
          <w:sz w:val="28"/>
          <w:szCs w:val="28"/>
        </w:rPr>
        <w:t>Measures that describe the configuration of trabeculae in space:</w:t>
      </w:r>
    </w:p>
    <w:p w:rsidR="006A34DA" w:rsidRPr="00D352EE" w:rsidRDefault="006A34DA" w:rsidP="00D352EE">
      <w:pPr>
        <w:spacing w:line="360" w:lineRule="auto"/>
        <w:ind w:firstLine="709"/>
        <w:jc w:val="both"/>
        <w:rPr>
          <w:sz w:val="28"/>
          <w:szCs w:val="28"/>
        </w:rPr>
      </w:pPr>
      <w:r w:rsidRPr="00D352EE">
        <w:rPr>
          <w:sz w:val="28"/>
          <w:szCs w:val="28"/>
        </w:rPr>
        <w:t xml:space="preserve">Trabecular thickness (μm) </w:t>
      </w:r>
    </w:p>
    <w:p w:rsidR="006A34DA" w:rsidRPr="00D352EE" w:rsidRDefault="00D352EE" w:rsidP="00D352EE">
      <w:pPr>
        <w:spacing w:line="360" w:lineRule="auto"/>
        <w:ind w:firstLine="709"/>
        <w:jc w:val="both"/>
        <w:rPr>
          <w:sz w:val="28"/>
          <w:szCs w:val="28"/>
          <w:lang w:val="en-US"/>
        </w:rPr>
      </w:pPr>
      <w:r>
        <w:rPr>
          <w:sz w:val="28"/>
          <w:szCs w:val="28"/>
        </w:rPr>
        <w:t xml:space="preserve">Tb.Th </w:t>
      </w:r>
      <w:r w:rsidRPr="00D352EE">
        <w:rPr>
          <w:sz w:val="28"/>
          <w:szCs w:val="28"/>
          <w:lang w:val="en-US"/>
        </w:rPr>
        <w:t xml:space="preserve"> </w:t>
      </w:r>
      <w:r w:rsidR="006A34DA" w:rsidRPr="00D352EE">
        <w:rPr>
          <w:sz w:val="28"/>
          <w:szCs w:val="28"/>
        </w:rPr>
        <w:t xml:space="preserve">Is the mean distance </w:t>
      </w:r>
      <w:r w:rsidR="006A34DA" w:rsidRPr="00D352EE">
        <w:rPr>
          <w:i/>
          <w:iCs/>
          <w:sz w:val="28"/>
          <w:szCs w:val="28"/>
        </w:rPr>
        <w:t xml:space="preserve">across </w:t>
      </w:r>
      <w:r w:rsidR="006A34DA" w:rsidRPr="00D352EE">
        <w:rPr>
          <w:sz w:val="28"/>
          <w:szCs w:val="28"/>
        </w:rPr>
        <w:t>individual trabeculae</w:t>
      </w:r>
    </w:p>
    <w:p w:rsidR="006A34DA" w:rsidRPr="00D352EE" w:rsidRDefault="006A34DA" w:rsidP="00D352EE">
      <w:pPr>
        <w:spacing w:line="360" w:lineRule="auto"/>
        <w:ind w:firstLine="709"/>
        <w:jc w:val="both"/>
        <w:rPr>
          <w:sz w:val="28"/>
          <w:szCs w:val="28"/>
        </w:rPr>
      </w:pPr>
      <w:r w:rsidRPr="00D352EE">
        <w:rPr>
          <w:sz w:val="28"/>
          <w:szCs w:val="28"/>
        </w:rPr>
        <w:t xml:space="preserve">Trabecular number (/mm) </w:t>
      </w:r>
    </w:p>
    <w:p w:rsidR="006A34DA" w:rsidRPr="00D352EE" w:rsidRDefault="00D352EE" w:rsidP="00D352EE">
      <w:pPr>
        <w:spacing w:line="360" w:lineRule="auto"/>
        <w:ind w:firstLine="709"/>
        <w:jc w:val="both"/>
        <w:rPr>
          <w:sz w:val="28"/>
          <w:szCs w:val="28"/>
          <w:lang w:val="en-US"/>
        </w:rPr>
      </w:pPr>
      <w:r>
        <w:rPr>
          <w:sz w:val="28"/>
          <w:szCs w:val="28"/>
        </w:rPr>
        <w:t xml:space="preserve">Tb.N </w:t>
      </w:r>
      <w:r>
        <w:rPr>
          <w:sz w:val="28"/>
          <w:szCs w:val="28"/>
        </w:rPr>
        <w:tab/>
      </w:r>
      <w:r w:rsidR="006A34DA" w:rsidRPr="00D352EE">
        <w:rPr>
          <w:sz w:val="28"/>
          <w:szCs w:val="28"/>
        </w:rPr>
        <w:t xml:space="preserve">Number of trabeculae that a line through a trabecular compartment would hit per millimeter of its length, (BV/TV)/Tb.Th </w:t>
      </w:r>
    </w:p>
    <w:p w:rsidR="006A34DA" w:rsidRPr="00D352EE" w:rsidRDefault="006A34DA" w:rsidP="00D352EE">
      <w:pPr>
        <w:spacing w:line="360" w:lineRule="auto"/>
        <w:ind w:firstLine="709"/>
        <w:jc w:val="both"/>
        <w:rPr>
          <w:sz w:val="28"/>
          <w:szCs w:val="28"/>
        </w:rPr>
      </w:pPr>
      <w:r w:rsidRPr="00D352EE">
        <w:rPr>
          <w:sz w:val="28"/>
          <w:szCs w:val="28"/>
        </w:rPr>
        <w:t>- Trabecular separation</w:t>
      </w:r>
    </w:p>
    <w:p w:rsidR="006A34DA" w:rsidRPr="00D352EE" w:rsidRDefault="00D352EE" w:rsidP="00D352EE">
      <w:pPr>
        <w:spacing w:line="360" w:lineRule="auto"/>
        <w:ind w:firstLine="709"/>
        <w:jc w:val="both"/>
        <w:rPr>
          <w:sz w:val="28"/>
          <w:szCs w:val="28"/>
          <w:lang w:val="en-US"/>
        </w:rPr>
      </w:pPr>
      <w:r>
        <w:rPr>
          <w:sz w:val="28"/>
          <w:szCs w:val="28"/>
        </w:rPr>
        <w:t>Tb.Sp</w:t>
      </w:r>
      <w:r>
        <w:rPr>
          <w:sz w:val="28"/>
          <w:szCs w:val="28"/>
        </w:rPr>
        <w:tab/>
      </w:r>
      <w:r w:rsidRPr="00D352EE">
        <w:rPr>
          <w:sz w:val="28"/>
          <w:szCs w:val="28"/>
          <w:lang w:val="en-US"/>
        </w:rPr>
        <w:t xml:space="preserve"> </w:t>
      </w:r>
      <w:r w:rsidR="006A34DA" w:rsidRPr="00D352EE">
        <w:rPr>
          <w:sz w:val="28"/>
          <w:szCs w:val="28"/>
        </w:rPr>
        <w:t>Is the mean distance between individual trabeculae</w:t>
      </w:r>
    </w:p>
    <w:p w:rsidR="006A34DA" w:rsidRPr="00D352EE" w:rsidRDefault="006A34DA" w:rsidP="00D352EE">
      <w:pPr>
        <w:spacing w:line="360" w:lineRule="auto"/>
        <w:ind w:firstLine="709"/>
        <w:jc w:val="both"/>
        <w:rPr>
          <w:b/>
          <w:bCs/>
          <w:sz w:val="28"/>
          <w:szCs w:val="28"/>
          <w:lang w:val="ru-RU"/>
        </w:rPr>
      </w:pPr>
      <w:r w:rsidRPr="00D352EE">
        <w:rPr>
          <w:b/>
          <w:bCs/>
          <w:sz w:val="28"/>
          <w:szCs w:val="28"/>
        </w:rPr>
        <w:t>2- Static formation parameters</w:t>
      </w:r>
    </w:p>
    <w:p w:rsidR="006A34DA" w:rsidRPr="00D352EE" w:rsidRDefault="006A34DA" w:rsidP="00D352EE">
      <w:pPr>
        <w:spacing w:line="360" w:lineRule="auto"/>
        <w:ind w:firstLine="709"/>
        <w:jc w:val="both"/>
        <w:rPr>
          <w:sz w:val="28"/>
          <w:szCs w:val="28"/>
        </w:rPr>
      </w:pPr>
      <w:r w:rsidRPr="00D352EE">
        <w:rPr>
          <w:sz w:val="28"/>
          <w:szCs w:val="28"/>
        </w:rPr>
        <w:t xml:space="preserve">Osteoid thickness (μm) </w:t>
      </w:r>
    </w:p>
    <w:p w:rsidR="006A34DA" w:rsidRPr="00D352EE" w:rsidRDefault="00D352EE" w:rsidP="00D352EE">
      <w:pPr>
        <w:spacing w:line="360" w:lineRule="auto"/>
        <w:ind w:firstLine="709"/>
        <w:jc w:val="both"/>
        <w:rPr>
          <w:sz w:val="28"/>
          <w:szCs w:val="28"/>
          <w:lang w:val="en-US"/>
        </w:rPr>
      </w:pPr>
      <w:r>
        <w:rPr>
          <w:sz w:val="28"/>
          <w:szCs w:val="28"/>
        </w:rPr>
        <w:t xml:space="preserve">O.Th </w:t>
      </w:r>
      <w:r>
        <w:rPr>
          <w:sz w:val="28"/>
          <w:szCs w:val="28"/>
        </w:rPr>
        <w:tab/>
      </w:r>
      <w:r w:rsidR="006A34DA" w:rsidRPr="00D352EE">
        <w:rPr>
          <w:sz w:val="28"/>
          <w:szCs w:val="28"/>
        </w:rPr>
        <w:t>Distance between the surface of the osteoid seam and mineralized bone</w:t>
      </w:r>
    </w:p>
    <w:p w:rsidR="006A34DA" w:rsidRPr="00D352EE" w:rsidRDefault="006A34DA" w:rsidP="00D352EE">
      <w:pPr>
        <w:spacing w:line="360" w:lineRule="auto"/>
        <w:ind w:firstLine="709"/>
        <w:jc w:val="both"/>
        <w:rPr>
          <w:sz w:val="28"/>
          <w:szCs w:val="28"/>
        </w:rPr>
      </w:pPr>
      <w:r w:rsidRPr="00D352EE">
        <w:rPr>
          <w:sz w:val="28"/>
          <w:szCs w:val="28"/>
        </w:rPr>
        <w:t xml:space="preserve">Osteoid surface / bone surface (%) </w:t>
      </w:r>
    </w:p>
    <w:p w:rsidR="006A34DA" w:rsidRPr="00D352EE" w:rsidRDefault="00D352EE" w:rsidP="00D352EE">
      <w:pPr>
        <w:spacing w:line="360" w:lineRule="auto"/>
        <w:ind w:firstLine="709"/>
        <w:jc w:val="both"/>
        <w:rPr>
          <w:sz w:val="28"/>
          <w:szCs w:val="28"/>
        </w:rPr>
      </w:pPr>
      <w:r>
        <w:rPr>
          <w:sz w:val="28"/>
          <w:szCs w:val="28"/>
        </w:rPr>
        <w:t xml:space="preserve">OS/BS </w:t>
      </w:r>
      <w:r w:rsidR="006A34DA" w:rsidRPr="00D352EE">
        <w:rPr>
          <w:sz w:val="28"/>
          <w:szCs w:val="28"/>
        </w:rPr>
        <w:t>Percentage of bone surface covered by osteoid</w:t>
      </w:r>
    </w:p>
    <w:p w:rsidR="006A34DA" w:rsidRPr="00D352EE" w:rsidRDefault="006A34DA" w:rsidP="00D352EE">
      <w:pPr>
        <w:spacing w:line="360" w:lineRule="auto"/>
        <w:ind w:firstLine="709"/>
        <w:jc w:val="both"/>
        <w:rPr>
          <w:sz w:val="28"/>
          <w:szCs w:val="28"/>
        </w:rPr>
      </w:pPr>
      <w:r w:rsidRPr="00D352EE">
        <w:rPr>
          <w:sz w:val="28"/>
          <w:szCs w:val="28"/>
        </w:rPr>
        <w:t xml:space="preserve">Osteoid volume / bone volume (%) </w:t>
      </w:r>
    </w:p>
    <w:p w:rsidR="006A34DA" w:rsidRPr="00D352EE" w:rsidRDefault="00D352EE" w:rsidP="00D352EE">
      <w:pPr>
        <w:spacing w:line="360" w:lineRule="auto"/>
        <w:ind w:firstLine="709"/>
        <w:jc w:val="both"/>
        <w:rPr>
          <w:sz w:val="28"/>
          <w:szCs w:val="28"/>
        </w:rPr>
      </w:pPr>
      <w:r>
        <w:rPr>
          <w:sz w:val="28"/>
          <w:szCs w:val="28"/>
        </w:rPr>
        <w:t xml:space="preserve">OV/BV </w:t>
      </w:r>
      <w:r w:rsidR="006A34DA" w:rsidRPr="00D352EE">
        <w:rPr>
          <w:sz w:val="28"/>
          <w:szCs w:val="28"/>
        </w:rPr>
        <w:t>Percentage of bone volume consisting of unmineralized osteoid</w:t>
      </w:r>
    </w:p>
    <w:p w:rsidR="006A34DA" w:rsidRPr="00D352EE" w:rsidRDefault="006A34DA" w:rsidP="00D352EE">
      <w:pPr>
        <w:spacing w:line="360" w:lineRule="auto"/>
        <w:ind w:firstLine="709"/>
        <w:jc w:val="both"/>
        <w:rPr>
          <w:sz w:val="28"/>
          <w:szCs w:val="28"/>
        </w:rPr>
      </w:pPr>
      <w:r w:rsidRPr="00D352EE">
        <w:rPr>
          <w:sz w:val="28"/>
          <w:szCs w:val="28"/>
        </w:rPr>
        <w:t xml:space="preserve">Osteoblast surface / bone surface (%) </w:t>
      </w:r>
    </w:p>
    <w:p w:rsidR="006A34DA" w:rsidRPr="00D352EE" w:rsidRDefault="00D352EE" w:rsidP="00D352EE">
      <w:pPr>
        <w:spacing w:line="360" w:lineRule="auto"/>
        <w:ind w:firstLine="709"/>
        <w:jc w:val="both"/>
        <w:rPr>
          <w:sz w:val="28"/>
          <w:szCs w:val="28"/>
        </w:rPr>
      </w:pPr>
      <w:r>
        <w:rPr>
          <w:sz w:val="28"/>
          <w:szCs w:val="28"/>
        </w:rPr>
        <w:t xml:space="preserve">Ob.S/BS </w:t>
      </w:r>
      <w:r w:rsidR="006A34DA" w:rsidRPr="00D352EE">
        <w:rPr>
          <w:sz w:val="28"/>
          <w:szCs w:val="28"/>
        </w:rPr>
        <w:t>Percentage of bone surface covered by osteoblasts</w:t>
      </w:r>
    </w:p>
    <w:p w:rsidR="006A34DA" w:rsidRPr="00D352EE" w:rsidRDefault="006A34DA" w:rsidP="00D352EE">
      <w:pPr>
        <w:spacing w:line="360" w:lineRule="auto"/>
        <w:ind w:firstLine="709"/>
        <w:jc w:val="both"/>
        <w:rPr>
          <w:sz w:val="28"/>
          <w:szCs w:val="28"/>
        </w:rPr>
      </w:pPr>
      <w:r w:rsidRPr="00D352EE">
        <w:rPr>
          <w:sz w:val="28"/>
          <w:szCs w:val="28"/>
        </w:rPr>
        <w:t>Wall thickness (μm)</w:t>
      </w:r>
    </w:p>
    <w:p w:rsidR="006A34DA" w:rsidRPr="00D352EE" w:rsidRDefault="00D352EE" w:rsidP="00D352EE">
      <w:pPr>
        <w:spacing w:line="360" w:lineRule="auto"/>
        <w:ind w:firstLine="709"/>
        <w:jc w:val="both"/>
        <w:rPr>
          <w:sz w:val="28"/>
          <w:szCs w:val="28"/>
        </w:rPr>
      </w:pPr>
      <w:r>
        <w:rPr>
          <w:sz w:val="28"/>
          <w:szCs w:val="28"/>
        </w:rPr>
        <w:t xml:space="preserve">W.Th </w:t>
      </w:r>
      <w:r w:rsidR="006A34DA" w:rsidRPr="00D352EE">
        <w:rPr>
          <w:sz w:val="28"/>
          <w:szCs w:val="28"/>
        </w:rPr>
        <w:t xml:space="preserve">Mean thickness of bone tissue that has been deposited at a remodeling site, is the mean distance between resting trabecular surfaces and cement lines </w:t>
      </w:r>
    </w:p>
    <w:p w:rsidR="006A34DA" w:rsidRPr="00D352EE" w:rsidRDefault="006A34DA" w:rsidP="00D352EE">
      <w:pPr>
        <w:spacing w:line="360" w:lineRule="auto"/>
        <w:ind w:firstLine="709"/>
        <w:jc w:val="both"/>
        <w:rPr>
          <w:b/>
          <w:bCs/>
          <w:sz w:val="28"/>
          <w:szCs w:val="28"/>
        </w:rPr>
      </w:pPr>
      <w:r w:rsidRPr="00D352EE">
        <w:rPr>
          <w:b/>
          <w:bCs/>
          <w:sz w:val="28"/>
          <w:szCs w:val="28"/>
        </w:rPr>
        <w:t>3- Dynamic formation parameters</w:t>
      </w:r>
    </w:p>
    <w:p w:rsidR="006A34DA" w:rsidRPr="00D352EE" w:rsidRDefault="006A34DA" w:rsidP="00D352EE">
      <w:pPr>
        <w:spacing w:line="360" w:lineRule="auto"/>
        <w:ind w:firstLine="709"/>
        <w:jc w:val="both"/>
        <w:rPr>
          <w:sz w:val="28"/>
          <w:szCs w:val="28"/>
        </w:rPr>
      </w:pPr>
      <w:r w:rsidRPr="00D352EE">
        <w:rPr>
          <w:sz w:val="28"/>
          <w:szCs w:val="28"/>
        </w:rPr>
        <w:t xml:space="preserve">Mineralizing surface / bone surface (%) </w:t>
      </w:r>
    </w:p>
    <w:p w:rsidR="006A34DA" w:rsidRPr="00D352EE" w:rsidRDefault="00D352EE" w:rsidP="00D352EE">
      <w:pPr>
        <w:spacing w:line="360" w:lineRule="auto"/>
        <w:ind w:firstLine="709"/>
        <w:jc w:val="both"/>
        <w:rPr>
          <w:sz w:val="28"/>
          <w:szCs w:val="28"/>
        </w:rPr>
      </w:pPr>
      <w:r>
        <w:rPr>
          <w:sz w:val="28"/>
          <w:szCs w:val="28"/>
        </w:rPr>
        <w:t xml:space="preserve">MS/BS </w:t>
      </w:r>
      <w:r w:rsidR="006A34DA" w:rsidRPr="00D352EE">
        <w:rPr>
          <w:sz w:val="28"/>
          <w:szCs w:val="28"/>
        </w:rPr>
        <w:t>Percentage of bone surface showing mineralizing activity</w:t>
      </w:r>
    </w:p>
    <w:p w:rsidR="006A34DA" w:rsidRPr="00D352EE" w:rsidRDefault="006A34DA" w:rsidP="00D352EE">
      <w:pPr>
        <w:spacing w:line="360" w:lineRule="auto"/>
        <w:ind w:firstLine="709"/>
        <w:jc w:val="both"/>
        <w:rPr>
          <w:sz w:val="28"/>
          <w:szCs w:val="28"/>
        </w:rPr>
      </w:pPr>
      <w:r w:rsidRPr="00D352EE">
        <w:rPr>
          <w:sz w:val="28"/>
          <w:szCs w:val="28"/>
        </w:rPr>
        <w:t xml:space="preserve">Mineral apposition rate (μm/d) </w:t>
      </w:r>
    </w:p>
    <w:p w:rsidR="006A34DA" w:rsidRPr="00D352EE" w:rsidRDefault="00D352EE" w:rsidP="00D352EE">
      <w:pPr>
        <w:spacing w:line="360" w:lineRule="auto"/>
        <w:ind w:firstLine="709"/>
        <w:jc w:val="both"/>
        <w:rPr>
          <w:sz w:val="28"/>
          <w:szCs w:val="28"/>
        </w:rPr>
      </w:pPr>
      <w:r>
        <w:rPr>
          <w:sz w:val="28"/>
          <w:szCs w:val="28"/>
        </w:rPr>
        <w:t xml:space="preserve">MAR </w:t>
      </w:r>
      <w:r w:rsidR="006A34DA" w:rsidRPr="00D352EE">
        <w:rPr>
          <w:sz w:val="28"/>
          <w:szCs w:val="28"/>
        </w:rPr>
        <w:t>Distance between two tetracycline labels divided by the length of the labeling interval</w:t>
      </w:r>
    </w:p>
    <w:p w:rsidR="006A34DA" w:rsidRPr="00D352EE" w:rsidRDefault="006A34DA" w:rsidP="00D352EE">
      <w:pPr>
        <w:spacing w:line="360" w:lineRule="auto"/>
        <w:ind w:firstLine="709"/>
        <w:jc w:val="both"/>
        <w:rPr>
          <w:sz w:val="28"/>
          <w:szCs w:val="28"/>
        </w:rPr>
      </w:pPr>
      <w:r w:rsidRPr="00D352EE">
        <w:rPr>
          <w:sz w:val="28"/>
          <w:szCs w:val="28"/>
        </w:rPr>
        <w:t xml:space="preserve">Mineralization lag time (d) </w:t>
      </w:r>
    </w:p>
    <w:p w:rsidR="006A34DA" w:rsidRPr="00D352EE" w:rsidRDefault="00D352EE" w:rsidP="00D352EE">
      <w:pPr>
        <w:spacing w:line="360" w:lineRule="auto"/>
        <w:ind w:firstLine="709"/>
        <w:jc w:val="both"/>
        <w:rPr>
          <w:sz w:val="28"/>
          <w:szCs w:val="28"/>
        </w:rPr>
      </w:pPr>
      <w:r>
        <w:rPr>
          <w:sz w:val="28"/>
          <w:szCs w:val="28"/>
        </w:rPr>
        <w:t xml:space="preserve">Mlt </w:t>
      </w:r>
      <w:r w:rsidR="006A34DA" w:rsidRPr="00D352EE">
        <w:rPr>
          <w:sz w:val="28"/>
          <w:szCs w:val="28"/>
        </w:rPr>
        <w:t>Time interval between the deposition and mineralization of matrix</w:t>
      </w:r>
    </w:p>
    <w:p w:rsidR="006A34DA" w:rsidRPr="00D352EE" w:rsidRDefault="006A34DA" w:rsidP="00D352EE">
      <w:pPr>
        <w:spacing w:line="360" w:lineRule="auto"/>
        <w:ind w:firstLine="709"/>
        <w:jc w:val="both"/>
        <w:rPr>
          <w:sz w:val="28"/>
          <w:szCs w:val="28"/>
        </w:rPr>
      </w:pPr>
      <w:r w:rsidRPr="00D352EE">
        <w:rPr>
          <w:sz w:val="28"/>
          <w:szCs w:val="28"/>
        </w:rPr>
        <w:t>Bone formation rate / bone surface (μm3×μm−2*y−1)</w:t>
      </w:r>
    </w:p>
    <w:p w:rsidR="006A34DA" w:rsidRPr="00D352EE" w:rsidRDefault="00D352EE" w:rsidP="00D352EE">
      <w:pPr>
        <w:spacing w:line="360" w:lineRule="auto"/>
        <w:ind w:firstLine="709"/>
        <w:jc w:val="both"/>
        <w:rPr>
          <w:sz w:val="28"/>
          <w:szCs w:val="28"/>
        </w:rPr>
      </w:pPr>
      <w:r>
        <w:rPr>
          <w:sz w:val="28"/>
          <w:szCs w:val="28"/>
        </w:rPr>
        <w:t xml:space="preserve">BFR/BS </w:t>
      </w:r>
      <w:r w:rsidR="006A34DA" w:rsidRPr="00D352EE">
        <w:rPr>
          <w:sz w:val="28"/>
          <w:szCs w:val="28"/>
        </w:rPr>
        <w:t>Amount of bone formed per year on a given bone surface</w:t>
      </w:r>
    </w:p>
    <w:p w:rsidR="006A34DA" w:rsidRPr="00D352EE" w:rsidRDefault="006A34DA" w:rsidP="00D352EE">
      <w:pPr>
        <w:spacing w:line="360" w:lineRule="auto"/>
        <w:ind w:firstLine="709"/>
        <w:jc w:val="both"/>
        <w:rPr>
          <w:b/>
          <w:bCs/>
          <w:sz w:val="28"/>
          <w:szCs w:val="28"/>
        </w:rPr>
      </w:pPr>
      <w:r w:rsidRPr="00D352EE">
        <w:rPr>
          <w:b/>
          <w:bCs/>
          <w:sz w:val="28"/>
          <w:szCs w:val="28"/>
        </w:rPr>
        <w:t>4- Static resorption parameters</w:t>
      </w:r>
    </w:p>
    <w:p w:rsidR="006A34DA" w:rsidRPr="00D352EE" w:rsidRDefault="006A34DA" w:rsidP="00D352EE">
      <w:pPr>
        <w:spacing w:line="360" w:lineRule="auto"/>
        <w:ind w:firstLine="709"/>
        <w:jc w:val="both"/>
        <w:rPr>
          <w:sz w:val="28"/>
          <w:szCs w:val="28"/>
        </w:rPr>
      </w:pPr>
      <w:r w:rsidRPr="00D352EE">
        <w:rPr>
          <w:sz w:val="28"/>
          <w:szCs w:val="28"/>
        </w:rPr>
        <w:t xml:space="preserve">Eroded surface / bone surface (%) </w:t>
      </w:r>
    </w:p>
    <w:p w:rsidR="006A34DA" w:rsidRPr="00D352EE" w:rsidRDefault="00D352EE" w:rsidP="00D352EE">
      <w:pPr>
        <w:spacing w:line="360" w:lineRule="auto"/>
        <w:ind w:firstLine="709"/>
        <w:jc w:val="both"/>
        <w:rPr>
          <w:sz w:val="28"/>
          <w:szCs w:val="28"/>
        </w:rPr>
      </w:pPr>
      <w:r>
        <w:rPr>
          <w:sz w:val="28"/>
          <w:szCs w:val="28"/>
        </w:rPr>
        <w:t xml:space="preserve">ES/BS </w:t>
      </w:r>
      <w:r w:rsidR="006A34DA" w:rsidRPr="00D352EE">
        <w:rPr>
          <w:sz w:val="28"/>
          <w:szCs w:val="28"/>
        </w:rPr>
        <w:t>Percentage of bone surface presenting a scalloped appearance</w:t>
      </w:r>
    </w:p>
    <w:p w:rsidR="006A34DA" w:rsidRPr="00D352EE" w:rsidRDefault="006A34DA" w:rsidP="00D352EE">
      <w:pPr>
        <w:spacing w:line="360" w:lineRule="auto"/>
        <w:ind w:firstLine="709"/>
        <w:jc w:val="both"/>
        <w:rPr>
          <w:sz w:val="28"/>
          <w:szCs w:val="28"/>
        </w:rPr>
      </w:pPr>
      <w:r w:rsidRPr="00D352EE">
        <w:rPr>
          <w:sz w:val="28"/>
          <w:szCs w:val="28"/>
        </w:rPr>
        <w:t xml:space="preserve">Osteoclast surface / bone surface (%) </w:t>
      </w:r>
    </w:p>
    <w:p w:rsidR="006A34DA" w:rsidRPr="00D352EE" w:rsidRDefault="006A34DA" w:rsidP="00D352EE">
      <w:pPr>
        <w:spacing w:line="360" w:lineRule="auto"/>
        <w:ind w:firstLine="709"/>
        <w:jc w:val="both"/>
        <w:rPr>
          <w:sz w:val="28"/>
          <w:szCs w:val="28"/>
        </w:rPr>
      </w:pPr>
      <w:r w:rsidRPr="00D352EE">
        <w:rPr>
          <w:sz w:val="28"/>
          <w:szCs w:val="28"/>
        </w:rPr>
        <w:t xml:space="preserve">Oc.S/BS </w:t>
      </w:r>
      <w:r w:rsidRPr="00D352EE">
        <w:rPr>
          <w:sz w:val="28"/>
          <w:szCs w:val="28"/>
        </w:rPr>
        <w:tab/>
        <w:t>Percentage of bone surface covered by osteoclasts</w:t>
      </w:r>
    </w:p>
    <w:p w:rsidR="006A34DA" w:rsidRPr="00D352EE" w:rsidRDefault="006A34DA" w:rsidP="00D352EE">
      <w:pPr>
        <w:spacing w:line="360" w:lineRule="auto"/>
        <w:ind w:firstLine="709"/>
        <w:jc w:val="both"/>
        <w:rPr>
          <w:b/>
          <w:bCs/>
          <w:color w:val="000000"/>
          <w:sz w:val="28"/>
          <w:szCs w:val="28"/>
        </w:rPr>
      </w:pPr>
      <w:r w:rsidRPr="00D352EE">
        <w:rPr>
          <w:b/>
          <w:bCs/>
          <w:color w:val="000000"/>
          <w:sz w:val="28"/>
          <w:szCs w:val="28"/>
        </w:rPr>
        <w:t>-Aims of the study</w:t>
      </w:r>
    </w:p>
    <w:p w:rsidR="006A34DA" w:rsidRPr="00D352EE" w:rsidRDefault="006A34DA" w:rsidP="00D352EE">
      <w:pPr>
        <w:spacing w:line="360" w:lineRule="auto"/>
        <w:ind w:firstLine="709"/>
        <w:jc w:val="both"/>
        <w:rPr>
          <w:sz w:val="28"/>
          <w:szCs w:val="28"/>
          <w:lang w:val="en-GB"/>
        </w:rPr>
      </w:pPr>
      <w:r w:rsidRPr="00D352EE">
        <w:rPr>
          <w:sz w:val="28"/>
          <w:szCs w:val="28"/>
          <w:lang w:val="en-GB"/>
        </w:rPr>
        <w:t>The aim of the study was to assess locally specific numerical density of lacunes with a three-dimensional unbiased counting method and to analyze anisotropy of profiles of vascular canals in an embedded section of human tibia.</w:t>
      </w:r>
    </w:p>
    <w:p w:rsidR="006A34DA" w:rsidRPr="00D352EE" w:rsidRDefault="006A34DA" w:rsidP="00D352EE">
      <w:pPr>
        <w:spacing w:line="360" w:lineRule="auto"/>
        <w:ind w:firstLine="709"/>
        <w:jc w:val="both"/>
        <w:rPr>
          <w:b/>
          <w:bCs/>
          <w:color w:val="000000"/>
          <w:sz w:val="28"/>
          <w:szCs w:val="28"/>
        </w:rPr>
      </w:pPr>
      <w:r w:rsidRPr="00D352EE">
        <w:rPr>
          <w:b/>
          <w:bCs/>
          <w:color w:val="008000"/>
          <w:sz w:val="28"/>
          <w:szCs w:val="28"/>
        </w:rPr>
        <w:t>-</w:t>
      </w:r>
      <w:r w:rsidRPr="00D352EE">
        <w:rPr>
          <w:b/>
          <w:bCs/>
          <w:color w:val="000000"/>
          <w:sz w:val="28"/>
          <w:szCs w:val="28"/>
        </w:rPr>
        <w:t>Material and methods</w:t>
      </w:r>
    </w:p>
    <w:p w:rsidR="006A34DA" w:rsidRPr="00D352EE" w:rsidRDefault="006A34DA" w:rsidP="00D352EE">
      <w:pPr>
        <w:spacing w:line="360" w:lineRule="auto"/>
        <w:ind w:firstLine="709"/>
        <w:jc w:val="both"/>
        <w:rPr>
          <w:b/>
          <w:bCs/>
          <w:color w:val="000000"/>
          <w:sz w:val="28"/>
          <w:szCs w:val="28"/>
        </w:rPr>
      </w:pPr>
      <w:r w:rsidRPr="00D352EE">
        <w:rPr>
          <w:b/>
          <w:bCs/>
          <w:color w:val="000000"/>
          <w:sz w:val="28"/>
          <w:szCs w:val="28"/>
        </w:rPr>
        <w:t>– optical disector</w:t>
      </w:r>
    </w:p>
    <w:p w:rsidR="006A34DA" w:rsidRPr="00D352EE" w:rsidRDefault="006A34DA" w:rsidP="00D352EE">
      <w:pPr>
        <w:spacing w:line="360" w:lineRule="auto"/>
        <w:ind w:firstLine="709"/>
        <w:jc w:val="both"/>
        <w:rPr>
          <w:b/>
          <w:bCs/>
          <w:color w:val="000000"/>
          <w:sz w:val="28"/>
          <w:szCs w:val="28"/>
        </w:rPr>
      </w:pPr>
      <w:r w:rsidRPr="00D352EE">
        <w:rPr>
          <w:b/>
          <w:bCs/>
          <w:color w:val="000000"/>
          <w:sz w:val="28"/>
          <w:szCs w:val="28"/>
        </w:rPr>
        <w:t>– Delaunay triangulation</w:t>
      </w:r>
    </w:p>
    <w:p w:rsidR="006A34DA" w:rsidRPr="00D352EE" w:rsidRDefault="006A34DA" w:rsidP="00D352EE">
      <w:pPr>
        <w:spacing w:line="360" w:lineRule="auto"/>
        <w:ind w:firstLine="709"/>
        <w:jc w:val="both"/>
        <w:rPr>
          <w:b/>
          <w:bCs/>
          <w:color w:val="000000"/>
          <w:sz w:val="28"/>
          <w:szCs w:val="28"/>
        </w:rPr>
      </w:pPr>
      <w:r w:rsidRPr="00D352EE">
        <w:rPr>
          <w:b/>
          <w:bCs/>
          <w:color w:val="000000"/>
          <w:sz w:val="28"/>
          <w:szCs w:val="28"/>
        </w:rPr>
        <w:t>- bone biopsy</w:t>
      </w:r>
    </w:p>
    <w:p w:rsidR="006A34DA" w:rsidRPr="00D352EE" w:rsidRDefault="006A34DA" w:rsidP="00D352EE">
      <w:pPr>
        <w:spacing w:line="360" w:lineRule="auto"/>
        <w:ind w:firstLine="709"/>
        <w:jc w:val="both"/>
        <w:rPr>
          <w:sz w:val="28"/>
          <w:szCs w:val="28"/>
          <w:lang w:val="en-GB"/>
        </w:rPr>
      </w:pPr>
      <w:r w:rsidRPr="00D352EE">
        <w:rPr>
          <w:sz w:val="28"/>
          <w:szCs w:val="28"/>
          <w:lang w:val="en-GB"/>
        </w:rPr>
        <w:t xml:space="preserve">An undecalcified 150 micrometers thick transversal section was sawed from the diaphysis of tibia of a 70-year-old female, grinded to a 70-80 micrometers thick section, polished, stained with basic fuchsin, and observed with an optical microscope. We quantified numerical density of osteocyte lacunes in compact bone underlying the lateral, medial, and posterior surface. Image frames (n=42) were sampled in an systematic uniform random manner from cortical and medullar layer round the tibial circumference. Each of the layers comprised one half of the local thickness of the bone section. Series of seven optical sections registered with respect to the Z-axis were photographed in each image frame. The unbiased counting rule of optical disector was applied to these series in order to assess the number of osteocyte lacunes per unit volume. Area fraction of the profiles of vascular canals in the bone sections was estimated with the point-counting method. Disector and point-grid counting was performed with the Ellipse software (ViDiTo, Košice, Slovak Republic). The two-dimensional anisotropy of profiles of vascular canals was assessed with the Delaunay triangulation (Qhull software, The Geometry Center, Minneapolis MN, USA). We carried out a 3-D reconstruction of vascular canal and surrounding lacunes in a part of a randomly selected Haversian system (software Amira, Mercury Computer Systems SAS, Merignac Cedex, France). </w:t>
      </w:r>
    </w:p>
    <w:p w:rsidR="006A34DA" w:rsidRPr="00D352EE" w:rsidRDefault="006A34DA" w:rsidP="00D352EE">
      <w:pPr>
        <w:spacing w:line="360" w:lineRule="auto"/>
        <w:ind w:firstLine="709"/>
        <w:jc w:val="both"/>
        <w:rPr>
          <w:b/>
          <w:bCs/>
          <w:color w:val="000000"/>
          <w:sz w:val="28"/>
          <w:szCs w:val="28"/>
        </w:rPr>
      </w:pPr>
      <w:r w:rsidRPr="00D352EE">
        <w:rPr>
          <w:b/>
          <w:bCs/>
          <w:color w:val="000000"/>
          <w:sz w:val="28"/>
          <w:szCs w:val="28"/>
        </w:rPr>
        <w:t>Results</w:t>
      </w:r>
      <w:r w:rsidR="00D352EE" w:rsidRPr="00D352EE">
        <w:rPr>
          <w:b/>
          <w:bCs/>
          <w:color w:val="000000"/>
          <w:sz w:val="28"/>
          <w:szCs w:val="28"/>
          <w:lang w:val="en-US"/>
        </w:rPr>
        <w:t xml:space="preserve"> </w:t>
      </w:r>
      <w:r w:rsidRPr="00D352EE">
        <w:rPr>
          <w:b/>
          <w:bCs/>
          <w:color w:val="000000"/>
          <w:sz w:val="28"/>
          <w:szCs w:val="28"/>
        </w:rPr>
        <w:t>numerical density of lacunes</w:t>
      </w:r>
      <w:r w:rsidR="00D352EE" w:rsidRPr="00D352EE">
        <w:rPr>
          <w:b/>
          <w:bCs/>
          <w:color w:val="000000"/>
          <w:sz w:val="28"/>
          <w:szCs w:val="28"/>
          <w:lang w:val="en-US"/>
        </w:rPr>
        <w:t xml:space="preserve"> </w:t>
      </w:r>
      <w:r w:rsidRPr="00D352EE">
        <w:rPr>
          <w:b/>
          <w:bCs/>
          <w:color w:val="000000"/>
          <w:sz w:val="28"/>
          <w:szCs w:val="28"/>
        </w:rPr>
        <w:t>– anisotropy of vascular canals</w:t>
      </w:r>
    </w:p>
    <w:p w:rsidR="006A34DA" w:rsidRPr="00D352EE" w:rsidRDefault="006A34DA" w:rsidP="00D352EE">
      <w:pPr>
        <w:spacing w:line="360" w:lineRule="auto"/>
        <w:ind w:firstLine="709"/>
        <w:jc w:val="both"/>
        <w:rPr>
          <w:sz w:val="28"/>
          <w:szCs w:val="28"/>
          <w:lang w:val="en-GB"/>
        </w:rPr>
      </w:pPr>
      <w:r w:rsidRPr="00D352EE">
        <w:rPr>
          <w:sz w:val="28"/>
          <w:szCs w:val="28"/>
          <w:lang w:val="en-GB"/>
        </w:rPr>
        <w:t>Kruskal Wallis ANOVA did not prove significant differences (p=0.051) in lacunar density among the bone areas underlying the lateral (18088±2150 mm</w:t>
      </w:r>
      <w:r w:rsidRPr="00D352EE">
        <w:rPr>
          <w:sz w:val="28"/>
          <w:szCs w:val="28"/>
          <w:vertAlign w:val="superscript"/>
          <w:lang w:val="en-GB"/>
        </w:rPr>
        <w:t xml:space="preserve">-3, </w:t>
      </w:r>
      <w:r w:rsidRPr="00D352EE">
        <w:rPr>
          <w:sz w:val="28"/>
          <w:szCs w:val="28"/>
          <w:lang w:val="en-GB"/>
        </w:rPr>
        <w:t>mean±SD), medial (16655±3772 mm</w:t>
      </w:r>
      <w:r w:rsidRPr="00D352EE">
        <w:rPr>
          <w:sz w:val="28"/>
          <w:szCs w:val="28"/>
          <w:vertAlign w:val="superscript"/>
          <w:lang w:val="en-GB"/>
        </w:rPr>
        <w:t>-3</w:t>
      </w:r>
      <w:r w:rsidRPr="00D352EE">
        <w:rPr>
          <w:sz w:val="28"/>
          <w:szCs w:val="28"/>
          <w:lang w:val="en-GB"/>
        </w:rPr>
        <w:t>) and posterior surfaces (20222±4109 mm</w:t>
      </w:r>
      <w:r w:rsidRPr="00D352EE">
        <w:rPr>
          <w:sz w:val="28"/>
          <w:szCs w:val="28"/>
          <w:vertAlign w:val="superscript"/>
          <w:lang w:val="en-GB"/>
        </w:rPr>
        <w:t>-3</w:t>
      </w:r>
      <w:r w:rsidRPr="00D352EE">
        <w:rPr>
          <w:sz w:val="28"/>
          <w:szCs w:val="28"/>
          <w:lang w:val="en-GB"/>
        </w:rPr>
        <w:t>). Lacunar density was higher (p=0.032) in cortical (20356±3725 mm</w:t>
      </w:r>
      <w:r w:rsidRPr="00D352EE">
        <w:rPr>
          <w:sz w:val="28"/>
          <w:szCs w:val="28"/>
          <w:vertAlign w:val="superscript"/>
          <w:lang w:val="en-GB"/>
        </w:rPr>
        <w:t>-3</w:t>
      </w:r>
      <w:r w:rsidRPr="00D352EE">
        <w:rPr>
          <w:sz w:val="28"/>
          <w:szCs w:val="28"/>
          <w:lang w:val="en-GB"/>
        </w:rPr>
        <w:t>) than in medullar layer (16287±2274 mm</w:t>
      </w:r>
      <w:r w:rsidRPr="00D352EE">
        <w:rPr>
          <w:sz w:val="28"/>
          <w:szCs w:val="28"/>
          <w:vertAlign w:val="superscript"/>
          <w:lang w:val="en-GB"/>
        </w:rPr>
        <w:t>-3</w:t>
      </w:r>
      <w:r w:rsidRPr="00D352EE">
        <w:rPr>
          <w:sz w:val="28"/>
          <w:szCs w:val="28"/>
          <w:lang w:val="en-GB"/>
        </w:rPr>
        <w:t>). Area fraction of profiles of vascular canals was 10.5%. Delaunay triangulation of centres of gravity revealed considerable anisotropy in arrangement of profiles of vascular canals (n=1194). The 2-D arrangement of vascular canals was approximated by a network of vertices forming isosceles triangles with average basis (perpendicular to the bone surface) of 251±13 micrometers and height (parallel to the bone surface) of 258±24 micrometers.</w:t>
      </w:r>
    </w:p>
    <w:p w:rsidR="006A34DA" w:rsidRPr="00D352EE" w:rsidRDefault="006A34DA" w:rsidP="00D352EE">
      <w:pPr>
        <w:spacing w:line="360" w:lineRule="auto"/>
        <w:jc w:val="both"/>
        <w:rPr>
          <w:sz w:val="28"/>
          <w:szCs w:val="28"/>
          <w:lang w:val="ru-RU"/>
        </w:rPr>
      </w:pPr>
    </w:p>
    <w:tbl>
      <w:tblPr>
        <w:tblW w:w="0" w:type="auto"/>
        <w:tblInd w:w="279" w:type="dxa"/>
        <w:tblLayout w:type="fixed"/>
        <w:tblCellMar>
          <w:left w:w="70" w:type="dxa"/>
          <w:right w:w="70" w:type="dxa"/>
        </w:tblCellMar>
        <w:tblLook w:val="0000" w:firstRow="0" w:lastRow="0" w:firstColumn="0" w:lastColumn="0" w:noHBand="0" w:noVBand="0"/>
      </w:tblPr>
      <w:tblGrid>
        <w:gridCol w:w="1563"/>
        <w:gridCol w:w="1697"/>
        <w:gridCol w:w="1843"/>
        <w:gridCol w:w="1984"/>
      </w:tblGrid>
      <w:tr w:rsidR="006A34DA" w:rsidRPr="00D352EE" w:rsidTr="00D352EE">
        <w:trPr>
          <w:trHeight w:val="270"/>
        </w:trPr>
        <w:tc>
          <w:tcPr>
            <w:tcW w:w="7087" w:type="dxa"/>
            <w:gridSpan w:val="4"/>
            <w:tcBorders>
              <w:top w:val="single" w:sz="4" w:space="0" w:color="000000"/>
              <w:left w:val="single" w:sz="4" w:space="0" w:color="000000"/>
              <w:bottom w:val="single" w:sz="4" w:space="0" w:color="000000"/>
              <w:right w:val="single" w:sz="4" w:space="0" w:color="000000"/>
            </w:tcBorders>
            <w:vAlign w:val="bottom"/>
          </w:tcPr>
          <w:p w:rsidR="006A34DA" w:rsidRPr="00D352EE" w:rsidRDefault="006A34DA" w:rsidP="00D352EE">
            <w:pPr>
              <w:spacing w:line="360" w:lineRule="auto"/>
              <w:rPr>
                <w:sz w:val="20"/>
                <w:szCs w:val="20"/>
              </w:rPr>
            </w:pPr>
            <w:r w:rsidRPr="00D352EE">
              <w:rPr>
                <w:sz w:val="20"/>
                <w:szCs w:val="20"/>
              </w:rPr>
              <w:t>Osteocyte lacunar density in individual bone areas underlying the lateral, medial and posterior surfaces of tibial shaft. ( mean±SD of 7 disectors) [mm-3]</w:t>
            </w:r>
          </w:p>
        </w:tc>
      </w:tr>
      <w:tr w:rsidR="006A34DA" w:rsidRPr="00D352EE" w:rsidTr="00D352EE">
        <w:trPr>
          <w:trHeight w:val="270"/>
        </w:trPr>
        <w:tc>
          <w:tcPr>
            <w:tcW w:w="1563" w:type="dxa"/>
            <w:tcBorders>
              <w:left w:val="single" w:sz="4" w:space="0" w:color="000000"/>
              <w:bottom w:val="single" w:sz="4" w:space="0" w:color="000000"/>
            </w:tcBorders>
            <w:vAlign w:val="bottom"/>
          </w:tcPr>
          <w:p w:rsidR="006A34DA" w:rsidRPr="00D352EE" w:rsidRDefault="006A34DA" w:rsidP="00D352EE">
            <w:pPr>
              <w:spacing w:line="360" w:lineRule="auto"/>
              <w:rPr>
                <w:sz w:val="20"/>
                <w:szCs w:val="20"/>
              </w:rPr>
            </w:pPr>
            <w:r w:rsidRPr="00D352EE">
              <w:rPr>
                <w:sz w:val="20"/>
                <w:szCs w:val="20"/>
              </w:rPr>
              <w:t>layer:</w:t>
            </w:r>
          </w:p>
        </w:tc>
        <w:tc>
          <w:tcPr>
            <w:tcW w:w="1697" w:type="dxa"/>
            <w:tcBorders>
              <w:left w:val="single" w:sz="4" w:space="0" w:color="000000"/>
              <w:bottom w:val="single" w:sz="4" w:space="0" w:color="000000"/>
            </w:tcBorders>
            <w:vAlign w:val="bottom"/>
          </w:tcPr>
          <w:p w:rsidR="006A34DA" w:rsidRPr="00D352EE" w:rsidRDefault="006A34DA" w:rsidP="00D352EE">
            <w:pPr>
              <w:spacing w:line="360" w:lineRule="auto"/>
              <w:rPr>
                <w:sz w:val="20"/>
                <w:szCs w:val="20"/>
              </w:rPr>
            </w:pPr>
            <w:r w:rsidRPr="00D352EE">
              <w:rPr>
                <w:sz w:val="20"/>
                <w:szCs w:val="20"/>
              </w:rPr>
              <w:t>facies lateralis</w:t>
            </w:r>
          </w:p>
        </w:tc>
        <w:tc>
          <w:tcPr>
            <w:tcW w:w="1843" w:type="dxa"/>
            <w:tcBorders>
              <w:left w:val="single" w:sz="4" w:space="0" w:color="000000"/>
              <w:bottom w:val="single" w:sz="4" w:space="0" w:color="000000"/>
            </w:tcBorders>
            <w:vAlign w:val="bottom"/>
          </w:tcPr>
          <w:p w:rsidR="006A34DA" w:rsidRPr="00D352EE" w:rsidRDefault="006A34DA" w:rsidP="00D352EE">
            <w:pPr>
              <w:spacing w:line="360" w:lineRule="auto"/>
              <w:rPr>
                <w:sz w:val="20"/>
                <w:szCs w:val="20"/>
              </w:rPr>
            </w:pPr>
            <w:r w:rsidRPr="00D352EE">
              <w:rPr>
                <w:sz w:val="20"/>
                <w:szCs w:val="20"/>
              </w:rPr>
              <w:t>facies medialis</w:t>
            </w:r>
          </w:p>
        </w:tc>
        <w:tc>
          <w:tcPr>
            <w:tcW w:w="1984" w:type="dxa"/>
            <w:tcBorders>
              <w:left w:val="single" w:sz="4" w:space="0" w:color="000000"/>
              <w:bottom w:val="single" w:sz="4" w:space="0" w:color="000000"/>
              <w:right w:val="single" w:sz="4" w:space="0" w:color="000000"/>
            </w:tcBorders>
            <w:vAlign w:val="bottom"/>
          </w:tcPr>
          <w:p w:rsidR="006A34DA" w:rsidRPr="00D352EE" w:rsidRDefault="006A34DA" w:rsidP="00D352EE">
            <w:pPr>
              <w:spacing w:line="360" w:lineRule="auto"/>
              <w:rPr>
                <w:sz w:val="20"/>
                <w:szCs w:val="20"/>
              </w:rPr>
            </w:pPr>
            <w:r w:rsidRPr="00D352EE">
              <w:rPr>
                <w:sz w:val="20"/>
                <w:szCs w:val="20"/>
              </w:rPr>
              <w:t>facies posterior</w:t>
            </w:r>
          </w:p>
        </w:tc>
      </w:tr>
      <w:tr w:rsidR="006A34DA" w:rsidRPr="00D352EE" w:rsidTr="00D352EE">
        <w:trPr>
          <w:trHeight w:val="255"/>
        </w:trPr>
        <w:tc>
          <w:tcPr>
            <w:tcW w:w="1563" w:type="dxa"/>
            <w:tcBorders>
              <w:left w:val="single" w:sz="4" w:space="0" w:color="000000"/>
              <w:bottom w:val="single" w:sz="4" w:space="0" w:color="000000"/>
            </w:tcBorders>
            <w:vAlign w:val="bottom"/>
          </w:tcPr>
          <w:p w:rsidR="006A34DA" w:rsidRPr="00D352EE" w:rsidRDefault="006A34DA" w:rsidP="00D352EE">
            <w:pPr>
              <w:spacing w:line="360" w:lineRule="auto"/>
              <w:rPr>
                <w:sz w:val="20"/>
                <w:szCs w:val="20"/>
              </w:rPr>
            </w:pPr>
            <w:r w:rsidRPr="00D352EE">
              <w:rPr>
                <w:sz w:val="20"/>
                <w:szCs w:val="20"/>
              </w:rPr>
              <w:t>cortical</w:t>
            </w:r>
          </w:p>
        </w:tc>
        <w:tc>
          <w:tcPr>
            <w:tcW w:w="1697" w:type="dxa"/>
            <w:tcBorders>
              <w:left w:val="single" w:sz="4" w:space="0" w:color="000000"/>
              <w:bottom w:val="single" w:sz="4" w:space="0" w:color="000000"/>
            </w:tcBorders>
            <w:vAlign w:val="bottom"/>
          </w:tcPr>
          <w:p w:rsidR="006A34DA" w:rsidRPr="00D352EE" w:rsidRDefault="006A34DA" w:rsidP="00D352EE">
            <w:pPr>
              <w:spacing w:line="360" w:lineRule="auto"/>
              <w:rPr>
                <w:sz w:val="20"/>
                <w:szCs w:val="20"/>
              </w:rPr>
            </w:pPr>
            <w:r w:rsidRPr="00D352EE">
              <w:rPr>
                <w:sz w:val="20"/>
                <w:szCs w:val="20"/>
              </w:rPr>
              <w:t>18958±2409</w:t>
            </w:r>
          </w:p>
        </w:tc>
        <w:tc>
          <w:tcPr>
            <w:tcW w:w="1843" w:type="dxa"/>
            <w:tcBorders>
              <w:left w:val="single" w:sz="4" w:space="0" w:color="000000"/>
              <w:bottom w:val="single" w:sz="4" w:space="0" w:color="000000"/>
            </w:tcBorders>
            <w:vAlign w:val="bottom"/>
          </w:tcPr>
          <w:p w:rsidR="006A34DA" w:rsidRPr="00D352EE" w:rsidRDefault="006A34DA" w:rsidP="00D352EE">
            <w:pPr>
              <w:spacing w:line="360" w:lineRule="auto"/>
              <w:rPr>
                <w:sz w:val="20"/>
                <w:szCs w:val="20"/>
              </w:rPr>
            </w:pPr>
            <w:r w:rsidRPr="00D352EE">
              <w:rPr>
                <w:sz w:val="20"/>
                <w:szCs w:val="20"/>
              </w:rPr>
              <w:t>19119±3488</w:t>
            </w:r>
          </w:p>
        </w:tc>
        <w:tc>
          <w:tcPr>
            <w:tcW w:w="1984" w:type="dxa"/>
            <w:tcBorders>
              <w:left w:val="single" w:sz="4" w:space="0" w:color="000000"/>
              <w:bottom w:val="single" w:sz="4" w:space="0" w:color="000000"/>
              <w:right w:val="single" w:sz="4" w:space="0" w:color="000000"/>
            </w:tcBorders>
            <w:vAlign w:val="bottom"/>
          </w:tcPr>
          <w:p w:rsidR="006A34DA" w:rsidRPr="00D352EE" w:rsidRDefault="006A34DA" w:rsidP="00D352EE">
            <w:pPr>
              <w:spacing w:line="360" w:lineRule="auto"/>
              <w:rPr>
                <w:sz w:val="20"/>
                <w:szCs w:val="20"/>
              </w:rPr>
            </w:pPr>
            <w:r w:rsidRPr="00D352EE">
              <w:rPr>
                <w:sz w:val="20"/>
                <w:szCs w:val="20"/>
              </w:rPr>
              <w:t>22991±4017</w:t>
            </w:r>
          </w:p>
        </w:tc>
      </w:tr>
      <w:tr w:rsidR="006A34DA" w:rsidRPr="00D352EE" w:rsidTr="00D352EE">
        <w:trPr>
          <w:trHeight w:val="270"/>
        </w:trPr>
        <w:tc>
          <w:tcPr>
            <w:tcW w:w="1563" w:type="dxa"/>
            <w:tcBorders>
              <w:left w:val="single" w:sz="4" w:space="0" w:color="000000"/>
              <w:bottom w:val="single" w:sz="4" w:space="0" w:color="000000"/>
            </w:tcBorders>
            <w:vAlign w:val="bottom"/>
          </w:tcPr>
          <w:p w:rsidR="006A34DA" w:rsidRPr="00D352EE" w:rsidRDefault="006A34DA" w:rsidP="00D352EE">
            <w:pPr>
              <w:spacing w:line="360" w:lineRule="auto"/>
              <w:rPr>
                <w:sz w:val="20"/>
                <w:szCs w:val="20"/>
              </w:rPr>
            </w:pPr>
            <w:r w:rsidRPr="00D352EE">
              <w:rPr>
                <w:sz w:val="20"/>
                <w:szCs w:val="20"/>
              </w:rPr>
              <w:t>medulllar</w:t>
            </w:r>
          </w:p>
        </w:tc>
        <w:tc>
          <w:tcPr>
            <w:tcW w:w="1697" w:type="dxa"/>
            <w:tcBorders>
              <w:left w:val="single" w:sz="4" w:space="0" w:color="000000"/>
              <w:bottom w:val="single" w:sz="4" w:space="0" w:color="000000"/>
            </w:tcBorders>
            <w:vAlign w:val="bottom"/>
          </w:tcPr>
          <w:p w:rsidR="006A34DA" w:rsidRPr="00D352EE" w:rsidRDefault="006A34DA" w:rsidP="00D352EE">
            <w:pPr>
              <w:spacing w:line="360" w:lineRule="auto"/>
              <w:rPr>
                <w:sz w:val="20"/>
                <w:szCs w:val="20"/>
              </w:rPr>
            </w:pPr>
            <w:r w:rsidRPr="00D352EE">
              <w:rPr>
                <w:sz w:val="20"/>
                <w:szCs w:val="20"/>
              </w:rPr>
              <w:t>17218±1566</w:t>
            </w:r>
          </w:p>
        </w:tc>
        <w:tc>
          <w:tcPr>
            <w:tcW w:w="1843" w:type="dxa"/>
            <w:tcBorders>
              <w:left w:val="single" w:sz="4" w:space="0" w:color="000000"/>
              <w:bottom w:val="single" w:sz="4" w:space="0" w:color="000000"/>
            </w:tcBorders>
            <w:vAlign w:val="bottom"/>
          </w:tcPr>
          <w:p w:rsidR="006A34DA" w:rsidRPr="00D352EE" w:rsidRDefault="006A34DA" w:rsidP="00D352EE">
            <w:pPr>
              <w:spacing w:line="360" w:lineRule="auto"/>
              <w:rPr>
                <w:sz w:val="20"/>
                <w:szCs w:val="20"/>
              </w:rPr>
            </w:pPr>
            <w:r w:rsidRPr="00D352EE">
              <w:rPr>
                <w:sz w:val="20"/>
                <w:szCs w:val="20"/>
              </w:rPr>
              <w:t>14191±2122</w:t>
            </w:r>
          </w:p>
        </w:tc>
        <w:tc>
          <w:tcPr>
            <w:tcW w:w="1984" w:type="dxa"/>
            <w:tcBorders>
              <w:left w:val="single" w:sz="4" w:space="0" w:color="000000"/>
              <w:bottom w:val="single" w:sz="4" w:space="0" w:color="000000"/>
              <w:right w:val="single" w:sz="4" w:space="0" w:color="000000"/>
            </w:tcBorders>
            <w:vAlign w:val="bottom"/>
          </w:tcPr>
          <w:p w:rsidR="006A34DA" w:rsidRPr="00D352EE" w:rsidRDefault="006A34DA" w:rsidP="00D352EE">
            <w:pPr>
              <w:spacing w:line="360" w:lineRule="auto"/>
              <w:rPr>
                <w:sz w:val="20"/>
                <w:szCs w:val="20"/>
              </w:rPr>
            </w:pPr>
            <w:r w:rsidRPr="00D352EE">
              <w:rPr>
                <w:sz w:val="20"/>
                <w:szCs w:val="20"/>
              </w:rPr>
              <w:t>17453±1603</w:t>
            </w:r>
          </w:p>
        </w:tc>
      </w:tr>
    </w:tbl>
    <w:p w:rsidR="006A34DA" w:rsidRPr="00D352EE" w:rsidRDefault="006A34DA" w:rsidP="00D352EE">
      <w:pPr>
        <w:spacing w:line="360" w:lineRule="auto"/>
        <w:jc w:val="both"/>
        <w:rPr>
          <w:sz w:val="28"/>
          <w:szCs w:val="28"/>
          <w:lang w:val="ru-RU"/>
        </w:rPr>
      </w:pPr>
    </w:p>
    <w:p w:rsidR="006A34DA" w:rsidRPr="00D352EE" w:rsidRDefault="006A34DA" w:rsidP="00D352EE">
      <w:pPr>
        <w:spacing w:line="360" w:lineRule="auto"/>
        <w:ind w:firstLine="709"/>
        <w:jc w:val="both"/>
        <w:rPr>
          <w:b/>
          <w:bCs/>
          <w:color w:val="000000"/>
          <w:sz w:val="28"/>
          <w:szCs w:val="28"/>
        </w:rPr>
      </w:pPr>
      <w:r w:rsidRPr="00D352EE">
        <w:rPr>
          <w:b/>
          <w:bCs/>
          <w:color w:val="000000"/>
          <w:sz w:val="28"/>
          <w:szCs w:val="28"/>
        </w:rPr>
        <w:t>Discussion</w:t>
      </w:r>
    </w:p>
    <w:p w:rsidR="006A34DA" w:rsidRPr="00D352EE" w:rsidRDefault="006A34DA" w:rsidP="00D352EE">
      <w:pPr>
        <w:spacing w:line="360" w:lineRule="auto"/>
        <w:ind w:firstLine="709"/>
        <w:jc w:val="both"/>
        <w:rPr>
          <w:b/>
          <w:bCs/>
          <w:color w:val="000000"/>
          <w:sz w:val="28"/>
          <w:szCs w:val="28"/>
        </w:rPr>
      </w:pPr>
      <w:r w:rsidRPr="00D352EE">
        <w:rPr>
          <w:b/>
          <w:bCs/>
          <w:color w:val="000000"/>
          <w:sz w:val="28"/>
          <w:szCs w:val="28"/>
        </w:rPr>
        <w:t>– biological interpretation of quantitative parameters</w:t>
      </w:r>
    </w:p>
    <w:p w:rsidR="006A34DA" w:rsidRPr="00D352EE" w:rsidRDefault="006A34DA" w:rsidP="00D352EE">
      <w:pPr>
        <w:spacing w:line="360" w:lineRule="auto"/>
        <w:ind w:firstLine="709"/>
        <w:jc w:val="both"/>
        <w:rPr>
          <w:b/>
          <w:bCs/>
          <w:color w:val="000000"/>
          <w:sz w:val="28"/>
          <w:szCs w:val="28"/>
        </w:rPr>
      </w:pPr>
      <w:r w:rsidRPr="00D352EE">
        <w:rPr>
          <w:b/>
          <w:bCs/>
          <w:color w:val="000000"/>
          <w:sz w:val="28"/>
          <w:szCs w:val="28"/>
        </w:rPr>
        <w:t>– časová naročnost</w:t>
      </w:r>
    </w:p>
    <w:p w:rsidR="006A34DA" w:rsidRPr="00D352EE" w:rsidRDefault="006A34DA" w:rsidP="00D352EE">
      <w:pPr>
        <w:spacing w:line="360" w:lineRule="auto"/>
        <w:ind w:firstLine="709"/>
        <w:jc w:val="both"/>
        <w:rPr>
          <w:b/>
          <w:bCs/>
          <w:color w:val="000000"/>
          <w:sz w:val="28"/>
          <w:szCs w:val="28"/>
        </w:rPr>
      </w:pPr>
      <w:r w:rsidRPr="00D352EE">
        <w:rPr>
          <w:b/>
          <w:bCs/>
          <w:color w:val="000000"/>
          <w:sz w:val="28"/>
          <w:szCs w:val="28"/>
        </w:rPr>
        <w:t>- disektor- obecne v MM jedinná metoda umožnujici 3D</w:t>
      </w:r>
    </w:p>
    <w:p w:rsidR="006A34DA" w:rsidRPr="00D352EE" w:rsidRDefault="006A34DA" w:rsidP="00D352EE">
      <w:pPr>
        <w:spacing w:line="360" w:lineRule="auto"/>
        <w:ind w:firstLine="709"/>
        <w:jc w:val="both"/>
        <w:rPr>
          <w:b/>
          <w:bCs/>
          <w:color w:val="000000"/>
          <w:sz w:val="28"/>
          <w:szCs w:val="28"/>
        </w:rPr>
      </w:pPr>
      <w:r w:rsidRPr="00D352EE">
        <w:rPr>
          <w:b/>
          <w:bCs/>
          <w:color w:val="000000"/>
          <w:sz w:val="28"/>
          <w:szCs w:val="28"/>
        </w:rPr>
        <w:t>- srovnání/přepočet 2D a 3D, vzorec</w:t>
      </w:r>
    </w:p>
    <w:p w:rsidR="006A34DA" w:rsidRPr="00D352EE" w:rsidRDefault="006A34DA" w:rsidP="00D352EE">
      <w:pPr>
        <w:spacing w:line="360" w:lineRule="auto"/>
        <w:ind w:firstLine="709"/>
        <w:jc w:val="both"/>
        <w:rPr>
          <w:b/>
          <w:bCs/>
          <w:color w:val="000000"/>
          <w:sz w:val="28"/>
          <w:szCs w:val="28"/>
        </w:rPr>
      </w:pPr>
      <w:r w:rsidRPr="00D352EE">
        <w:rPr>
          <w:b/>
          <w:bCs/>
          <w:color w:val="008000"/>
          <w:sz w:val="28"/>
          <w:szCs w:val="28"/>
        </w:rPr>
        <w:t>-</w:t>
      </w:r>
      <w:r w:rsidRPr="00D352EE">
        <w:rPr>
          <w:b/>
          <w:bCs/>
          <w:color w:val="000000"/>
          <w:sz w:val="28"/>
          <w:szCs w:val="28"/>
        </w:rPr>
        <w:t>Conclusion</w:t>
      </w:r>
    </w:p>
    <w:p w:rsidR="006A34DA" w:rsidRPr="00D352EE" w:rsidRDefault="006A34DA" w:rsidP="00D352EE">
      <w:pPr>
        <w:spacing w:line="360" w:lineRule="auto"/>
        <w:ind w:firstLine="709"/>
        <w:jc w:val="both"/>
        <w:rPr>
          <w:sz w:val="28"/>
          <w:szCs w:val="28"/>
          <w:lang w:val="en-GB"/>
        </w:rPr>
      </w:pPr>
      <w:r w:rsidRPr="00D352EE">
        <w:rPr>
          <w:sz w:val="28"/>
          <w:szCs w:val="28"/>
          <w:lang w:val="en-GB"/>
        </w:rPr>
        <w:t>We suggest the combination of optical disector, stereological point-counting method, and Delaunay triangulation to be a set of complementary methods useful for description of local heterogeneities in lacunar density and arrangement of vascular canals in microstructure of compact bone.</w:t>
      </w:r>
    </w:p>
    <w:p w:rsidR="006A34DA" w:rsidRPr="00D352EE" w:rsidRDefault="006A34DA" w:rsidP="00D352EE">
      <w:pPr>
        <w:pStyle w:val="a0"/>
        <w:spacing w:after="0" w:line="360" w:lineRule="auto"/>
        <w:ind w:firstLine="709"/>
        <w:jc w:val="both"/>
        <w:rPr>
          <w:sz w:val="28"/>
          <w:szCs w:val="28"/>
          <w:lang w:val="en-GB"/>
        </w:rPr>
      </w:pPr>
      <w:r w:rsidRPr="00D352EE">
        <w:rPr>
          <w:b/>
          <w:bCs/>
          <w:sz w:val="28"/>
          <w:szCs w:val="28"/>
        </w:rPr>
        <w:t>References:</w:t>
      </w:r>
      <w:r w:rsidRPr="00D352EE">
        <w:rPr>
          <w:sz w:val="28"/>
          <w:szCs w:val="28"/>
          <w:lang w:val="en-GB"/>
        </w:rPr>
        <w:t xml:space="preserve"> </w:t>
      </w:r>
    </w:p>
    <w:p w:rsidR="006A34DA" w:rsidRPr="00D352EE" w:rsidRDefault="006A34DA" w:rsidP="00D352EE">
      <w:pPr>
        <w:spacing w:line="360" w:lineRule="auto"/>
        <w:ind w:firstLine="709"/>
        <w:jc w:val="both"/>
        <w:rPr>
          <w:color w:val="141314"/>
          <w:sz w:val="28"/>
          <w:szCs w:val="28"/>
        </w:rPr>
      </w:pPr>
      <w:r w:rsidRPr="00D352EE">
        <w:rPr>
          <w:sz w:val="28"/>
          <w:szCs w:val="28"/>
        </w:rPr>
        <w:t>[1] RAUCH</w:t>
      </w:r>
      <w:r w:rsidRPr="00D352EE">
        <w:rPr>
          <w:color w:val="141314"/>
          <w:sz w:val="28"/>
          <w:szCs w:val="28"/>
        </w:rPr>
        <w:t xml:space="preserve"> F</w:t>
      </w:r>
      <w:r w:rsidRPr="00D352EE">
        <w:rPr>
          <w:sz w:val="28"/>
          <w:szCs w:val="28"/>
        </w:rPr>
        <w:t xml:space="preserve">, </w:t>
      </w:r>
      <w:r w:rsidRPr="00D352EE">
        <w:rPr>
          <w:color w:val="141314"/>
          <w:sz w:val="28"/>
          <w:szCs w:val="28"/>
        </w:rPr>
        <w:t>Watching bone cells at work: what we can see from bone biopsies,</w:t>
      </w:r>
      <w:r w:rsidRPr="00D352EE">
        <w:rPr>
          <w:sz w:val="28"/>
          <w:szCs w:val="28"/>
        </w:rPr>
        <w:t xml:space="preserve"> </w:t>
      </w:r>
      <w:r w:rsidRPr="00D352EE">
        <w:rPr>
          <w:color w:val="141314"/>
          <w:sz w:val="28"/>
          <w:szCs w:val="28"/>
        </w:rPr>
        <w:t xml:space="preserve">Pediatr Nephrol, 21: 457–462, 2006 </w:t>
      </w:r>
    </w:p>
    <w:p w:rsidR="00D352EE" w:rsidRPr="00D352EE" w:rsidRDefault="006A34DA" w:rsidP="00D352EE">
      <w:pPr>
        <w:spacing w:line="360" w:lineRule="auto"/>
        <w:ind w:firstLine="709"/>
        <w:jc w:val="both"/>
        <w:rPr>
          <w:color w:val="141314"/>
          <w:sz w:val="28"/>
          <w:szCs w:val="28"/>
          <w:lang w:val="en-US"/>
        </w:rPr>
      </w:pPr>
      <w:r w:rsidRPr="00D352EE">
        <w:rPr>
          <w:sz w:val="28"/>
          <w:szCs w:val="28"/>
          <w:lang w:val="en-GB"/>
        </w:rPr>
        <w:t xml:space="preserve">[2] </w:t>
      </w:r>
      <w:r w:rsidRPr="00D352EE">
        <w:rPr>
          <w:color w:val="141314"/>
          <w:sz w:val="28"/>
          <w:szCs w:val="28"/>
        </w:rPr>
        <w:t>RAUCH F (2003) Bone histomorphometry. In: Glorieux FH,Pettifor J, Jueppner H (eds) Pediatric bone. Academic, San Diego, CA, pp 359–374</w:t>
      </w:r>
    </w:p>
    <w:p w:rsidR="006A34DA" w:rsidRPr="00D352EE" w:rsidRDefault="006A34DA" w:rsidP="00D352EE">
      <w:pPr>
        <w:spacing w:line="360" w:lineRule="auto"/>
        <w:ind w:firstLine="709"/>
        <w:jc w:val="both"/>
        <w:rPr>
          <w:color w:val="141314"/>
          <w:sz w:val="28"/>
          <w:szCs w:val="28"/>
        </w:rPr>
      </w:pPr>
      <w:r w:rsidRPr="00D352EE">
        <w:rPr>
          <w:sz w:val="28"/>
          <w:szCs w:val="28"/>
          <w:lang w:val="en-GB"/>
        </w:rPr>
        <w:t>[3]RAUCH</w:t>
      </w:r>
      <w:r w:rsidRPr="00D352EE">
        <w:rPr>
          <w:color w:val="141314"/>
          <w:sz w:val="28"/>
          <w:szCs w:val="28"/>
          <w:lang w:val="en-GB"/>
        </w:rPr>
        <w:t xml:space="preserve"> F, Travers R, Norman ME, Taylor A, Parfitt AM, </w:t>
      </w:r>
      <w:r w:rsidRPr="00D352EE">
        <w:rPr>
          <w:color w:val="141314"/>
          <w:sz w:val="28"/>
          <w:szCs w:val="28"/>
        </w:rPr>
        <w:t>Glorieux FH (2002) The bone formation defect in idiopathic juvenile osteoporosis is surface-specific. Bone 31:85–89</w:t>
      </w:r>
    </w:p>
    <w:p w:rsidR="006A34DA" w:rsidRPr="00D352EE" w:rsidRDefault="006A34DA" w:rsidP="00D352EE">
      <w:pPr>
        <w:spacing w:line="360" w:lineRule="auto"/>
        <w:ind w:firstLine="709"/>
        <w:jc w:val="both"/>
        <w:rPr>
          <w:color w:val="141314"/>
          <w:sz w:val="28"/>
          <w:szCs w:val="28"/>
        </w:rPr>
      </w:pPr>
      <w:r w:rsidRPr="00D352EE">
        <w:rPr>
          <w:sz w:val="28"/>
          <w:szCs w:val="28"/>
          <w:lang w:val="en-GB"/>
        </w:rPr>
        <w:t>[3]</w:t>
      </w:r>
      <w:r w:rsidRPr="00D352EE">
        <w:rPr>
          <w:color w:val="141314"/>
          <w:sz w:val="28"/>
          <w:szCs w:val="28"/>
        </w:rPr>
        <w:t>GLORIEUX FH, Travers R, Taylor A, Bowen JR, Rauch F, Norman M, Parfitt AM (2000) Normative data for iliac bone histomorphometry in growing children. Bone 26:103–109</w:t>
      </w:r>
    </w:p>
    <w:p w:rsidR="006A34DA" w:rsidRPr="00D352EE" w:rsidRDefault="006A34DA" w:rsidP="00D352EE">
      <w:pPr>
        <w:spacing w:line="360" w:lineRule="auto"/>
        <w:ind w:firstLine="709"/>
        <w:jc w:val="both"/>
        <w:rPr>
          <w:color w:val="141314"/>
          <w:sz w:val="28"/>
          <w:szCs w:val="28"/>
        </w:rPr>
      </w:pPr>
      <w:r w:rsidRPr="00D352EE">
        <w:rPr>
          <w:sz w:val="28"/>
          <w:szCs w:val="28"/>
          <w:lang w:val="en-GB"/>
        </w:rPr>
        <w:t>[4]</w:t>
      </w:r>
      <w:r w:rsidRPr="00D352EE">
        <w:rPr>
          <w:color w:val="141314"/>
          <w:sz w:val="28"/>
          <w:szCs w:val="28"/>
        </w:rPr>
        <w:t>PARFITT AM, Drezner MK, Glorieux FH, Kanis JA, Malluche H, Meunier PJ, Ott SM, Recker RR (1987) Bone histomorphometry: standardization of nomenclature, symbols, and units.Report of the ASBMR Histomorphometry Nomenclature Committee. J Bone Miner Res 2:595–610</w:t>
      </w:r>
    </w:p>
    <w:p w:rsidR="006A34DA" w:rsidRPr="00D352EE" w:rsidRDefault="006A34DA" w:rsidP="00D352EE">
      <w:pPr>
        <w:pStyle w:val="Normlnweb"/>
        <w:spacing w:before="0" w:after="0" w:line="360" w:lineRule="auto"/>
        <w:ind w:firstLine="709"/>
        <w:jc w:val="both"/>
        <w:rPr>
          <w:b/>
          <w:bCs/>
          <w:sz w:val="28"/>
          <w:szCs w:val="28"/>
          <w:lang w:val="en-GB"/>
        </w:rPr>
      </w:pPr>
      <w:r w:rsidRPr="00D352EE">
        <w:rPr>
          <w:b/>
          <w:bCs/>
          <w:sz w:val="28"/>
          <w:szCs w:val="28"/>
          <w:lang w:val="en-GB"/>
        </w:rPr>
        <w:t>Acknowledgments: Supported by the project MSM0021620819 and by the grant GAAV 100110502.</w:t>
      </w:r>
      <w:bookmarkStart w:id="0" w:name="_GoBack"/>
      <w:bookmarkEnd w:id="0"/>
    </w:p>
    <w:sectPr w:rsidR="006A34DA" w:rsidRPr="00D352EE" w:rsidSect="00D352EE">
      <w:footerReference w:type="default" r:id="rId7"/>
      <w:pgSz w:w="11906" w:h="16838"/>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3F6" w:rsidRDefault="007443F6">
      <w:r>
        <w:separator/>
      </w:r>
    </w:p>
  </w:endnote>
  <w:endnote w:type="continuationSeparator" w:id="0">
    <w:p w:rsidR="007443F6" w:rsidRDefault="0074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2EE" w:rsidRDefault="00D35891" w:rsidP="007C5398">
    <w:pPr>
      <w:pStyle w:val="a8"/>
      <w:framePr w:wrap="auto" w:vAnchor="text" w:hAnchor="margin" w:xAlign="right" w:y="1"/>
      <w:rPr>
        <w:rStyle w:val="aa"/>
      </w:rPr>
    </w:pPr>
    <w:r>
      <w:rPr>
        <w:rStyle w:val="aa"/>
        <w:noProof/>
      </w:rPr>
      <w:t>2</w:t>
    </w:r>
  </w:p>
  <w:p w:rsidR="00D352EE" w:rsidRDefault="00D352EE" w:rsidP="00D352E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3F6" w:rsidRDefault="007443F6">
      <w:r>
        <w:separator/>
      </w:r>
    </w:p>
  </w:footnote>
  <w:footnote w:type="continuationSeparator" w:id="0">
    <w:p w:rsidR="007443F6" w:rsidRDefault="007443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pStyle w:val="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4DA"/>
    <w:rsid w:val="000D7F5B"/>
    <w:rsid w:val="006A34DA"/>
    <w:rsid w:val="007443F6"/>
    <w:rsid w:val="007521C1"/>
    <w:rsid w:val="0075447E"/>
    <w:rsid w:val="007C5398"/>
    <w:rsid w:val="00D352EE"/>
    <w:rsid w:val="00D35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27B76F-CB7C-4E8D-8329-A6E5B4F7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overflowPunct w:val="0"/>
      <w:autoSpaceDE w:val="0"/>
      <w:textAlignment w:val="baseline"/>
    </w:pPr>
    <w:rPr>
      <w:sz w:val="24"/>
      <w:szCs w:val="24"/>
      <w:lang w:val="cs-CZ" w:eastAsia="ar-SA"/>
    </w:rPr>
  </w:style>
  <w:style w:type="paragraph" w:styleId="3">
    <w:name w:val="heading 3"/>
    <w:basedOn w:val="Nadpis"/>
    <w:next w:val="a0"/>
    <w:link w:val="30"/>
    <w:uiPriority w:val="99"/>
    <w:qFormat/>
    <w:pPr>
      <w:numPr>
        <w:ilvl w:val="2"/>
        <w:numId w:val="1"/>
      </w:numPr>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lang w:val="cs-CZ" w:eastAsia="ar-SA"/>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Standardnpsmoodstavce">
    <w:name w:val="Standardní písmo odstavce"/>
    <w:uiPriority w:val="99"/>
  </w:style>
  <w:style w:type="character" w:styleId="a4">
    <w:name w:val="Hyperlink"/>
    <w:uiPriority w:val="99"/>
    <w:rPr>
      <w:color w:val="000080"/>
      <w:u w:val="single"/>
    </w:rPr>
  </w:style>
  <w:style w:type="character" w:customStyle="1" w:styleId="Odrky">
    <w:name w:val="Odrážky"/>
    <w:uiPriority w:val="99"/>
    <w:rPr>
      <w:rFonts w:ascii="StarSymbol" w:eastAsia="StarSymbol" w:hAnsi="StarSymbol" w:cs="StarSymbol"/>
      <w:sz w:val="18"/>
      <w:szCs w:val="18"/>
    </w:rPr>
  </w:style>
  <w:style w:type="character" w:customStyle="1" w:styleId="Symbolyproslovn">
    <w:name w:val="Symboly pro číslování"/>
    <w:uiPriority w:val="99"/>
  </w:style>
  <w:style w:type="paragraph" w:customStyle="1" w:styleId="Heading">
    <w:name w:val="Heading"/>
    <w:basedOn w:val="a"/>
    <w:next w:val="a0"/>
    <w:uiPriority w:val="99"/>
    <w:pPr>
      <w:keepNext/>
      <w:spacing w:before="240" w:after="120"/>
    </w:pPr>
    <w:rPr>
      <w:rFonts w:ascii="Arial" w:eastAsia="SimSun" w:hAnsi="Arial" w:cs="Arial"/>
      <w:sz w:val="28"/>
      <w:szCs w:val="28"/>
    </w:rPr>
  </w:style>
  <w:style w:type="paragraph" w:styleId="a0">
    <w:name w:val="Body Text"/>
    <w:basedOn w:val="a"/>
    <w:link w:val="a5"/>
    <w:uiPriority w:val="99"/>
    <w:pPr>
      <w:spacing w:after="120"/>
    </w:pPr>
  </w:style>
  <w:style w:type="character" w:customStyle="1" w:styleId="a5">
    <w:name w:val="Основной текст Знак"/>
    <w:link w:val="a0"/>
    <w:uiPriority w:val="99"/>
    <w:semiHidden/>
    <w:rPr>
      <w:sz w:val="24"/>
      <w:szCs w:val="24"/>
      <w:lang w:val="cs-CZ" w:eastAsia="ar-SA"/>
    </w:rPr>
  </w:style>
  <w:style w:type="paragraph" w:styleId="a6">
    <w:name w:val="List"/>
    <w:basedOn w:val="a0"/>
    <w:uiPriority w:val="99"/>
  </w:style>
  <w:style w:type="paragraph" w:styleId="a7">
    <w:name w:val="caption"/>
    <w:basedOn w:val="a"/>
    <w:uiPriority w:val="99"/>
    <w:qFormat/>
    <w:pPr>
      <w:suppressLineNumbers/>
      <w:spacing w:before="120" w:after="120"/>
    </w:pPr>
    <w:rPr>
      <w:i/>
      <w:iCs/>
    </w:rPr>
  </w:style>
  <w:style w:type="paragraph" w:customStyle="1" w:styleId="Index">
    <w:name w:val="Index"/>
    <w:basedOn w:val="a"/>
    <w:uiPriority w:val="99"/>
    <w:pPr>
      <w:suppressLineNumbers/>
    </w:pPr>
  </w:style>
  <w:style w:type="paragraph" w:customStyle="1" w:styleId="Nadpis">
    <w:name w:val="Nadpis"/>
    <w:basedOn w:val="a"/>
    <w:next w:val="a0"/>
    <w:uiPriority w:val="99"/>
    <w:pPr>
      <w:keepNext/>
      <w:spacing w:before="240" w:after="120"/>
    </w:pPr>
    <w:rPr>
      <w:rFonts w:ascii="Arial" w:hAnsi="Arial" w:cs="Arial"/>
      <w:sz w:val="28"/>
      <w:szCs w:val="28"/>
    </w:rPr>
  </w:style>
  <w:style w:type="paragraph" w:customStyle="1" w:styleId="Popisek">
    <w:name w:val="Popisek"/>
    <w:basedOn w:val="a"/>
    <w:uiPriority w:val="99"/>
    <w:pPr>
      <w:suppressLineNumbers/>
      <w:spacing w:before="120" w:after="120"/>
    </w:pPr>
    <w:rPr>
      <w:i/>
      <w:iCs/>
    </w:rPr>
  </w:style>
  <w:style w:type="paragraph" w:customStyle="1" w:styleId="Rejstk">
    <w:name w:val="Rejstřík"/>
    <w:basedOn w:val="a"/>
    <w:uiPriority w:val="99"/>
    <w:pPr>
      <w:suppressLineNumbers/>
    </w:pPr>
  </w:style>
  <w:style w:type="paragraph" w:customStyle="1" w:styleId="Normlnweb">
    <w:name w:val="Normální (web)"/>
    <w:basedOn w:val="a"/>
    <w:uiPriority w:val="99"/>
    <w:pPr>
      <w:overflowPunct/>
      <w:spacing w:before="100" w:after="100"/>
      <w:textAlignment w:val="auto"/>
    </w:pPr>
    <w:rPr>
      <w:lang w:val="en-US"/>
    </w:rPr>
  </w:style>
  <w:style w:type="paragraph" w:customStyle="1" w:styleId="Obsahtabulky">
    <w:name w:val="Obsah tabulky"/>
    <w:basedOn w:val="a"/>
    <w:uiPriority w:val="99"/>
    <w:pPr>
      <w:suppressLineNumbers/>
    </w:pPr>
  </w:style>
  <w:style w:type="paragraph" w:customStyle="1" w:styleId="Nadpistabulky">
    <w:name w:val="Nadpis tabulky"/>
    <w:basedOn w:val="Obsahtabulky"/>
    <w:uiPriority w:val="99"/>
    <w:pPr>
      <w:jc w:val="center"/>
    </w:pPr>
    <w:rPr>
      <w:b/>
      <w:bCs/>
    </w:rPr>
  </w:style>
  <w:style w:type="paragraph" w:customStyle="1" w:styleId="TableContents">
    <w:name w:val="Table Contents"/>
    <w:basedOn w:val="a"/>
    <w:uiPriority w:val="99"/>
    <w:pPr>
      <w:suppressLineNumbers/>
    </w:pPr>
  </w:style>
  <w:style w:type="paragraph" w:customStyle="1" w:styleId="TableHeading">
    <w:name w:val="Table Heading"/>
    <w:basedOn w:val="TableContents"/>
    <w:uiPriority w:val="99"/>
    <w:pPr>
      <w:jc w:val="center"/>
    </w:pPr>
    <w:rPr>
      <w:b/>
      <w:bCs/>
    </w:rPr>
  </w:style>
  <w:style w:type="paragraph" w:styleId="a8">
    <w:name w:val="footer"/>
    <w:basedOn w:val="a"/>
    <w:link w:val="a9"/>
    <w:uiPriority w:val="99"/>
    <w:rsid w:val="00D352EE"/>
    <w:pPr>
      <w:tabs>
        <w:tab w:val="center" w:pos="4677"/>
        <w:tab w:val="right" w:pos="9355"/>
      </w:tabs>
    </w:pPr>
  </w:style>
  <w:style w:type="character" w:customStyle="1" w:styleId="a9">
    <w:name w:val="Нижний колонтитул Знак"/>
    <w:link w:val="a8"/>
    <w:uiPriority w:val="99"/>
    <w:semiHidden/>
    <w:rPr>
      <w:sz w:val="24"/>
      <w:szCs w:val="24"/>
      <w:lang w:val="cs-CZ" w:eastAsia="ar-SA"/>
    </w:rPr>
  </w:style>
  <w:style w:type="character" w:styleId="aa">
    <w:name w:val="page number"/>
    <w:uiPriority w:val="99"/>
    <w:rsid w:val="00D35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1079</Words>
  <Characters>6151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svoc</vt:lpstr>
    </vt:vector>
  </TitlesOfParts>
  <Company>Microsoft</Company>
  <LinksUpToDate>false</LinksUpToDate>
  <CharactersWithSpaces>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svoc</dc:title>
  <dc:subject/>
  <dc:creator>histologie</dc:creator>
  <cp:keywords/>
  <dc:description/>
  <cp:lastModifiedBy>admin</cp:lastModifiedBy>
  <cp:revision>2</cp:revision>
  <cp:lastPrinted>2007-04-22T10:52:00Z</cp:lastPrinted>
  <dcterms:created xsi:type="dcterms:W3CDTF">2014-03-13T04:47:00Z</dcterms:created>
  <dcterms:modified xsi:type="dcterms:W3CDTF">2014-03-13T04:47:00Z</dcterms:modified>
</cp:coreProperties>
</file>