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EC" w:rsidRDefault="00C84AFE">
      <w:pPr>
        <w:pStyle w:val="a3"/>
      </w:pPr>
      <w:r>
        <w:t>План</w:t>
      </w:r>
    </w:p>
    <w:p w:rsidR="009901EC" w:rsidRDefault="00C84AFE">
      <w:pPr>
        <w:pStyle w:val="11"/>
      </w:pPr>
      <w:r>
        <w:fldChar w:fldCharType="begin"/>
      </w:r>
      <w:r>
        <w:instrText xml:space="preserve"> TOC \o "1-3" 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_Toc465100897 \h </w:instrText>
      </w:r>
      <w:r>
        <w:fldChar w:fldCharType="separate"/>
      </w:r>
      <w:r>
        <w:t>3</w:t>
      </w:r>
      <w:r>
        <w:fldChar w:fldCharType="end"/>
      </w:r>
    </w:p>
    <w:p w:rsidR="009901EC" w:rsidRDefault="00C84AFE">
      <w:pPr>
        <w:pStyle w:val="11"/>
      </w:pPr>
      <w:r>
        <w:t>1. ПРОИЗВОДСТВО АБРАЗИВОВ</w:t>
      </w:r>
      <w:r>
        <w:tab/>
      </w:r>
      <w:r>
        <w:fldChar w:fldCharType="begin"/>
      </w:r>
      <w:r>
        <w:instrText xml:space="preserve"> PAGEREF _Toc465100898 \h </w:instrText>
      </w:r>
      <w:r>
        <w:fldChar w:fldCharType="separate"/>
      </w:r>
      <w:r>
        <w:t>3</w:t>
      </w:r>
      <w:r>
        <w:fldChar w:fldCharType="end"/>
      </w:r>
    </w:p>
    <w:p w:rsidR="009901EC" w:rsidRDefault="00C84AFE">
      <w:pPr>
        <w:pStyle w:val="20"/>
      </w:pPr>
      <w:r>
        <w:t>1.1 Физические свойства компонентов, применяемых для приготовления абразивных масс</w:t>
      </w:r>
      <w:r>
        <w:tab/>
      </w:r>
      <w:r>
        <w:fldChar w:fldCharType="begin"/>
      </w:r>
      <w:r>
        <w:instrText xml:space="preserve"> PAGEREF _Toc465100899 \h </w:instrText>
      </w:r>
      <w:r>
        <w:fldChar w:fldCharType="separate"/>
      </w:r>
      <w:r>
        <w:t>3</w:t>
      </w:r>
      <w:r>
        <w:fldChar w:fldCharType="end"/>
      </w:r>
    </w:p>
    <w:p w:rsidR="009901EC" w:rsidRDefault="00C84AFE">
      <w:pPr>
        <w:pStyle w:val="20"/>
      </w:pPr>
      <w:r>
        <w:t>1.2 Дозаторы для абразивного зерна</w:t>
      </w:r>
      <w:r>
        <w:tab/>
      </w:r>
      <w:r>
        <w:fldChar w:fldCharType="begin"/>
      </w:r>
      <w:r>
        <w:instrText xml:space="preserve"> PAGEREF _Toc465100900 \h </w:instrText>
      </w:r>
      <w:r>
        <w:fldChar w:fldCharType="separate"/>
      </w:r>
      <w:r>
        <w:t>5</w:t>
      </w:r>
      <w:r>
        <w:fldChar w:fldCharType="end"/>
      </w:r>
    </w:p>
    <w:p w:rsidR="009901EC" w:rsidRDefault="00C84AFE">
      <w:pPr>
        <w:pStyle w:val="20"/>
      </w:pPr>
      <w:r>
        <w:t>1.3 Оборудование для формования абразивных инструментов</w:t>
      </w:r>
      <w:r>
        <w:tab/>
      </w:r>
      <w:r>
        <w:fldChar w:fldCharType="begin"/>
      </w:r>
      <w:r>
        <w:instrText xml:space="preserve"> PAGEREF _Toc465100901 \h </w:instrText>
      </w:r>
      <w:r>
        <w:fldChar w:fldCharType="separate"/>
      </w:r>
      <w:r>
        <w:t>5</w:t>
      </w:r>
      <w:r>
        <w:fldChar w:fldCharType="end"/>
      </w:r>
    </w:p>
    <w:p w:rsidR="009901EC" w:rsidRDefault="00C84AFE">
      <w:pPr>
        <w:pStyle w:val="20"/>
      </w:pPr>
      <w:r>
        <w:t>1.4 Дозирование абразивной массы</w:t>
      </w:r>
      <w:r>
        <w:tab/>
      </w:r>
      <w:r>
        <w:fldChar w:fldCharType="begin"/>
      </w:r>
      <w:r>
        <w:instrText xml:space="preserve"> PAGEREF _Toc465100902 \h </w:instrText>
      </w:r>
      <w:r>
        <w:fldChar w:fldCharType="separate"/>
      </w:r>
      <w:r>
        <w:t>5</w:t>
      </w:r>
      <w:r>
        <w:fldChar w:fldCharType="end"/>
      </w:r>
    </w:p>
    <w:p w:rsidR="009901EC" w:rsidRDefault="00C84AFE">
      <w:pPr>
        <w:pStyle w:val="20"/>
      </w:pPr>
      <w:r>
        <w:t>1.5 Прессование абразивных инструментов</w:t>
      </w:r>
      <w:r>
        <w:tab/>
      </w:r>
      <w:bookmarkStart w:id="0" w:name="_Hlt465134384"/>
      <w:r>
        <w:fldChar w:fldCharType="begin"/>
      </w:r>
      <w:r>
        <w:instrText xml:space="preserve"> PAGEREF _Toc465100903 \h </w:instrText>
      </w:r>
      <w:r>
        <w:fldChar w:fldCharType="separate"/>
      </w:r>
      <w:r>
        <w:t>9</w:t>
      </w:r>
      <w:r>
        <w:fldChar w:fldCharType="end"/>
      </w:r>
      <w:bookmarkEnd w:id="0"/>
    </w:p>
    <w:p w:rsidR="009901EC" w:rsidRDefault="00C84AFE">
      <w:pPr>
        <w:pStyle w:val="20"/>
      </w:pPr>
      <w:r>
        <w:t>1.6 Оборудование для изготовления инструментов на вулканитовой связке</w:t>
      </w:r>
      <w:r>
        <w:tab/>
      </w:r>
      <w:r>
        <w:fldChar w:fldCharType="begin"/>
      </w:r>
      <w:r>
        <w:instrText xml:space="preserve"> PAGEREF _Toc465100904 \h </w:instrText>
      </w:r>
      <w:r>
        <w:fldChar w:fldCharType="separate"/>
      </w:r>
      <w:r>
        <w:t>9</w:t>
      </w:r>
      <w:r>
        <w:fldChar w:fldCharType="end"/>
      </w:r>
    </w:p>
    <w:p w:rsidR="009901EC" w:rsidRDefault="00C84AFE">
      <w:pPr>
        <w:pStyle w:val="20"/>
      </w:pPr>
      <w:r>
        <w:t>1.7 Оборудование для механической обработки шлифовальных кругов</w:t>
      </w:r>
      <w:r>
        <w:tab/>
      </w:r>
      <w:r>
        <w:fldChar w:fldCharType="begin"/>
      </w:r>
      <w:r>
        <w:instrText xml:space="preserve"> PAGEREF _Toc465100905 \h </w:instrText>
      </w:r>
      <w:r>
        <w:fldChar w:fldCharType="separate"/>
      </w:r>
      <w:r>
        <w:t>10</w:t>
      </w:r>
      <w:r>
        <w:fldChar w:fldCharType="end"/>
      </w:r>
    </w:p>
    <w:p w:rsidR="009901EC" w:rsidRDefault="00C84AFE">
      <w:pPr>
        <w:pStyle w:val="11"/>
      </w:pPr>
      <w:r>
        <w:t>2. ПРОМЫШЛЕННОЕ ПРОИЗВОДСТВО И КАЧЕСТВО ОКРУЖАЮЩЕЙ СРЕДЫ</w:t>
      </w:r>
      <w:r>
        <w:tab/>
      </w:r>
      <w:r>
        <w:fldChar w:fldCharType="begin"/>
      </w:r>
      <w:r>
        <w:instrText xml:space="preserve"> PAGEREF _Toc465100906 \h </w:instrText>
      </w:r>
      <w:r>
        <w:fldChar w:fldCharType="separate"/>
      </w:r>
      <w:r>
        <w:t>12</w:t>
      </w:r>
      <w:r>
        <w:fldChar w:fldCharType="end"/>
      </w:r>
    </w:p>
    <w:p w:rsidR="009901EC" w:rsidRDefault="00C84AFE">
      <w:pPr>
        <w:pStyle w:val="20"/>
      </w:pPr>
      <w:r>
        <w:t>2.1. Общие тенденции развития производства</w:t>
      </w:r>
      <w:r>
        <w:tab/>
      </w:r>
      <w:r>
        <w:fldChar w:fldCharType="begin"/>
      </w:r>
      <w:r>
        <w:instrText xml:space="preserve"> PAGEREF _Toc465100907 \h </w:instrText>
      </w:r>
      <w:r>
        <w:fldChar w:fldCharType="separate"/>
      </w:r>
      <w:r>
        <w:t>13</w:t>
      </w:r>
      <w:r>
        <w:fldChar w:fldCharType="end"/>
      </w:r>
    </w:p>
    <w:p w:rsidR="009901EC" w:rsidRDefault="00C84AFE">
      <w:pPr>
        <w:pStyle w:val="11"/>
      </w:pPr>
      <w:r>
        <w:t>ЛИТЕРАТУРА.</w:t>
      </w:r>
      <w:r>
        <w:tab/>
      </w:r>
      <w:r>
        <w:fldChar w:fldCharType="begin"/>
      </w:r>
      <w:r>
        <w:instrText xml:space="preserve"> PAGEREF _Toc465100908 \h </w:instrText>
      </w:r>
      <w:r>
        <w:fldChar w:fldCharType="separate"/>
      </w:r>
      <w:r>
        <w:t>18</w:t>
      </w:r>
      <w:r>
        <w:fldChar w:fldCharType="end"/>
      </w:r>
    </w:p>
    <w:p w:rsidR="009901EC" w:rsidRDefault="00C84AFE">
      <w:pPr>
        <w:pStyle w:val="a3"/>
      </w:pPr>
      <w:r>
        <w:fldChar w:fldCharType="end"/>
      </w:r>
    </w:p>
    <w:p w:rsidR="009901EC" w:rsidRDefault="009901EC">
      <w:pPr>
        <w:pStyle w:val="1"/>
      </w:pPr>
    </w:p>
    <w:p w:rsidR="009901EC" w:rsidRDefault="00C84AFE">
      <w:pPr>
        <w:pStyle w:val="1"/>
      </w:pPr>
      <w:r>
        <w:br w:type="page"/>
      </w:r>
      <w:bookmarkStart w:id="1" w:name="_Toc465100897"/>
      <w:r>
        <w:lastRenderedPageBreak/>
        <w:t>Введение</w:t>
      </w:r>
      <w:bookmarkEnd w:id="1"/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настоящее</w:t>
      </w:r>
      <w:r>
        <w:rPr>
          <w:rFonts w:ascii="Courier New" w:hAnsi="Courier New"/>
          <w:sz w:val="28"/>
        </w:rPr>
        <w:tab/>
        <w:t>время абразивный инструмент применяется в любой области машиностроения.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 появлением точного литья, снижением припусков на обра</w:t>
      </w:r>
      <w:r>
        <w:rPr>
          <w:rFonts w:ascii="Courier New" w:hAnsi="Courier New"/>
          <w:sz w:val="28"/>
        </w:rPr>
        <w:softHyphen/>
        <w:t>ботку, в общем объеме механических операции непрерывно растет удельный вес абразивной обработки. Она применяется как на об</w:t>
      </w:r>
      <w:r>
        <w:rPr>
          <w:rFonts w:ascii="Courier New" w:hAnsi="Courier New"/>
          <w:sz w:val="28"/>
        </w:rPr>
        <w:softHyphen/>
        <w:t>дирочных операциях (для обработки литья), так и для получения высоких классов чистоты поверхности.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Возросшая потребность в абразивных инструментах повлекла за собой значительное расширение абразивной промышленности, строительство новых и реконструкцию действующих абразивных заводов, которые оснащались главным образом за счет использо</w:t>
      </w:r>
      <w:r>
        <w:rPr>
          <w:rFonts w:ascii="Courier New" w:hAnsi="Courier New"/>
          <w:sz w:val="28"/>
        </w:rPr>
        <w:softHyphen/>
        <w:t>вания оборудования, применяемого в родственных отраслях про</w:t>
      </w:r>
      <w:r>
        <w:rPr>
          <w:rFonts w:ascii="Courier New" w:hAnsi="Courier New"/>
          <w:sz w:val="28"/>
        </w:rPr>
        <w:softHyphen/>
        <w:t>мышленности.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Поворотным пунктом в создании специализированного обору</w:t>
      </w:r>
      <w:r>
        <w:rPr>
          <w:rFonts w:ascii="Courier New" w:hAnsi="Courier New"/>
          <w:sz w:val="28"/>
        </w:rPr>
        <w:softHyphen/>
        <w:t>дования для абразивной промышленности явились постановления правительства в 1960 и 1961 гг., в результате которых на абра</w:t>
      </w:r>
      <w:r>
        <w:rPr>
          <w:rFonts w:ascii="Courier New" w:hAnsi="Courier New"/>
          <w:sz w:val="28"/>
        </w:rPr>
        <w:softHyphen/>
        <w:t>зивные заводы начало поступать новое высокопроизводительное оборудование.</w:t>
      </w:r>
    </w:p>
    <w:p w:rsidR="009901EC" w:rsidRDefault="009901EC">
      <w:pPr>
        <w:pStyle w:val="10"/>
        <w:spacing w:line="360" w:lineRule="auto"/>
        <w:ind w:firstLine="720"/>
        <w:rPr>
          <w:rFonts w:ascii="Courier New" w:hAnsi="Courier New"/>
          <w:sz w:val="28"/>
          <w:lang w:val="en-US"/>
        </w:rPr>
      </w:pPr>
    </w:p>
    <w:p w:rsidR="009901EC" w:rsidRDefault="00C84AFE">
      <w:pPr>
        <w:pStyle w:val="1"/>
      </w:pPr>
      <w:bookmarkStart w:id="2" w:name="_Hlt464799028"/>
      <w:bookmarkStart w:id="3" w:name="_Toc465100898"/>
      <w:bookmarkEnd w:id="2"/>
      <w:r>
        <w:t>1. ПРОИЗВОДСТВО АБРАЗИВОВ</w:t>
      </w:r>
      <w:bookmarkEnd w:id="3"/>
    </w:p>
    <w:p w:rsidR="009901EC" w:rsidRDefault="00C84AFE">
      <w:pPr>
        <w:pStyle w:val="2"/>
      </w:pPr>
      <w:bookmarkStart w:id="4" w:name="_Toc465100899"/>
      <w:r>
        <w:t>1.1 Физические свойства компонентов, применяемых для приготовления абразивных масс</w:t>
      </w:r>
      <w:bookmarkEnd w:id="4"/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общем объеме производства абразивные инструменты на керамической и бакелитовой связках составляют преобладающую часть. Остановимся поэтому на характеристике компонентов, из которых приготовляются абразивные массы на керамической и бакелитовой связках.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 своим физическим свойствам эти компоненты могут быть разделены на три группы.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1. Сыпучие материалы.</w:t>
      </w:r>
      <w:r>
        <w:rPr>
          <w:rFonts w:ascii="Courier New" w:hAnsi="Courier New"/>
          <w:sz w:val="28"/>
        </w:rPr>
        <w:t xml:space="preserve"> К ним относятся абразивное зерно из электрокорунда нормального и белого, карбида кремния чер</w:t>
      </w:r>
      <w:r>
        <w:rPr>
          <w:rFonts w:ascii="Courier New" w:hAnsi="Courier New"/>
          <w:sz w:val="28"/>
        </w:rPr>
        <w:softHyphen/>
        <w:t xml:space="preserve">ного и зеленого и монокорунда 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Мелкозернистые абразивные материалы, к которым относятся шлифпорошки зернистостью от № 12 до № 3, обладают меньшей сыпучестью. Насыпной вес этих материалов ниже насыпного веса соответствующих крупнозернистых материалов,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Еще меньшей сыпучестью обладают микропорошки зерни</w:t>
      </w:r>
      <w:r>
        <w:rPr>
          <w:rFonts w:ascii="Courier New" w:hAnsi="Courier New"/>
          <w:sz w:val="28"/>
        </w:rPr>
        <w:softHyphen/>
        <w:t>стостью от М40 до М5.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2. Трудносыпучие материалы.</w:t>
      </w:r>
      <w:r>
        <w:rPr>
          <w:rFonts w:ascii="Courier New" w:hAnsi="Courier New"/>
          <w:sz w:val="28"/>
        </w:rPr>
        <w:t xml:space="preserve"> К ним относятся материалы легко слеживающиеся, зависающие в бункерах и транспортных емкостях, нуждающиеся для своего перемещения в принудитель</w:t>
      </w:r>
      <w:r>
        <w:rPr>
          <w:rFonts w:ascii="Courier New" w:hAnsi="Courier New"/>
          <w:sz w:val="28"/>
        </w:rPr>
        <w:softHyphen/>
        <w:t>ном органе. Это керамические связки,  декстрин, пуль-вербакелит</w:t>
      </w:r>
      <w:r>
        <w:rPr>
          <w:rFonts w:ascii="Courier New" w:hAnsi="Courier New"/>
          <w:i/>
          <w:sz w:val="28"/>
        </w:rPr>
        <w:t>,</w:t>
      </w:r>
      <w:r>
        <w:rPr>
          <w:rFonts w:ascii="Courier New" w:hAnsi="Courier New"/>
          <w:sz w:val="28"/>
        </w:rPr>
        <w:t xml:space="preserve"> алебастр (исполь</w:t>
      </w:r>
      <w:r>
        <w:rPr>
          <w:rFonts w:ascii="Courier New" w:hAnsi="Courier New"/>
          <w:sz w:val="28"/>
        </w:rPr>
        <w:softHyphen/>
        <w:t>зуемый в производстве бакелитовых инструментов в качестве наполнителя)</w:t>
      </w:r>
      <w:r>
        <w:rPr>
          <w:rFonts w:ascii="Courier New" w:hAnsi="Courier New"/>
          <w:i/>
          <w:sz w:val="28"/>
        </w:rPr>
        <w:t>,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3. Жидкие материалы.</w:t>
      </w:r>
      <w:r>
        <w:rPr>
          <w:rFonts w:ascii="Courier New" w:hAnsi="Courier New"/>
          <w:sz w:val="28"/>
        </w:rPr>
        <w:t xml:space="preserve"> Они применяются в качестве увлаж</w:t>
      </w:r>
      <w:r>
        <w:rPr>
          <w:rFonts w:ascii="Courier New" w:hAnsi="Courier New"/>
          <w:sz w:val="28"/>
        </w:rPr>
        <w:softHyphen/>
        <w:t>нителей для приготовления абразивных масс. К ним относятся жидкое стекло и жидкий баке</w:t>
      </w:r>
      <w:r>
        <w:rPr>
          <w:rFonts w:ascii="Courier New" w:hAnsi="Courier New"/>
          <w:sz w:val="28"/>
        </w:rPr>
        <w:softHyphen/>
        <w:t>лит. Для приготовления абразивных масс на пульвербакелитовой связке применяется низковязкий жидкий бакелит</w:t>
      </w:r>
      <w:r>
        <w:rPr>
          <w:rFonts w:ascii="Courier New" w:hAnsi="Courier New"/>
          <w:i/>
          <w:sz w:val="28"/>
        </w:rPr>
        <w:t>.</w:t>
      </w:r>
      <w:r>
        <w:rPr>
          <w:rFonts w:ascii="Courier New" w:hAnsi="Courier New"/>
          <w:sz w:val="28"/>
        </w:rPr>
        <w:t xml:space="preserve"> Для приготовления абразивных масс на жидком бакелите применяют густовязкий бакелит вязкостью до 100.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зависимости от свойств этих материалов делится и аппаратура для их порционной дозировки.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Сыпучие абразивные материалы дозируются как по весу (шлифзерно, шлифпорошки и микропорошки) на весах различной конструкции, так и по объему (шлифзерно от № 200 до № 16) в объемных дозаторах.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Мелкосыпучие или мелкозернистые абразивные материалы дозируются по весу на автоматических весах.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Жидкие материалы в зависимости от вязкости дозируются специальными установками.</w:t>
      </w:r>
    </w:p>
    <w:p w:rsidR="009901EC" w:rsidRDefault="00C84AFE">
      <w:pPr>
        <w:pStyle w:val="2"/>
      </w:pPr>
      <w:bookmarkStart w:id="5" w:name="_Toc465100900"/>
      <w:r>
        <w:t>1.2 Дозаторы для абразивного зерна</w:t>
      </w:r>
      <w:bookmarkEnd w:id="5"/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Крупнозернистые абразивные материалы в зависимости от природы материала и номера зерна обладают сравнительно по</w:t>
      </w:r>
      <w:r>
        <w:rPr>
          <w:rFonts w:ascii="Courier New" w:hAnsi="Courier New"/>
          <w:sz w:val="28"/>
        </w:rPr>
        <w:softHyphen/>
        <w:t>стоянным объемным весом. Это позволило осуществить дозировку абразивного зерна в объемных дозаторах как постоянного, так и регулируемого объема.</w:t>
      </w:r>
    </w:p>
    <w:p w:rsidR="009901EC" w:rsidRDefault="00C84AFE">
      <w:pPr>
        <w:pStyle w:val="2"/>
      </w:pPr>
      <w:bookmarkStart w:id="6" w:name="_Hlt464799057"/>
      <w:bookmarkStart w:id="7" w:name="_Toc465100901"/>
      <w:bookmarkEnd w:id="6"/>
      <w:r>
        <w:t>1.3 Оборудование для формования абразивных инструментов</w:t>
      </w:r>
      <w:bookmarkEnd w:id="7"/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Абразивные изделия заданной геометрической формы и объем</w:t>
      </w:r>
      <w:r>
        <w:rPr>
          <w:rFonts w:ascii="Courier New" w:hAnsi="Courier New"/>
          <w:sz w:val="28"/>
        </w:rPr>
        <w:softHyphen/>
        <w:t>ного веса изготовляются формованием. В большинстве случаев это достигается за счет прессования абразивных изделий в спе</w:t>
      </w:r>
      <w:r>
        <w:rPr>
          <w:rFonts w:ascii="Courier New" w:hAnsi="Courier New"/>
          <w:sz w:val="28"/>
        </w:rPr>
        <w:softHyphen/>
        <w:t>циальных пресс-формах на прессах различной конструкции. Про</w:t>
      </w:r>
      <w:r>
        <w:rPr>
          <w:rFonts w:ascii="Courier New" w:hAnsi="Courier New"/>
          <w:sz w:val="28"/>
        </w:rPr>
        <w:softHyphen/>
        <w:t>цесс формования состоит из ряда технологических операций, выполняемых последовательно или параллельно при помощи спе</w:t>
      </w:r>
      <w:r>
        <w:rPr>
          <w:rFonts w:ascii="Courier New" w:hAnsi="Courier New"/>
          <w:sz w:val="28"/>
        </w:rPr>
        <w:softHyphen/>
        <w:t>циальных механизмов и устройств. Главнейшие из этих операций следующие: дозировка абразивной массы, укладка ее в пресс-форму, прессование, выталкивание изделия и укладка его на су</w:t>
      </w:r>
      <w:r>
        <w:rPr>
          <w:rFonts w:ascii="Courier New" w:hAnsi="Courier New"/>
          <w:sz w:val="28"/>
        </w:rPr>
        <w:softHyphen/>
        <w:t>шильную плиту, очистка и смазка пресс-формы, а также транс</w:t>
      </w:r>
      <w:r>
        <w:rPr>
          <w:rFonts w:ascii="Courier New" w:hAnsi="Courier New"/>
          <w:sz w:val="28"/>
        </w:rPr>
        <w:softHyphen/>
        <w:t>портные операции. Все эти операции выполняются специальными механизмами.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Различная компоновка технологических и транспортных ме</w:t>
      </w:r>
      <w:r>
        <w:rPr>
          <w:rFonts w:ascii="Courier New" w:hAnsi="Courier New"/>
          <w:sz w:val="28"/>
        </w:rPr>
        <w:softHyphen/>
        <w:t>ханизмов дает различный технический и экономический эф</w:t>
      </w:r>
      <w:r>
        <w:rPr>
          <w:rFonts w:ascii="Courier New" w:hAnsi="Courier New"/>
          <w:sz w:val="28"/>
        </w:rPr>
        <w:softHyphen/>
        <w:t>фект.</w:t>
      </w:r>
    </w:p>
    <w:p w:rsidR="009901EC" w:rsidRDefault="00C84AFE">
      <w:pPr>
        <w:pStyle w:val="2"/>
      </w:pPr>
      <w:bookmarkStart w:id="8" w:name="_Toc465100902"/>
      <w:r>
        <w:t>1.4 Дозирование абразивной массы</w:t>
      </w:r>
      <w:bookmarkEnd w:id="8"/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Дозирование абразивной массы применяется как весовое, так и объемное.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Весовое дозирование получило широкое распространение для изготовления крупногабаритных кругов. В качестве весовых меха</w:t>
      </w:r>
      <w:r>
        <w:rPr>
          <w:rFonts w:ascii="Courier New" w:hAnsi="Courier New"/>
          <w:sz w:val="28"/>
        </w:rPr>
        <w:softHyphen/>
        <w:t>низмов используются весы различной конструкции от обычных весов торгового типа для формования мелких партий кругов до автоматических для формования крупных партий кругов. Допу</w:t>
      </w:r>
      <w:r>
        <w:rPr>
          <w:rFonts w:ascii="Courier New" w:hAnsi="Courier New"/>
          <w:sz w:val="28"/>
        </w:rPr>
        <w:softHyphen/>
        <w:t>стимая погрешность при пользовании весами не должна превы</w:t>
      </w:r>
      <w:r>
        <w:rPr>
          <w:rFonts w:ascii="Courier New" w:hAnsi="Courier New"/>
          <w:sz w:val="28"/>
        </w:rPr>
        <w:softHyphen/>
        <w:t xml:space="preserve">шать 1 %. 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Применение весового дозирования массы обязательно предпо</w:t>
      </w:r>
      <w:r>
        <w:rPr>
          <w:rFonts w:ascii="Courier New" w:hAnsi="Courier New"/>
          <w:sz w:val="28"/>
        </w:rPr>
        <w:softHyphen/>
        <w:t>лагает после себя укладку массы в пресс-форму, выполняемую при помощи специального механизма.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Наряду с весовой дозировкой широкое распространение полу</w:t>
      </w:r>
      <w:r>
        <w:rPr>
          <w:rFonts w:ascii="Courier New" w:hAnsi="Courier New"/>
          <w:sz w:val="28"/>
        </w:rPr>
        <w:softHyphen/>
        <w:t>чила объемная дозировка массы. Точность дозировки, получаемая в ряде случаев при объемной дозировке, не уступает весовой. Этот способ дозировки применен на ряде действующих агрегатов, в том числе при формовании сегментов (ФАС-1 и ФАС-2), при фор</w:t>
      </w:r>
      <w:r>
        <w:rPr>
          <w:rFonts w:ascii="Courier New" w:hAnsi="Courier New"/>
          <w:sz w:val="28"/>
        </w:rPr>
        <w:softHyphen/>
        <w:t xml:space="preserve">мовании кругов для внутреннего шлифования (ФА-50 и ФА-80), при формовании кругов 150—250 </w:t>
      </w:r>
      <w:r>
        <w:rPr>
          <w:rFonts w:ascii="Courier New" w:hAnsi="Courier New"/>
          <w:i/>
          <w:sz w:val="28"/>
        </w:rPr>
        <w:t>мм</w:t>
      </w:r>
      <w:r>
        <w:rPr>
          <w:rFonts w:ascii="Courier New" w:hAnsi="Courier New"/>
          <w:sz w:val="28"/>
        </w:rPr>
        <w:t xml:space="preserve"> (АФА-3 и АФА-4) и др. В этих агрегатах применен принцип свободного заполнения пресс-формы массой с помощью специальной кассеты или лопаток запод</w:t>
      </w:r>
      <w:r>
        <w:rPr>
          <w:rFonts w:ascii="Courier New" w:hAnsi="Courier New"/>
          <w:sz w:val="28"/>
        </w:rPr>
        <w:softHyphen/>
        <w:t>лицо с верхним краем пресс-формы,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Основное преимущество объемного способа дозирования массы заключается в том, что в нем дозирование массы совмещается с вводом ее в пресс-форму и отпадает надобность в специальном механизме по укладке массы.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Ряд приспособлений позволяют обеспечить достаточно равно</w:t>
      </w:r>
      <w:r>
        <w:rPr>
          <w:rFonts w:ascii="Courier New" w:hAnsi="Courier New"/>
          <w:sz w:val="28"/>
        </w:rPr>
        <w:softHyphen/>
        <w:t>мерную плотность массы в пресс-форме.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этом случае этот способ дозировки может заменить, весовую дозировку массы.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последнее время для дозировки массы при формовании кру</w:t>
      </w:r>
      <w:r>
        <w:rPr>
          <w:rFonts w:ascii="Courier New" w:hAnsi="Courier New"/>
          <w:sz w:val="28"/>
        </w:rPr>
        <w:softHyphen/>
        <w:t>гов различного профиля применен пневматический способ дозирования и укладки массы в пресс-формы. Применение пневматического способа заполнения пресс-форм позволяет механизировать трудоемкую операцию по формованию кругов фасонного профиля и при этом повысить качество этих из</w:t>
      </w:r>
      <w:r>
        <w:rPr>
          <w:rFonts w:ascii="Courier New" w:hAnsi="Courier New"/>
          <w:sz w:val="28"/>
        </w:rPr>
        <w:softHyphen/>
        <w:t>делий. Схема пневматической дозировки массы приводится на рис. 1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МАШИНЫ ДЛЯ УКЛАДКИ АБРАЗИВНОЙ МАССЫ В ПРЕСС-ФОРМЫ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Качество круга, равномерность твердости, его абразивная способность во многом зависят от правильной укладки массы в пресс-форме.</w:t>
      </w:r>
    </w:p>
    <w:p w:rsidR="009901EC" w:rsidRDefault="00B602A7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pict>
          <v:rect id="_x0000_s1026" style="position:absolute;left:0;text-align:left;margin-left:55.9pt;margin-top:535.25pt;width:57.6pt;height:21.6pt;z-index:251657728;mso-position-horizontal:absolute;mso-position-horizontal-relative:text;mso-position-vertical:absolute;mso-position-vertical-relative:text" o:allowincell="f" stroked="f">
            <v:textbox>
              <w:txbxContent>
                <w:p w:rsidR="009901EC" w:rsidRDefault="00C84AFE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Рис.1</w:t>
                  </w:r>
                </w:p>
              </w:txbxContent>
            </v:textbox>
          </v:rect>
        </w:pict>
      </w:r>
      <w:r>
        <w:rPr>
          <w:rFonts w:ascii="Courier New" w:hAnsi="Courier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634.5pt" fillcolor="window">
            <v:imagedata r:id="rId7" o:title=""/>
          </v:shape>
        </w:pict>
      </w:r>
    </w:p>
    <w:p w:rsidR="009901EC" w:rsidRDefault="009901EC">
      <w:pPr>
        <w:pStyle w:val="10"/>
        <w:spacing w:line="360" w:lineRule="auto"/>
        <w:ind w:firstLine="720"/>
        <w:rPr>
          <w:rFonts w:ascii="Courier New" w:hAnsi="Courier New"/>
          <w:sz w:val="28"/>
        </w:rPr>
        <w:sectPr w:rsidR="009901EC">
          <w:headerReference w:type="even" r:id="rId8"/>
          <w:headerReference w:type="default" r:id="rId9"/>
          <w:pgSz w:w="11900" w:h="16820" w:code="9"/>
          <w:pgMar w:top="1247" w:right="907" w:bottom="851" w:left="1474" w:header="720" w:footer="720" w:gutter="0"/>
          <w:pgNumType w:start="2"/>
          <w:cols w:space="60"/>
          <w:noEndnote/>
        </w:sectPr>
      </w:pPr>
    </w:p>
    <w:p w:rsidR="009901EC" w:rsidRDefault="00C84AFE">
      <w:pPr>
        <w:pStyle w:val="2"/>
      </w:pPr>
      <w:bookmarkStart w:id="9" w:name="_Toc465100903"/>
      <w:r>
        <w:t>1.5 Прессование абразивных инструментов</w:t>
      </w:r>
      <w:bookmarkEnd w:id="9"/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Абразивная масса в зависимости от зернистости, природы абразивных материалов и содержания связки обладает различной пористостью (рыхлостью), а следовательно, прессуемостью. Ее засыпной объем по отношению к спрессованному изделию со</w:t>
      </w:r>
      <w:r>
        <w:rPr>
          <w:rFonts w:ascii="Courier New" w:hAnsi="Courier New"/>
          <w:sz w:val="28"/>
        </w:rPr>
        <w:softHyphen/>
        <w:t>ставляет 1,6—1,8 для крупнозернистых масс и 2,5—2,8 для мелко</w:t>
      </w:r>
      <w:r>
        <w:rPr>
          <w:rFonts w:ascii="Courier New" w:hAnsi="Courier New"/>
          <w:sz w:val="28"/>
        </w:rPr>
        <w:softHyphen/>
        <w:t>зернистых масс.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Получение изделия заданного объемного веса достигается уп</w:t>
      </w:r>
      <w:r>
        <w:rPr>
          <w:rFonts w:ascii="Courier New" w:hAnsi="Courier New"/>
          <w:sz w:val="28"/>
        </w:rPr>
        <w:softHyphen/>
        <w:t>лотнением массы в пресс-форме путем прессования за счет умень</w:t>
      </w:r>
      <w:r>
        <w:rPr>
          <w:rFonts w:ascii="Courier New" w:hAnsi="Courier New"/>
          <w:sz w:val="28"/>
        </w:rPr>
        <w:softHyphen/>
        <w:t>шения высоты изделия.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Практически при достижении удельного давления, составляю</w:t>
      </w:r>
      <w:r>
        <w:rPr>
          <w:rFonts w:ascii="Courier New" w:hAnsi="Courier New"/>
          <w:sz w:val="28"/>
        </w:rPr>
        <w:softHyphen/>
        <w:t>щего 20% от номинала, уплотнение изделия составит 60%. Таким образом, первый этап прессования целесообразно производить при помощи насоса низкого давления (обладающего высокой про</w:t>
      </w:r>
      <w:r>
        <w:rPr>
          <w:rFonts w:ascii="Courier New" w:hAnsi="Courier New"/>
          <w:sz w:val="28"/>
        </w:rPr>
        <w:softHyphen/>
        <w:t>изводительностью) и окончательное прессование, второй этап, производить насосом высокого давления. При определении произ</w:t>
      </w:r>
      <w:r>
        <w:rPr>
          <w:rFonts w:ascii="Courier New" w:hAnsi="Courier New"/>
          <w:sz w:val="28"/>
        </w:rPr>
        <w:softHyphen/>
        <w:t>водительности насоса на каждом из этапов следует руководство</w:t>
      </w:r>
      <w:r>
        <w:rPr>
          <w:rFonts w:ascii="Courier New" w:hAnsi="Courier New"/>
          <w:sz w:val="28"/>
        </w:rPr>
        <w:softHyphen/>
        <w:t>ваться обеспечением получения заданной скорости перемещения</w:t>
      </w:r>
    </w:p>
    <w:p w:rsidR="009901EC" w:rsidRDefault="00C84AFE">
      <w:pPr>
        <w:pStyle w:val="2"/>
      </w:pPr>
      <w:bookmarkStart w:id="10" w:name="_Toc465100904"/>
      <w:r>
        <w:t>1.6 Оборудование для изготовления инструментов на вулканитовой связке</w:t>
      </w:r>
      <w:bookmarkEnd w:id="10"/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Значительная часть абразивных инструментов на вулканитовой связке изготовляется на вальцах. Смешивание компонентов связки и абразивной массы производится на смесительных вальцах.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Вначале вводится каучук, затем, после того как каучук по</w:t>
      </w:r>
      <w:r>
        <w:rPr>
          <w:rFonts w:ascii="Courier New" w:hAnsi="Courier New"/>
          <w:sz w:val="28"/>
        </w:rPr>
        <w:softHyphen/>
        <w:t>кроет поверхность обоих валков, вводится мягчитель, сера, наполнители и ускорители вулканизации. Перемешивание эле</w:t>
      </w:r>
      <w:r>
        <w:rPr>
          <w:rFonts w:ascii="Courier New" w:hAnsi="Courier New"/>
          <w:sz w:val="28"/>
        </w:rPr>
        <w:softHyphen/>
        <w:t>ментов связки производится длительное время, которое назна</w:t>
      </w:r>
      <w:r>
        <w:rPr>
          <w:rFonts w:ascii="Courier New" w:hAnsi="Courier New"/>
          <w:sz w:val="28"/>
        </w:rPr>
        <w:softHyphen/>
        <w:t>чается в зависимости от рецептуры массы. Последним вводится абразивное зерно. Приготовленная таким образом абразивная масса поступает на прокатные вальцы или каландры, где про</w:t>
      </w:r>
      <w:r>
        <w:rPr>
          <w:rFonts w:ascii="Courier New" w:hAnsi="Courier New"/>
          <w:sz w:val="28"/>
        </w:rPr>
        <w:softHyphen/>
        <w:t>катываются пласты определенной толщины, из которых на выруб</w:t>
      </w:r>
      <w:r>
        <w:rPr>
          <w:rFonts w:ascii="Courier New" w:hAnsi="Courier New"/>
          <w:sz w:val="28"/>
        </w:rPr>
        <w:softHyphen/>
        <w:t>ных прессах в последующем вырубаются круги заданных размеров.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Наряду с изготовлением кругов на смесительных и прокатных вальцах на абразивных заводах получает распространение новый метод изготовления вулканитовых кругов: путем приготовления абразивной массы в смесительных машинах, разрыхления ее и прессования на прессах в пресс-форме.</w:t>
      </w:r>
    </w:p>
    <w:p w:rsidR="009901EC" w:rsidRDefault="00C84AFE">
      <w:pPr>
        <w:spacing w:line="480" w:lineRule="auto"/>
        <w:rPr>
          <w:sz w:val="28"/>
        </w:rPr>
      </w:pPr>
      <w:bookmarkStart w:id="11" w:name="_Hlt465100888"/>
      <w:r>
        <w:rPr>
          <w:sz w:val="28"/>
        </w:rPr>
        <w:t>Машина для измельчения вулканитовых масс</w:t>
      </w:r>
    </w:p>
    <w:bookmarkEnd w:id="11"/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При приготовлении абразивной массы в смесительных машинах получаются куски больших.размеров. Для дальнейшей переработки этой массы необходимо, чтобы размеры кусков в поперечнике не превышали 80 </w:t>
      </w:r>
      <w:r>
        <w:rPr>
          <w:rFonts w:ascii="Courier New" w:hAnsi="Courier New"/>
          <w:i/>
          <w:sz w:val="28"/>
        </w:rPr>
        <w:t>мм.</w:t>
      </w:r>
      <w:r>
        <w:rPr>
          <w:rFonts w:ascii="Courier New" w:hAnsi="Courier New"/>
          <w:sz w:val="28"/>
        </w:rPr>
        <w:t xml:space="preserve"> Эту операцию выполняет машина для предвари</w:t>
      </w:r>
      <w:r>
        <w:rPr>
          <w:rFonts w:ascii="Courier New" w:hAnsi="Courier New"/>
          <w:sz w:val="28"/>
        </w:rPr>
        <w:softHyphen/>
        <w:t>тельного измельчения вулканитовых масс.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Чаша машины представляет собой короб прямоугольного сечения, на дне которого в разные стороны синхронно вращаются два вала </w:t>
      </w:r>
      <w:r>
        <w:rPr>
          <w:rFonts w:ascii="Courier New" w:hAnsi="Courier New"/>
          <w:i/>
          <w:sz w:val="28"/>
        </w:rPr>
        <w:t>4</w:t>
      </w:r>
      <w:r>
        <w:rPr>
          <w:rFonts w:ascii="Courier New" w:hAnsi="Courier New"/>
          <w:sz w:val="28"/>
        </w:rPr>
        <w:t xml:space="preserve"> с установленными в них во взаимно перпендикулярных плоскостях шипами </w:t>
      </w:r>
      <w:r>
        <w:rPr>
          <w:rFonts w:ascii="Courier New" w:hAnsi="Courier New"/>
          <w:i/>
          <w:sz w:val="28"/>
        </w:rPr>
        <w:t>3.</w:t>
      </w:r>
      <w:r>
        <w:rPr>
          <w:rFonts w:ascii="Courier New" w:hAnsi="Courier New"/>
          <w:sz w:val="28"/>
        </w:rPr>
        <w:t xml:space="preserve"> Параллельно валам с наружной их сто</w:t>
      </w:r>
      <w:r>
        <w:rPr>
          <w:rFonts w:ascii="Courier New" w:hAnsi="Courier New"/>
          <w:sz w:val="28"/>
        </w:rPr>
        <w:softHyphen/>
        <w:t xml:space="preserve">роны установлены две гребенки </w:t>
      </w:r>
      <w:r>
        <w:rPr>
          <w:rFonts w:ascii="Courier New" w:hAnsi="Courier New"/>
          <w:i/>
          <w:sz w:val="28"/>
        </w:rPr>
        <w:t>5,</w:t>
      </w:r>
      <w:r>
        <w:rPr>
          <w:rFonts w:ascii="Courier New" w:hAnsi="Courier New"/>
          <w:sz w:val="28"/>
        </w:rPr>
        <w:t xml:space="preserve"> в пазы которых свободно (с зазором) входят шипы. При помощи шипов и зубьев гребенки происходит измельчение абразивной массы.</w:t>
      </w:r>
    </w:p>
    <w:p w:rsidR="009901EC" w:rsidRDefault="00C84AFE">
      <w:pPr>
        <w:pStyle w:val="2"/>
      </w:pPr>
      <w:bookmarkStart w:id="12" w:name="_Toc465100905"/>
      <w:r>
        <w:t>1.7 Оборудование для механической обработки шлифовальных кругов</w:t>
      </w:r>
      <w:bookmarkEnd w:id="12"/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Значительная часть абразивных инструментов подвергается после термической обработки — механической. Эта операция диктуется необходимостью придания готовым изделиям более точной геометрической формы, гладкой поверхности, .а также для устранения получаемой в процессе термообработки «корочки» — поверхностного тонкого слоя, отличающегося по твердости от основной массы изделия.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ряде случаев механическую обработку применяют для исправления отклонений, возникающих при выполнении преды</w:t>
      </w:r>
      <w:r>
        <w:rPr>
          <w:rFonts w:ascii="Courier New" w:hAnsi="Courier New"/>
          <w:sz w:val="28"/>
        </w:rPr>
        <w:softHyphen/>
        <w:t>дущих операций. Механической обработке подвергаются в основ</w:t>
      </w:r>
      <w:r>
        <w:rPr>
          <w:rFonts w:ascii="Courier New" w:hAnsi="Courier New"/>
          <w:sz w:val="28"/>
        </w:rPr>
        <w:softHyphen/>
        <w:t>ном круги на керамической связке (большие и средние размеры). Круги на бакелитовой и вулканитовой связках реже подвергаются механической обработке. Круги на керамической связке малых размеров, а также фасонные круги (ЧК и ЧЦ) не подвергаются механической обработке.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Станки для механической обработки кругов специализированы.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Обработка торцовых плоскостей производится на плоскообдирочных станках, обработка периферии, а также скосов и выто</w:t>
      </w:r>
      <w:r>
        <w:rPr>
          <w:rFonts w:ascii="Courier New" w:hAnsi="Courier New"/>
          <w:sz w:val="28"/>
        </w:rPr>
        <w:softHyphen/>
        <w:t>чек — на токарных станках. Обработка периферии кругов в па</w:t>
      </w:r>
      <w:r>
        <w:rPr>
          <w:rFonts w:ascii="Courier New" w:hAnsi="Courier New"/>
          <w:sz w:val="28"/>
        </w:rPr>
        <w:softHyphen/>
        <w:t>кетах на вертикальношлифовальных и токарных станках, обра</w:t>
      </w:r>
      <w:r>
        <w:rPr>
          <w:rFonts w:ascii="Courier New" w:hAnsi="Courier New"/>
          <w:sz w:val="28"/>
        </w:rPr>
        <w:softHyphen/>
        <w:t>ботка отверстий — на сверлильных станках.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настоящее время уже созданы станки для калибровки отвер</w:t>
      </w:r>
      <w:r>
        <w:rPr>
          <w:rFonts w:ascii="Courier New" w:hAnsi="Courier New"/>
          <w:sz w:val="28"/>
        </w:rPr>
        <w:softHyphen/>
        <w:t>стий путем заливки в отверстие втулки из пластмассы. Этот метод позволяет получить отверстия высокой чистоты и точности.</w:t>
      </w:r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br w:type="page"/>
      </w:r>
    </w:p>
    <w:p w:rsidR="009901EC" w:rsidRDefault="00C84AFE">
      <w:pPr>
        <w:pStyle w:val="1"/>
        <w:jc w:val="center"/>
      </w:pPr>
      <w:bookmarkStart w:id="13" w:name="_Toc433856796"/>
      <w:bookmarkStart w:id="14" w:name="_Toc433858540"/>
      <w:bookmarkStart w:id="15" w:name="_Toc433858653"/>
      <w:bookmarkStart w:id="16" w:name="_Toc433858817"/>
      <w:bookmarkStart w:id="17" w:name="_Toc433860272"/>
      <w:bookmarkStart w:id="18" w:name="_Toc433864265"/>
      <w:bookmarkStart w:id="19" w:name="_Toc433865846"/>
      <w:bookmarkStart w:id="20" w:name="_Toc433866149"/>
      <w:bookmarkStart w:id="21" w:name="_Toc433866678"/>
      <w:bookmarkStart w:id="22" w:name="_Toc433866857"/>
      <w:bookmarkStart w:id="23" w:name="_Toc433872114"/>
      <w:bookmarkStart w:id="24" w:name="_Toc433885087"/>
      <w:bookmarkStart w:id="25" w:name="_Toc433902795"/>
      <w:bookmarkStart w:id="26" w:name="_Toc434218687"/>
      <w:bookmarkStart w:id="27" w:name="_Toc465100906"/>
      <w:r>
        <w:t>2. ПРОМЫШЛЕННОЕ ПРОИЗВОДСТВО И КАЧЕСТВО ОКРУЖАЮЩЕЙ СРЕДЫ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9901EC" w:rsidRDefault="009901EC">
      <w:pPr>
        <w:ind w:firstLine="851"/>
        <w:jc w:val="both"/>
        <w:rPr>
          <w:rFonts w:ascii="Antiqua" w:hAnsi="Antiqua"/>
          <w:snapToGrid w:val="0"/>
          <w:sz w:val="28"/>
        </w:rPr>
      </w:pP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XX век принес человечеству немало благ, связанных с бур</w:t>
      </w:r>
      <w:r>
        <w:rPr>
          <w:rFonts w:ascii="Courier New" w:hAnsi="Courier New"/>
          <w:snapToGrid w:val="0"/>
          <w:sz w:val="28"/>
        </w:rPr>
        <w:softHyphen/>
        <w:t>ным развитием научно-технического прогресса, и в то же время поставил жизнь на Земле на грань экологической катастрофы. Рост населения, интенсификация добычи и выбросов, загряз</w:t>
      </w:r>
      <w:r>
        <w:rPr>
          <w:rFonts w:ascii="Courier New" w:hAnsi="Courier New"/>
          <w:snapToGrid w:val="0"/>
          <w:sz w:val="28"/>
        </w:rPr>
        <w:softHyphen/>
        <w:t>няющих Землю, приводят к коренным изменениям в природе и отражаются на самом существовании человека. Часть из таких изменений чрезвычайно сильна и настолько широко распро</w:t>
      </w:r>
      <w:r>
        <w:rPr>
          <w:rFonts w:ascii="Courier New" w:hAnsi="Courier New"/>
          <w:snapToGrid w:val="0"/>
          <w:sz w:val="28"/>
        </w:rPr>
        <w:softHyphen/>
        <w:t>странена, что возникают глобальные экологические проблемы. Имеются серьезные проблемы загрязнения (атмосферы, вод, почв), кислотных дождей, радиационного поражения террито</w:t>
      </w:r>
      <w:r>
        <w:rPr>
          <w:rFonts w:ascii="Courier New" w:hAnsi="Courier New"/>
          <w:snapToGrid w:val="0"/>
          <w:sz w:val="28"/>
        </w:rPr>
        <w:softHyphen/>
        <w:t>рии, а также утраты отдельных видов растений и живых орга</w:t>
      </w:r>
      <w:r>
        <w:rPr>
          <w:rFonts w:ascii="Courier New" w:hAnsi="Courier New"/>
          <w:snapToGrid w:val="0"/>
          <w:sz w:val="28"/>
        </w:rPr>
        <w:softHyphen/>
        <w:t>низмов, оскудения биоресурсов, обезлесения и опустынивания территорий.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Проблемы возникают в результате такого взаимодействия природы и человека, при котором антропогенная нагрузка на территорию (ее определяют через техногенную нагрузку и плотность населения) превышает экологические возможности этой территории, обусловленные главным образом ее природно-ресурсным потенциалом и общей устойчивостью природных ландшафтов (комплексов, геосистем) к антропогенным воздействиям.</w:t>
      </w:r>
    </w:p>
    <w:p w:rsidR="009901EC" w:rsidRDefault="009901EC">
      <w:pPr>
        <w:ind w:firstLine="851"/>
        <w:jc w:val="both"/>
        <w:rPr>
          <w:rFonts w:ascii="Antiqua" w:hAnsi="Antiqua"/>
          <w:snapToGrid w:val="0"/>
          <w:sz w:val="28"/>
        </w:rPr>
      </w:pPr>
    </w:p>
    <w:p w:rsidR="009901EC" w:rsidRDefault="009901EC">
      <w:pPr>
        <w:ind w:firstLine="851"/>
        <w:jc w:val="both"/>
        <w:rPr>
          <w:rFonts w:ascii="Antiqua" w:hAnsi="Antiqua"/>
          <w:snapToGrid w:val="0"/>
          <w:sz w:val="28"/>
        </w:rPr>
      </w:pPr>
    </w:p>
    <w:p w:rsidR="009901EC" w:rsidRDefault="00C84AFE">
      <w:pPr>
        <w:pStyle w:val="2"/>
      </w:pPr>
      <w:bookmarkStart w:id="28" w:name="_Toc434218688"/>
      <w:bookmarkStart w:id="29" w:name="_Toc465100907"/>
      <w:r>
        <w:t>2.1. Общие тенденции развития производства</w:t>
      </w:r>
      <w:bookmarkEnd w:id="28"/>
      <w:bookmarkEnd w:id="29"/>
    </w:p>
    <w:p w:rsidR="009901EC" w:rsidRDefault="009901EC">
      <w:pPr>
        <w:pStyle w:val="21"/>
        <w:spacing w:line="240" w:lineRule="auto"/>
      </w:pP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 xml:space="preserve">Основные источники загрязнения атмосферного воздуха территории нашей страны — машины и установки, использующие серосодержащие угли, нефть, газ. 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Значительно загрязняют атмосферу автомобильный транс</w:t>
      </w:r>
      <w:r>
        <w:rPr>
          <w:rFonts w:ascii="Courier New" w:hAnsi="Courier New"/>
          <w:snapToGrid w:val="0"/>
          <w:sz w:val="28"/>
        </w:rPr>
        <w:softHyphen/>
        <w:t>порт, ТЭЦ, предприятия черной и цветной металлургии, нефтегазоперерабатывающей, химической и лесной промышленности. Большое количество вредных веществ в атмосферу поступает с выхлопными газами автомобилей, причем их доля в загрязнении воздуха постоянно растет; по некоторым оценкам в России — более 30%, а в США — более 60% от общего выброса загрязняющих веществ в атмосфе</w:t>
      </w:r>
      <w:r>
        <w:rPr>
          <w:rFonts w:ascii="Courier New" w:hAnsi="Courier New"/>
          <w:snapToGrid w:val="0"/>
          <w:sz w:val="28"/>
        </w:rPr>
        <w:softHyphen/>
        <w:t>ру.</w:t>
      </w:r>
    </w:p>
    <w:p w:rsidR="009901EC" w:rsidRDefault="00C84AFE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 ростом промышленного производства, его индустриализации, средозащитные мероприятия, базирующиеся на нормативах ПДК и их производных, становятся недостаточными для снижения уже образовавшихся загрязнений. Поэтому естественно обращение к поиску укрупненных характеристик, которые, отражая реальное состояние сред, помогли бы выбору экологически и экономически оптимального варианта, а в загрязненных (нарушенных) условиях – определили очередность восстановительно-оздорови</w:t>
      </w:r>
      <w:r>
        <w:rPr>
          <w:rFonts w:ascii="Courier New" w:hAnsi="Courier New"/>
          <w:sz w:val="28"/>
        </w:rPr>
        <w:softHyphen/>
        <w:t xml:space="preserve">тельных мероприятий.   </w:t>
      </w:r>
    </w:p>
    <w:p w:rsidR="009901EC" w:rsidRDefault="00C84AFE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 переходом на путь интенсивного развития экономики важная роль отводится системе экономических показателей, наделенных важнейшими функциями хозяйственной деятельности: плановой, учетной, оценочной, контрольной и стимулирующей. Как всякое системное образование, представляющее собой не произвольную совокупность, а взаимосвязанные элементы в определенной целостности, экономические показатели призваны выражать конечный результат с учетом всех фаз воспроизводственного процесса.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Одной из важных причин увеличения природоемкости экономики стал превышаю</w:t>
      </w:r>
      <w:r>
        <w:rPr>
          <w:rFonts w:ascii="Courier New" w:hAnsi="Courier New"/>
          <w:snapToGrid w:val="0"/>
          <w:sz w:val="28"/>
        </w:rPr>
        <w:softHyphen/>
        <w:t>щий все допустимые нормативы износ оборудования. В базовых отраслях промышлен</w:t>
      </w:r>
      <w:r>
        <w:rPr>
          <w:rFonts w:ascii="Courier New" w:hAnsi="Courier New"/>
          <w:snapToGrid w:val="0"/>
          <w:sz w:val="28"/>
        </w:rPr>
        <w:softHyphen/>
        <w:t>ности, транспорта износ оборудования, в том числе очистного, достигает 70—80%. В условиях продолжающейся эксплуатации такого оборудования резко увеличивается вероятность экологических катастроф.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Типичной в этом отношении стала авария нефтепровода в арктическом районе Коми около Усинска. В результате на хрупкие экосистемы Севера вылилось — по различным оценкам — до 100 тыс. т нефти. Эта экологическая катастрофа стала одной из крупнейших в мире в 90-х гг., и она была вызвана крайней изношенностью трубопровода. Авария получила мировую огласку, хотя по оценкам некоторых рос</w:t>
      </w:r>
      <w:r>
        <w:rPr>
          <w:rFonts w:ascii="Courier New" w:hAnsi="Courier New"/>
          <w:snapToGrid w:val="0"/>
          <w:sz w:val="28"/>
        </w:rPr>
        <w:softHyphen/>
        <w:t xml:space="preserve">сийских специалистов она является одной из многих — просто другие удалось скрыть. Например, в том же регионе Коми в 1992 г., по данным межведомственной комиссии по экологической безопасности, произошло 890 аварий. 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Колоссален экономический ущерб экологических катастроф. На сэкономленные в результате предотвращения аварий средства в течение нескольких лет можно было бы реконструировать топливно-энергетический комплекс, существенно снизить энергоемкость всей экономики.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Ущерб, наносимый природе при производстве и потреблении продукции, -  результат нерационального природопользования. Возникла объективная необходимость установления взаимосвязей между результатами хозяйственной деятельности и показателями экологичности выпускаемой продукции, технологией ее производства. Это в соответствии с законодательством требует от трудовых коллективов дополнительных затрат, которые необходимо учитывать при планировании. На предприятии целесообразно разграничивать затраты на охрану окружающей среды, связанные с производством продукции и с доведением продукта до определенного уровня экологического качества, либо с заменой его другим, более экологичным. </w:t>
      </w:r>
    </w:p>
    <w:p w:rsidR="009901EC" w:rsidRDefault="00C84AFE">
      <w:pPr>
        <w:pStyle w:val="2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Существует связь между качеством продукции и качеством окружающей среды: чем выше качество продукции (с учетом экологической оценки использования отходов и результатов природоохранной деятельности в процессе производства), тем выше качество окружающей среды.</w:t>
      </w:r>
    </w:p>
    <w:p w:rsidR="009901EC" w:rsidRDefault="00C84AFE">
      <w:pPr>
        <w:pStyle w:val="2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Каким образом можно удовлетворить потребности общества в должном качестве окружающей среды? Преодолением негативных воздействий с помощью обоснованной системы норм и нормативов, с увязкой расчетных методов ПДВ, ПДС и средозащитных мероприятий; разумным (комплексным, экономичным) использованием природных ресурсов, отвечающим экологическим   особенностям определенной территории; экологической ориентации хозяйственной деятельности, планирование и обоснование управленческих решений, выражающихся в прогрессивных направлениях взаимодействия природы и общества, экологической аттестации рабочих мест, технологии выпускаемой продукции.</w:t>
      </w:r>
    </w:p>
    <w:p w:rsidR="009901EC" w:rsidRDefault="00C84AFE">
      <w:pPr>
        <w:pStyle w:val="2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 xml:space="preserve">Обоснование экологичности представляется неотъемлемой частью системы управления, влияющей на выбор приоритетов в обеспечении народного хозяйства природными ресурсами и услугами в пределах намечаемых объемов потребления. </w:t>
      </w:r>
    </w:p>
    <w:p w:rsidR="009901EC" w:rsidRDefault="00C84AFE">
      <w:pPr>
        <w:pStyle w:val="2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Различие производственных интересов и отраслевых заданий определяет особенности взглядов специалистов на проблему экологизации производств, применяемой и создаваемой техники и технологии.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Предпринимаются попытки на основе единого методического подхода, расчетом частных и обобщающих показателей выразить взаимосвязь натуральных и стоимостных характеристик в принятии экономически целесообразного и экологически обусловленного (приемлемого) решения. Приоритетность натуральных параметров, показателей отвечает потребностям ресурсообеспечения общественного производства. Стоимостные показатели должны отражать результативность усилий по снижению (или повышению) техногенной нагрузки на природу. С их помощью производится расчет экологического ущерба и оценивается эффективность мер по стабилизации режима природопользования.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Надо сказать, что кроме этого принимаются и такие меры, как:</w:t>
      </w:r>
    </w:p>
    <w:p w:rsidR="009901EC" w:rsidRDefault="00C84AFE">
      <w:pPr>
        <w:pStyle w:val="2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- обеспечение организации производства нового, более совершенного оборудования и аппаратуры для очистки промышленных выбросов в атмосферу от вредных газов, пыли, сажи и других веществ;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проведение соответствующих научных исследований и опытно-конструкторской работ по созданию более совершенной аппаратуры и оборудования для защиты атмосферного воздуха от  загрязнения промышленными выбросами; 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- осуществление на предприятиях и организациях монтажа и наладки газоочистного и пылеулавливающего оборудования и аппаратуры;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осуществление государственного контроля за работой газоочистных и пылеулавливающих установок на промышленных предприятиях. </w:t>
      </w:r>
    </w:p>
    <w:p w:rsidR="009901EC" w:rsidRDefault="00C84AFE">
      <w:pPr>
        <w:pStyle w:val="22"/>
        <w:spacing w:line="360" w:lineRule="auto"/>
        <w:rPr>
          <w:rFonts w:ascii="Courier New" w:hAnsi="Courier New"/>
        </w:rPr>
      </w:pPr>
      <w:r>
        <w:rPr>
          <w:rFonts w:ascii="Courier New" w:hAnsi="Courier New"/>
        </w:rPr>
        <w:t>Природно-промышленные системы в зави</w:t>
      </w:r>
      <w:r>
        <w:rPr>
          <w:rFonts w:ascii="Courier New" w:hAnsi="Courier New"/>
        </w:rPr>
        <w:softHyphen/>
        <w:t>симости от принятых качественных и количественных параметров техно</w:t>
      </w:r>
      <w:r>
        <w:rPr>
          <w:rFonts w:ascii="Courier New" w:hAnsi="Courier New"/>
        </w:rPr>
        <w:softHyphen/>
        <w:t>логических процессов отличаются друг от друга по структуре, функционированию и характеру взаимодействия с природной средой. В действи</w:t>
      </w:r>
      <w:r>
        <w:rPr>
          <w:rFonts w:ascii="Courier New" w:hAnsi="Courier New"/>
        </w:rPr>
        <w:softHyphen/>
        <w:t>тельности даже одинаковые по качественным и количественным пара</w:t>
      </w:r>
      <w:r>
        <w:rPr>
          <w:rFonts w:ascii="Courier New" w:hAnsi="Courier New"/>
        </w:rPr>
        <w:softHyphen/>
        <w:t>метрам технологических процессов природно-промышленные системы отличаются друг от друга неповторимостью экологических условий, что приводит к различным взаимодействиям производства с окружающей его природной средой. Поэтому предметом исследования в инженерной эко</w:t>
      </w:r>
      <w:r>
        <w:rPr>
          <w:rFonts w:ascii="Courier New" w:hAnsi="Courier New"/>
        </w:rPr>
        <w:softHyphen/>
        <w:t xml:space="preserve">логии является взаимодействие технологических и природных процессов в природно-промышленных системах. </w:t>
      </w:r>
    </w:p>
    <w:p w:rsidR="009901EC" w:rsidRDefault="00C84AFE">
      <w:pPr>
        <w:spacing w:line="360" w:lineRule="auto"/>
        <w:ind w:firstLine="851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 то же время в более развитых странах подход к проблемам окружающей среды со стороны правительств гораздо более жесток</w:t>
      </w:r>
      <w:r>
        <w:rPr>
          <w:rFonts w:ascii="Courier New" w:hAnsi="Courier New"/>
          <w:snapToGrid w:val="0"/>
          <w:sz w:val="28"/>
          <w:lang w:val="en-US"/>
        </w:rPr>
        <w:t>:</w:t>
      </w:r>
      <w:r>
        <w:rPr>
          <w:rFonts w:ascii="Courier New" w:hAnsi="Courier New"/>
          <w:snapToGrid w:val="0"/>
          <w:sz w:val="28"/>
        </w:rPr>
        <w:t xml:space="preserve"> например, ужесточаются нормы содержания вредных веществ в выхлопных га</w:t>
      </w:r>
      <w:r>
        <w:rPr>
          <w:rFonts w:ascii="Courier New" w:hAnsi="Courier New"/>
          <w:snapToGrid w:val="0"/>
          <w:sz w:val="28"/>
        </w:rPr>
        <w:softHyphen/>
        <w:t>зах. Чтобы не потерять свою долю рынка в сложившихся условиях</w:t>
      </w:r>
      <w:r>
        <w:rPr>
          <w:rFonts w:ascii="Courier New" w:hAnsi="Courier New"/>
          <w:snapToGrid w:val="0"/>
          <w:sz w:val="28"/>
          <w:lang w:val="en-US"/>
        </w:rPr>
        <w:t>,</w:t>
      </w:r>
      <w:r>
        <w:rPr>
          <w:rFonts w:ascii="Courier New" w:hAnsi="Courier New"/>
          <w:snapToGrid w:val="0"/>
          <w:sz w:val="28"/>
        </w:rPr>
        <w:t xml:space="preserve"> компания </w:t>
      </w:r>
      <w:r>
        <w:rPr>
          <w:rFonts w:ascii="Courier New" w:hAnsi="Courier New"/>
          <w:snapToGrid w:val="0"/>
          <w:sz w:val="28"/>
          <w:lang w:val="en-US"/>
        </w:rPr>
        <w:t xml:space="preserve">Honda Motors </w:t>
      </w:r>
      <w:r>
        <w:rPr>
          <w:rFonts w:ascii="Courier New" w:hAnsi="Courier New"/>
          <w:snapToGrid w:val="0"/>
          <w:sz w:val="28"/>
        </w:rPr>
        <w:t>засунула под капот современный 32-разрядный компьютер и озадачила его про</w:t>
      </w:r>
      <w:r>
        <w:rPr>
          <w:rFonts w:ascii="Courier New" w:hAnsi="Courier New"/>
          <w:snapToGrid w:val="0"/>
          <w:sz w:val="28"/>
        </w:rPr>
        <w:softHyphen/>
        <w:t>блемой сохранения окружающей среды. Микропроцессорное управление системой зажига</w:t>
      </w:r>
      <w:r>
        <w:rPr>
          <w:rFonts w:ascii="Courier New" w:hAnsi="Courier New"/>
          <w:snapToGrid w:val="0"/>
          <w:sz w:val="28"/>
        </w:rPr>
        <w:softHyphen/>
        <w:t>ния — не новость, однако, похоже, впервые в истории автомобильной промышленности про</w:t>
      </w:r>
      <w:r>
        <w:rPr>
          <w:rFonts w:ascii="Courier New" w:hAnsi="Courier New"/>
          <w:snapToGrid w:val="0"/>
          <w:sz w:val="28"/>
        </w:rPr>
        <w:softHyphen/>
        <w:t>граммно реализован приоритет чистоты вы</w:t>
      </w:r>
      <w:r>
        <w:rPr>
          <w:rFonts w:ascii="Courier New" w:hAnsi="Courier New"/>
          <w:snapToGrid w:val="0"/>
          <w:sz w:val="28"/>
        </w:rPr>
        <w:softHyphen/>
        <w:t>хлопа, а не выжимания лишних «лошадей» из мотора. Надо сказать, компьютер в очередной раз продемонстрировал свой интеллект, уже на промежуточном этапе снизив токсичность вы</w:t>
      </w:r>
      <w:r>
        <w:rPr>
          <w:rFonts w:ascii="Courier New" w:hAnsi="Courier New"/>
          <w:snapToGrid w:val="0"/>
          <w:sz w:val="28"/>
        </w:rPr>
        <w:softHyphen/>
        <w:t>хлопа на 70% и потеряв при этом всего 1,5% мощности двигателя. Вдохновленный резуль</w:t>
      </w:r>
      <w:r>
        <w:rPr>
          <w:rFonts w:ascii="Courier New" w:hAnsi="Courier New"/>
          <w:snapToGrid w:val="0"/>
          <w:sz w:val="28"/>
        </w:rPr>
        <w:softHyphen/>
        <w:t>татом, коллектив инженеров и программистов начал экологиче</w:t>
      </w:r>
      <w:r>
        <w:rPr>
          <w:rFonts w:ascii="Courier New" w:hAnsi="Courier New"/>
          <w:snapToGrid w:val="0"/>
          <w:sz w:val="28"/>
        </w:rPr>
        <w:softHyphen/>
        <w:t>скую оптимизацию всего, что хоть как-то такую оптимизацию в состоянии вынести. Электрон</w:t>
      </w:r>
      <w:r>
        <w:rPr>
          <w:rFonts w:ascii="Courier New" w:hAnsi="Courier New"/>
          <w:snapToGrid w:val="0"/>
          <w:sz w:val="28"/>
        </w:rPr>
        <w:softHyphen/>
        <w:t>ный эколог под капотом бдительно следит за составом рабочей смеси, впрыскиваемой в ци</w:t>
      </w:r>
      <w:r>
        <w:rPr>
          <w:rFonts w:ascii="Courier New" w:hAnsi="Courier New"/>
          <w:snapToGrid w:val="0"/>
          <w:sz w:val="28"/>
        </w:rPr>
        <w:softHyphen/>
        <w:t>линдры, и «в режиме реального времени» управляет процессом сгорания топлива. А если, несмотря на все старания «уничтожить врага в его собственном логове» (в смысле, в цилинд</w:t>
      </w:r>
      <w:r>
        <w:rPr>
          <w:rFonts w:ascii="Courier New" w:hAnsi="Courier New"/>
          <w:snapToGrid w:val="0"/>
          <w:sz w:val="28"/>
        </w:rPr>
        <w:softHyphen/>
        <w:t>рах двигателя) что-то в выхлопную трубу и проскочит, то наружу не выйдет: специальные датчики тут же сообщат об этом компьютеру, который, перенаправив коварную порцию вы</w:t>
      </w:r>
      <w:r>
        <w:rPr>
          <w:rFonts w:ascii="Courier New" w:hAnsi="Courier New"/>
          <w:snapToGrid w:val="0"/>
          <w:sz w:val="28"/>
        </w:rPr>
        <w:softHyphen/>
        <w:t>хлопа в специальный отсек, уничтожит ее там с помощью электричества. Разумеется, не забыли навесить на двигатель и специально разра</w:t>
      </w:r>
      <w:r>
        <w:rPr>
          <w:rFonts w:ascii="Courier New" w:hAnsi="Courier New"/>
          <w:snapToGrid w:val="0"/>
          <w:sz w:val="28"/>
        </w:rPr>
        <w:softHyphen/>
        <w:t>ботанный каталитический дожигатель особой конструкции. Результат, как говорится, превзошел все ожидания: мощность двигателя снизилась со</w:t>
      </w:r>
      <w:r>
        <w:rPr>
          <w:rFonts w:ascii="Courier New" w:hAnsi="Courier New"/>
          <w:snapToGrid w:val="0"/>
          <w:sz w:val="28"/>
        </w:rPr>
        <w:softHyphen/>
        <w:t>всем ненамного, экономичность не пострадала, а что касается выхлопа — забавно, но факт: процентное содержание в нем вредных веществ заметно меньше, чем в воздухе, ко</w:t>
      </w:r>
      <w:r>
        <w:rPr>
          <w:rFonts w:ascii="Courier New" w:hAnsi="Courier New"/>
          <w:snapToGrid w:val="0"/>
          <w:sz w:val="28"/>
        </w:rPr>
        <w:softHyphen/>
        <w:t>торым дышат жители, например, централь</w:t>
      </w:r>
      <w:r>
        <w:rPr>
          <w:rFonts w:ascii="Courier New" w:hAnsi="Courier New"/>
          <w:snapToGrid w:val="0"/>
          <w:sz w:val="28"/>
        </w:rPr>
        <w:softHyphen/>
        <w:t xml:space="preserve">ных районов Лос-Анджелеса. </w:t>
      </w:r>
    </w:p>
    <w:p w:rsidR="009901EC" w:rsidRDefault="009901EC">
      <w:pPr>
        <w:pStyle w:val="1"/>
        <w:jc w:val="center"/>
      </w:pPr>
    </w:p>
    <w:p w:rsidR="009901EC" w:rsidRDefault="009901EC">
      <w:pPr>
        <w:pStyle w:val="1"/>
        <w:jc w:val="center"/>
      </w:pPr>
    </w:p>
    <w:p w:rsidR="009901EC" w:rsidRDefault="00C84AFE">
      <w:pPr>
        <w:pStyle w:val="1"/>
        <w:jc w:val="center"/>
      </w:pPr>
      <w:bookmarkStart w:id="30" w:name="_Toc465100908"/>
      <w:r>
        <w:t>ЛИТЕРАТУРА.</w:t>
      </w:r>
      <w:bookmarkEnd w:id="30"/>
    </w:p>
    <w:p w:rsidR="009901EC" w:rsidRDefault="00C84AFE">
      <w:pPr>
        <w:pStyle w:val="10"/>
        <w:spacing w:line="360" w:lineRule="auto"/>
        <w:ind w:firstLine="72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</w:t>
      </w:r>
    </w:p>
    <w:p w:rsidR="009901EC" w:rsidRDefault="00C84AFE">
      <w:pPr>
        <w:pStyle w:val="10"/>
        <w:numPr>
          <w:ilvl w:val="0"/>
          <w:numId w:val="19"/>
        </w:numPr>
        <w:tabs>
          <w:tab w:val="clear" w:pos="360"/>
          <w:tab w:val="num" w:pos="1080"/>
        </w:tabs>
        <w:spacing w:line="360" w:lineRule="auto"/>
        <w:ind w:left="108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Быстраков Ю.И., Колосов А.В. Экономика и экология. –М.: Агропромиздат, 1988.</w:t>
      </w:r>
    </w:p>
    <w:p w:rsidR="009901EC" w:rsidRDefault="00C84AFE">
      <w:pPr>
        <w:pStyle w:val="10"/>
        <w:numPr>
          <w:ilvl w:val="0"/>
          <w:numId w:val="19"/>
        </w:numPr>
        <w:tabs>
          <w:tab w:val="clear" w:pos="360"/>
          <w:tab w:val="num" w:pos="1080"/>
        </w:tabs>
        <w:spacing w:line="360" w:lineRule="auto"/>
        <w:ind w:left="1080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Производство абразивных инструментов –М. Техническая литература, 1963. </w:t>
      </w:r>
    </w:p>
    <w:p w:rsidR="009901EC" w:rsidRDefault="00C84AFE">
      <w:pPr>
        <w:pStyle w:val="10"/>
        <w:numPr>
          <w:ilvl w:val="0"/>
          <w:numId w:val="19"/>
        </w:numPr>
        <w:tabs>
          <w:tab w:val="clear" w:pos="360"/>
          <w:tab w:val="num" w:pos="1080"/>
        </w:tabs>
        <w:spacing w:line="360" w:lineRule="auto"/>
        <w:ind w:left="1080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“</w:t>
      </w:r>
      <w:r>
        <w:rPr>
          <w:rFonts w:ascii="Courier New" w:hAnsi="Courier New"/>
          <w:sz w:val="28"/>
        </w:rPr>
        <w:t>Компьютер</w:t>
      </w:r>
      <w:r>
        <w:rPr>
          <w:rFonts w:ascii="Courier New" w:hAnsi="Courier New"/>
          <w:sz w:val="28"/>
          <w:lang w:val="en-US"/>
        </w:rPr>
        <w:t>”,</w:t>
      </w:r>
      <w:r>
        <w:rPr>
          <w:rFonts w:ascii="Courier New" w:hAnsi="Courier New"/>
          <w:sz w:val="28"/>
        </w:rPr>
        <w:t xml:space="preserve"> №45</w:t>
      </w:r>
      <w:r>
        <w:rPr>
          <w:rFonts w:ascii="Courier New" w:hAnsi="Courier New"/>
          <w:sz w:val="28"/>
          <w:lang w:val="en-US"/>
        </w:rPr>
        <w:t>,</w:t>
      </w:r>
      <w:r>
        <w:rPr>
          <w:rFonts w:ascii="Courier New" w:hAnsi="Courier New"/>
          <w:sz w:val="28"/>
        </w:rPr>
        <w:t xml:space="preserve"> 1997г.</w:t>
      </w:r>
      <w:bookmarkStart w:id="31" w:name="_GoBack"/>
      <w:bookmarkEnd w:id="31"/>
    </w:p>
    <w:sectPr w:rsidR="009901EC">
      <w:pgSz w:w="11900" w:h="16820" w:code="9"/>
      <w:pgMar w:top="1247" w:right="907" w:bottom="851" w:left="147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1EC" w:rsidRDefault="00C84AFE">
      <w:r>
        <w:separator/>
      </w:r>
    </w:p>
  </w:endnote>
  <w:endnote w:type="continuationSeparator" w:id="0">
    <w:p w:rsidR="009901EC" w:rsidRDefault="00C8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1EC" w:rsidRDefault="00C84AFE">
      <w:r>
        <w:separator/>
      </w:r>
    </w:p>
  </w:footnote>
  <w:footnote w:type="continuationSeparator" w:id="0">
    <w:p w:rsidR="009901EC" w:rsidRDefault="00C84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EC" w:rsidRDefault="00C84A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01EC" w:rsidRDefault="009901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1EC" w:rsidRDefault="00C84A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02A7">
      <w:rPr>
        <w:rStyle w:val="a5"/>
        <w:noProof/>
      </w:rPr>
      <w:t>2</w:t>
    </w:r>
    <w:r>
      <w:rPr>
        <w:rStyle w:val="a5"/>
      </w:rPr>
      <w:fldChar w:fldCharType="end"/>
    </w:r>
  </w:p>
  <w:p w:rsidR="009901EC" w:rsidRDefault="009901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044D7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780773E"/>
    <w:multiLevelType w:val="singleLevel"/>
    <w:tmpl w:val="BF3617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2893495"/>
    <w:multiLevelType w:val="multilevel"/>
    <w:tmpl w:val="F1EEFC4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04"/>
        </w:tabs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15"/>
        </w:tabs>
        <w:ind w:left="641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26"/>
        </w:tabs>
        <w:ind w:left="7626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7"/>
        </w:tabs>
        <w:ind w:left="8837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48"/>
        </w:tabs>
        <w:ind w:left="10048" w:hanging="3240"/>
      </w:pPr>
      <w:rPr>
        <w:rFonts w:hint="default"/>
      </w:rPr>
    </w:lvl>
  </w:abstractNum>
  <w:abstractNum w:abstractNumId="4">
    <w:nsid w:val="16D06681"/>
    <w:multiLevelType w:val="singleLevel"/>
    <w:tmpl w:val="4B9C32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5">
    <w:nsid w:val="38636B39"/>
    <w:multiLevelType w:val="singleLevel"/>
    <w:tmpl w:val="73F63E60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>
    <w:nsid w:val="3C331EFC"/>
    <w:multiLevelType w:val="singleLevel"/>
    <w:tmpl w:val="BF3617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3DE94F2A"/>
    <w:multiLevelType w:val="singleLevel"/>
    <w:tmpl w:val="6C3C9D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21E2930"/>
    <w:multiLevelType w:val="singleLevel"/>
    <w:tmpl w:val="BF3617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45726C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022390"/>
    <w:multiLevelType w:val="singleLevel"/>
    <w:tmpl w:val="20666F12"/>
    <w:lvl w:ilvl="0">
      <w:start w:val="1"/>
      <w:numFmt w:val="bullet"/>
      <w:lvlText w:val="-"/>
      <w:lvlJc w:val="left"/>
      <w:pPr>
        <w:tabs>
          <w:tab w:val="num" w:pos="1211"/>
        </w:tabs>
        <w:ind w:left="340" w:firstLine="511"/>
      </w:pPr>
      <w:rPr>
        <w:rFonts w:ascii="Times New Roman" w:hAnsi="Times New Roman" w:hint="default"/>
      </w:rPr>
    </w:lvl>
  </w:abstractNum>
  <w:abstractNum w:abstractNumId="11">
    <w:nsid w:val="56331C89"/>
    <w:multiLevelType w:val="multilevel"/>
    <w:tmpl w:val="E52C8E38"/>
    <w:lvl w:ilvl="0">
      <w:start w:val="2"/>
      <w:numFmt w:val="decimal"/>
      <w:lvlText w:val="%1."/>
      <w:lvlJc w:val="left"/>
      <w:pPr>
        <w:tabs>
          <w:tab w:val="num" w:pos="466"/>
        </w:tabs>
        <w:ind w:left="466" w:hanging="46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204"/>
        </w:tabs>
        <w:ind w:left="52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15"/>
        </w:tabs>
        <w:ind w:left="641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26"/>
        </w:tabs>
        <w:ind w:left="7626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37"/>
        </w:tabs>
        <w:ind w:left="8837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48"/>
        </w:tabs>
        <w:ind w:left="10048" w:hanging="3240"/>
      </w:pPr>
      <w:rPr>
        <w:rFonts w:hint="default"/>
      </w:rPr>
    </w:lvl>
  </w:abstractNum>
  <w:abstractNum w:abstractNumId="12">
    <w:nsid w:val="6D040ADA"/>
    <w:multiLevelType w:val="singleLevel"/>
    <w:tmpl w:val="EC88E1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13B2A00"/>
    <w:multiLevelType w:val="singleLevel"/>
    <w:tmpl w:val="DDA6E2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4">
    <w:nsid w:val="71830F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D95E8C"/>
    <w:multiLevelType w:val="singleLevel"/>
    <w:tmpl w:val="B5E0DC4C"/>
    <w:lvl w:ilvl="0">
      <w:start w:val="1"/>
      <w:numFmt w:val="bullet"/>
      <w:lvlText w:val=""/>
      <w:lvlJc w:val="left"/>
      <w:pPr>
        <w:tabs>
          <w:tab w:val="num" w:pos="1211"/>
        </w:tabs>
        <w:ind w:left="340" w:firstLine="511"/>
      </w:pPr>
      <w:rPr>
        <w:rFonts w:ascii="Symbol" w:hAnsi="Symbol" w:hint="default"/>
      </w:rPr>
    </w:lvl>
  </w:abstractNum>
  <w:abstractNum w:abstractNumId="16">
    <w:nsid w:val="787043B2"/>
    <w:multiLevelType w:val="singleLevel"/>
    <w:tmpl w:val="BF361754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7AB2436F"/>
    <w:multiLevelType w:val="singleLevel"/>
    <w:tmpl w:val="7AFA5F7A"/>
    <w:lvl w:ilvl="0">
      <w:start w:val="4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8">
    <w:nsid w:val="7D852CC2"/>
    <w:multiLevelType w:val="singleLevel"/>
    <w:tmpl w:val="BF3617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3"/>
  </w:num>
  <w:num w:numId="14">
    <w:abstractNumId w:val="6"/>
  </w:num>
  <w:num w:numId="15">
    <w:abstractNumId w:val="15"/>
  </w:num>
  <w:num w:numId="16">
    <w:abstractNumId w:val="12"/>
  </w:num>
  <w:num w:numId="17">
    <w:abstractNumId w:val="1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AFE"/>
    <w:rsid w:val="009901EC"/>
    <w:rsid w:val="00B602A7"/>
    <w:rsid w:val="00C8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D9206F3-1594-47E3-A62F-3B3042A0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 w:line="360" w:lineRule="auto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 w:line="360" w:lineRule="auto"/>
      <w:outlineLvl w:val="1"/>
    </w:pPr>
    <w:rPr>
      <w:rFonts w:ascii="Arial" w:hAnsi="Arial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firstLine="320"/>
      <w:jc w:val="both"/>
    </w:pPr>
    <w:rPr>
      <w:snapToGrid w:val="0"/>
    </w:rPr>
  </w:style>
  <w:style w:type="paragraph" w:customStyle="1" w:styleId="FR1">
    <w:name w:val="FR1"/>
    <w:pPr>
      <w:widowControl w:val="0"/>
      <w:ind w:left="480"/>
    </w:pPr>
    <w:rPr>
      <w:rFonts w:ascii="Arial" w:hAnsi="Arial"/>
      <w:i/>
      <w:snapToGrid w:val="0"/>
      <w:sz w:val="16"/>
    </w:rPr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11">
    <w:name w:val="toc 1"/>
    <w:basedOn w:val="a"/>
    <w:next w:val="a"/>
    <w:autoRedefine/>
    <w:semiHidden/>
    <w:pPr>
      <w:tabs>
        <w:tab w:val="right" w:leader="dot" w:pos="9055"/>
      </w:tabs>
      <w:spacing w:before="120" w:after="120"/>
    </w:pPr>
    <w:rPr>
      <w:b/>
      <w:caps/>
      <w:noProof/>
      <w:sz w:val="28"/>
    </w:rPr>
  </w:style>
  <w:style w:type="paragraph" w:styleId="20">
    <w:name w:val="toc 2"/>
    <w:basedOn w:val="a"/>
    <w:next w:val="a"/>
    <w:autoRedefine/>
    <w:semiHidden/>
    <w:pPr>
      <w:tabs>
        <w:tab w:val="right" w:leader="dot" w:pos="9055"/>
      </w:tabs>
      <w:spacing w:line="360" w:lineRule="auto"/>
      <w:ind w:left="200"/>
    </w:pPr>
    <w:rPr>
      <w:smallCaps/>
      <w:noProof/>
      <w:sz w:val="24"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customStyle="1" w:styleId="21">
    <w:name w:val="Оглавл_мое 2"/>
    <w:basedOn w:val="2"/>
    <w:autoRedefine/>
    <w:pPr>
      <w:spacing w:before="0" w:after="0"/>
      <w:ind w:left="851" w:right="851"/>
      <w:jc w:val="center"/>
    </w:pPr>
    <w:rPr>
      <w:rFonts w:ascii="Antiqua" w:hAnsi="Antiqua"/>
      <w:i w:val="0"/>
      <w:caps/>
      <w:snapToGrid w:val="0"/>
    </w:rPr>
  </w:style>
  <w:style w:type="paragraph" w:customStyle="1" w:styleId="12">
    <w:name w:val="Оглавл_мое 1"/>
    <w:basedOn w:val="2"/>
    <w:next w:val="a"/>
    <w:pPr>
      <w:spacing w:before="0" w:after="0"/>
      <w:ind w:left="851" w:right="851"/>
      <w:jc w:val="center"/>
      <w:outlineLvl w:val="0"/>
    </w:pPr>
    <w:rPr>
      <w:rFonts w:ascii="Antiqua" w:hAnsi="Antiqua"/>
      <w:i w:val="0"/>
      <w:caps/>
      <w:snapToGrid w:val="0"/>
    </w:rPr>
  </w:style>
  <w:style w:type="paragraph" w:styleId="22">
    <w:name w:val="Body Text Indent 2"/>
    <w:basedOn w:val="a"/>
    <w:semiHidden/>
    <w:pPr>
      <w:spacing w:line="480" w:lineRule="atLeast"/>
      <w:ind w:firstLine="851"/>
      <w:jc w:val="both"/>
    </w:pPr>
    <w:rPr>
      <w:rFonts w:ascii="Antiqua" w:hAnsi="Antiqua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cp:lastModifiedBy>admin</cp:lastModifiedBy>
  <cp:revision>2</cp:revision>
  <cp:lastPrinted>1999-10-21T08:04:00Z</cp:lastPrinted>
  <dcterms:created xsi:type="dcterms:W3CDTF">2014-02-03T09:06:00Z</dcterms:created>
  <dcterms:modified xsi:type="dcterms:W3CDTF">2014-02-03T09:06:00Z</dcterms:modified>
</cp:coreProperties>
</file>