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both"/>
        <w:rPr>
          <w:b/>
          <w:color w:val="000000"/>
          <w:sz w:val="28"/>
          <w:szCs w:val="28"/>
        </w:rPr>
      </w:pPr>
    </w:p>
    <w:p w:rsidR="009348D7" w:rsidRPr="009348D7" w:rsidRDefault="009348D7" w:rsidP="009348D7">
      <w:pPr>
        <w:pStyle w:val="Disser1"/>
        <w:shd w:val="clear" w:color="000000" w:fill="auto"/>
        <w:spacing w:line="360" w:lineRule="auto"/>
        <w:ind w:firstLine="709"/>
        <w:jc w:val="center"/>
        <w:rPr>
          <w:b/>
          <w:color w:val="000000"/>
          <w:sz w:val="28"/>
          <w:szCs w:val="28"/>
        </w:rPr>
      </w:pPr>
      <w:r w:rsidRPr="009348D7">
        <w:rPr>
          <w:b/>
          <w:color w:val="000000"/>
          <w:sz w:val="28"/>
          <w:szCs w:val="28"/>
        </w:rPr>
        <w:t>Актуальные вопросы банковской деятельности</w:t>
      </w:r>
    </w:p>
    <w:p w:rsidR="009348D7" w:rsidRPr="009348D7" w:rsidRDefault="009348D7" w:rsidP="009348D7">
      <w:pPr>
        <w:pStyle w:val="Disser1"/>
        <w:shd w:val="clear" w:color="000000" w:fill="auto"/>
        <w:spacing w:line="360" w:lineRule="auto"/>
        <w:ind w:firstLine="709"/>
        <w:jc w:val="both"/>
        <w:rPr>
          <w:b/>
          <w:color w:val="000000"/>
          <w:sz w:val="28"/>
          <w:szCs w:val="28"/>
        </w:rPr>
      </w:pPr>
    </w:p>
    <w:p w:rsidR="00C91E10" w:rsidRPr="009348D7" w:rsidRDefault="009348D7" w:rsidP="009348D7">
      <w:pPr>
        <w:pStyle w:val="Disser1"/>
        <w:shd w:val="clear" w:color="000000" w:fill="auto"/>
        <w:spacing w:line="360" w:lineRule="auto"/>
        <w:ind w:firstLine="709"/>
        <w:jc w:val="both"/>
        <w:rPr>
          <w:b/>
          <w:color w:val="000000"/>
          <w:sz w:val="28"/>
          <w:szCs w:val="28"/>
        </w:rPr>
      </w:pPr>
      <w:r w:rsidRPr="009348D7">
        <w:rPr>
          <w:b/>
          <w:color w:val="000000"/>
          <w:sz w:val="28"/>
          <w:szCs w:val="28"/>
        </w:rPr>
        <w:br w:type="page"/>
      </w:r>
      <w:r w:rsidR="00C91E10" w:rsidRPr="009348D7">
        <w:rPr>
          <w:b/>
          <w:color w:val="000000"/>
          <w:sz w:val="28"/>
          <w:szCs w:val="28"/>
        </w:rPr>
        <w:t>Введение</w:t>
      </w:r>
    </w:p>
    <w:p w:rsidR="009348D7" w:rsidRPr="009348D7" w:rsidRDefault="009348D7" w:rsidP="009348D7">
      <w:pPr>
        <w:pStyle w:val="Disser1"/>
        <w:shd w:val="clear" w:color="000000" w:fill="auto"/>
        <w:spacing w:line="360" w:lineRule="auto"/>
        <w:ind w:firstLine="709"/>
        <w:jc w:val="both"/>
        <w:rPr>
          <w:color w:val="000000"/>
          <w:sz w:val="28"/>
          <w:szCs w:val="28"/>
        </w:rPr>
      </w:pPr>
    </w:p>
    <w:p w:rsidR="00E92331" w:rsidRPr="009348D7" w:rsidRDefault="00E92331" w:rsidP="009348D7">
      <w:pPr>
        <w:pStyle w:val="Disser1"/>
        <w:shd w:val="clear" w:color="000000" w:fill="auto"/>
        <w:spacing w:line="360" w:lineRule="auto"/>
        <w:ind w:firstLine="709"/>
        <w:jc w:val="both"/>
        <w:rPr>
          <w:color w:val="000000"/>
          <w:sz w:val="28"/>
          <w:szCs w:val="28"/>
        </w:rPr>
      </w:pPr>
      <w:r w:rsidRPr="009348D7">
        <w:rPr>
          <w:color w:val="000000"/>
          <w:sz w:val="28"/>
          <w:szCs w:val="28"/>
        </w:rPr>
        <w:t xml:space="preserve">Российская банковская система в ее нынешнем состоянии не готова в полном объеме обеспечить реальный сектор экономики долгосрочными кредитными ресурсами, предоставить полный спектр банковских услуг по приемлемой цене, обеспечить одинаковый уровень и разнообразие предоставляемых услуг во всех регионах страны. Данная ситуация в самом ближайшем будущем может тормозить экономический рост. Без скорейшего укрупнения, повышения капитализации, концентрации капитала, расширения регионального присутствия, а также расширения спектра и повышения качества предоставляемых банковских услуг российские банки не смогут полноценно соответствовать требованиям мировой финансовой системы. Более того, из-за низкой капитализации на фоне постоянного роста активов и недостаточности регулирования со стороны Банка России российская банковская система системно слаба, находится под возможной угрозой кризиса и нуждается в преобразованиях. </w:t>
      </w:r>
    </w:p>
    <w:p w:rsidR="00C91E10" w:rsidRPr="009348D7" w:rsidRDefault="00C91E10" w:rsidP="009348D7">
      <w:pPr>
        <w:pStyle w:val="Default"/>
        <w:shd w:val="clear" w:color="000000" w:fill="auto"/>
        <w:spacing w:line="360" w:lineRule="auto"/>
        <w:ind w:firstLine="709"/>
        <w:jc w:val="both"/>
        <w:rPr>
          <w:sz w:val="28"/>
          <w:szCs w:val="28"/>
        </w:rPr>
      </w:pPr>
    </w:p>
    <w:p w:rsidR="00C91E10" w:rsidRPr="009348D7" w:rsidRDefault="009348D7" w:rsidP="009348D7">
      <w:pPr>
        <w:pStyle w:val="Default"/>
        <w:shd w:val="clear" w:color="000000" w:fill="auto"/>
        <w:spacing w:line="360" w:lineRule="auto"/>
        <w:ind w:firstLine="709"/>
        <w:jc w:val="both"/>
        <w:rPr>
          <w:b/>
          <w:sz w:val="28"/>
          <w:szCs w:val="28"/>
        </w:rPr>
      </w:pPr>
      <w:r w:rsidRPr="009348D7">
        <w:rPr>
          <w:sz w:val="28"/>
          <w:szCs w:val="28"/>
        </w:rPr>
        <w:br w:type="page"/>
      </w:r>
      <w:r w:rsidRPr="009348D7">
        <w:rPr>
          <w:b/>
          <w:sz w:val="28"/>
          <w:szCs w:val="28"/>
        </w:rPr>
        <w:t>Особенности российского рынка банковских слияний</w:t>
      </w:r>
    </w:p>
    <w:p w:rsidR="009348D7" w:rsidRPr="009348D7" w:rsidRDefault="009348D7" w:rsidP="009348D7">
      <w:pPr>
        <w:pStyle w:val="Default"/>
        <w:shd w:val="clear" w:color="000000" w:fill="auto"/>
        <w:spacing w:line="360" w:lineRule="auto"/>
        <w:ind w:firstLine="709"/>
        <w:jc w:val="both"/>
        <w:rPr>
          <w:sz w:val="28"/>
          <w:szCs w:val="28"/>
        </w:rPr>
      </w:pP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Одним из путей данного реформирования являются начавшиеся в банковской сфере РФ объединительные процессы, среди которых наибольший практический интерес представляют процессы слияния и присоединения банков, которые слабо проработаны в научном плане и явно недостаточно «закрыты» законами и нормативными актами. Все вышеперечисленное обуславливает актуальность и практическую значимость исследования. </w:t>
      </w: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На основе проведенного анализа нормативно-правовой базы в работе обоснована необходимость принятия федерального закона, который бы всецело регулировал процессы слияний и присоединений банков и который бы, в частности, решил проблемы: </w:t>
      </w:r>
    </w:p>
    <w:p w:rsidR="00E92331" w:rsidRPr="009348D7" w:rsidRDefault="00E92331" w:rsidP="009348D7">
      <w:pPr>
        <w:pStyle w:val="Default"/>
        <w:numPr>
          <w:ilvl w:val="0"/>
          <w:numId w:val="1"/>
        </w:numPr>
        <w:shd w:val="clear" w:color="000000" w:fill="auto"/>
        <w:tabs>
          <w:tab w:val="left" w:pos="1080"/>
        </w:tabs>
        <w:spacing w:line="360" w:lineRule="auto"/>
        <w:ind w:firstLine="709"/>
        <w:jc w:val="both"/>
        <w:rPr>
          <w:sz w:val="28"/>
          <w:szCs w:val="28"/>
        </w:rPr>
      </w:pPr>
      <w:r w:rsidRPr="009348D7">
        <w:rPr>
          <w:sz w:val="28"/>
          <w:szCs w:val="28"/>
        </w:rPr>
        <w:t xml:space="preserve">отсутствия в законодательстве термина «поглощение», замененного термином «присоединение», которое не соответствует общемировой практике; </w:t>
      </w:r>
    </w:p>
    <w:p w:rsidR="00E92331" w:rsidRPr="009348D7" w:rsidRDefault="00E92331" w:rsidP="009348D7">
      <w:pPr>
        <w:pStyle w:val="Default"/>
        <w:numPr>
          <w:ilvl w:val="0"/>
          <w:numId w:val="1"/>
        </w:numPr>
        <w:shd w:val="clear" w:color="000000" w:fill="auto"/>
        <w:tabs>
          <w:tab w:val="left" w:pos="1080"/>
        </w:tabs>
        <w:spacing w:line="360" w:lineRule="auto"/>
        <w:ind w:firstLine="709"/>
        <w:jc w:val="both"/>
        <w:rPr>
          <w:sz w:val="28"/>
          <w:szCs w:val="28"/>
        </w:rPr>
      </w:pPr>
      <w:r w:rsidRPr="009348D7">
        <w:rPr>
          <w:sz w:val="28"/>
          <w:szCs w:val="28"/>
        </w:rPr>
        <w:t xml:space="preserve">отсутствия законодательных и нормативных правовых актов, обеспечивающих </w:t>
      </w:r>
    </w:p>
    <w:p w:rsidR="00E92331" w:rsidRPr="009348D7" w:rsidRDefault="00E92331" w:rsidP="009348D7">
      <w:pPr>
        <w:pStyle w:val="Default"/>
        <w:numPr>
          <w:ilvl w:val="0"/>
          <w:numId w:val="1"/>
        </w:numPr>
        <w:shd w:val="clear" w:color="000000" w:fill="auto"/>
        <w:tabs>
          <w:tab w:val="left" w:pos="1080"/>
        </w:tabs>
        <w:spacing w:line="360" w:lineRule="auto"/>
        <w:ind w:firstLine="709"/>
        <w:jc w:val="both"/>
        <w:rPr>
          <w:sz w:val="28"/>
          <w:szCs w:val="28"/>
        </w:rPr>
      </w:pPr>
      <w:r w:rsidRPr="009348D7">
        <w:rPr>
          <w:sz w:val="28"/>
          <w:szCs w:val="28"/>
        </w:rPr>
        <w:t xml:space="preserve">существенное ускорение и удешевление процедуры реорганизации кредитных организаций путем слияния и присоединения. </w:t>
      </w: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На основе проведенного анализа активно развивающегося российского рынка банковских слияний и присоединений (только за 2006 год темп роста сделок составил 215% по сравнению с 2005) можно выделить следующие его особенности: </w:t>
      </w:r>
    </w:p>
    <w:p w:rsidR="00E92331" w:rsidRPr="009348D7" w:rsidRDefault="00E92331" w:rsidP="009348D7">
      <w:pPr>
        <w:pStyle w:val="Default"/>
        <w:numPr>
          <w:ilvl w:val="0"/>
          <w:numId w:val="6"/>
        </w:numPr>
        <w:shd w:val="clear" w:color="000000" w:fill="auto"/>
        <w:tabs>
          <w:tab w:val="clear" w:pos="1429"/>
          <w:tab w:val="num" w:pos="1200"/>
        </w:tabs>
        <w:spacing w:line="360" w:lineRule="auto"/>
        <w:ind w:left="0" w:firstLine="720"/>
        <w:jc w:val="both"/>
        <w:rPr>
          <w:color w:val="auto"/>
          <w:sz w:val="28"/>
          <w:szCs w:val="28"/>
        </w:rPr>
      </w:pPr>
      <w:r w:rsidRPr="009348D7">
        <w:rPr>
          <w:color w:val="auto"/>
          <w:sz w:val="28"/>
          <w:szCs w:val="28"/>
        </w:rPr>
        <w:t>основной предпосылкой активизации процессов слияний и присоединений российских банков является их хроническая недокапитализация. Так, собственный капитал российских банков на 01.01</w:t>
      </w:r>
      <w:r w:rsidR="00C91E10" w:rsidRPr="009348D7">
        <w:rPr>
          <w:color w:val="auto"/>
          <w:sz w:val="28"/>
          <w:szCs w:val="28"/>
        </w:rPr>
        <w:t>.2008 составляет 2,67 трлн руб.</w:t>
      </w:r>
      <w:r w:rsidRPr="009348D7">
        <w:rPr>
          <w:color w:val="auto"/>
          <w:sz w:val="28"/>
          <w:szCs w:val="28"/>
        </w:rPr>
        <w:t xml:space="preserve">, что практически в 2 раза меньше суммы капиталов первого порядка трех крупнейших банков США по состоянию на </w:t>
      </w:r>
      <w:smartTag w:uri="urn:schemas-microsoft-com:office:smarttags" w:element="metricconverter">
        <w:smartTagPr>
          <w:attr w:name="ProductID" w:val="2004 г"/>
        </w:smartTagPr>
        <w:r w:rsidRPr="009348D7">
          <w:rPr>
            <w:color w:val="auto"/>
            <w:sz w:val="28"/>
            <w:szCs w:val="28"/>
          </w:rPr>
          <w:t>2004 г</w:t>
        </w:r>
      </w:smartTag>
      <w:r w:rsidRPr="009348D7">
        <w:rPr>
          <w:color w:val="auto"/>
          <w:sz w:val="28"/>
          <w:szCs w:val="28"/>
        </w:rPr>
        <w:t xml:space="preserve">.; </w:t>
      </w:r>
    </w:p>
    <w:p w:rsidR="00E92331" w:rsidRPr="009348D7" w:rsidRDefault="00E92331" w:rsidP="009348D7">
      <w:pPr>
        <w:pStyle w:val="Default"/>
        <w:numPr>
          <w:ilvl w:val="0"/>
          <w:numId w:val="6"/>
        </w:numPr>
        <w:shd w:val="clear" w:color="000000" w:fill="auto"/>
        <w:tabs>
          <w:tab w:val="clear" w:pos="1429"/>
          <w:tab w:val="num" w:pos="1200"/>
        </w:tabs>
        <w:spacing w:line="360" w:lineRule="auto"/>
        <w:ind w:left="0" w:firstLine="720"/>
        <w:jc w:val="both"/>
        <w:rPr>
          <w:color w:val="auto"/>
          <w:sz w:val="28"/>
          <w:szCs w:val="28"/>
        </w:rPr>
      </w:pPr>
      <w:r w:rsidRPr="009348D7">
        <w:rPr>
          <w:color w:val="auto"/>
          <w:sz w:val="28"/>
          <w:szCs w:val="28"/>
        </w:rPr>
        <w:t xml:space="preserve">мотивом слияний и присоединений российских банков является стремление к территориальной экспансии, расширение филиальных сетей, а не стремление сократить расходы, как это принято в развитых стран; </w:t>
      </w:r>
    </w:p>
    <w:p w:rsidR="00E92331" w:rsidRPr="009348D7" w:rsidRDefault="00E92331" w:rsidP="009348D7">
      <w:pPr>
        <w:pStyle w:val="Default"/>
        <w:numPr>
          <w:ilvl w:val="0"/>
          <w:numId w:val="6"/>
        </w:numPr>
        <w:shd w:val="clear" w:color="000000" w:fill="auto"/>
        <w:tabs>
          <w:tab w:val="clear" w:pos="1429"/>
          <w:tab w:val="num" w:pos="1200"/>
        </w:tabs>
        <w:spacing w:line="360" w:lineRule="auto"/>
        <w:ind w:left="0" w:firstLine="720"/>
        <w:jc w:val="both"/>
        <w:rPr>
          <w:color w:val="auto"/>
          <w:sz w:val="28"/>
          <w:szCs w:val="28"/>
        </w:rPr>
      </w:pPr>
      <w:r w:rsidRPr="009348D7">
        <w:rPr>
          <w:color w:val="auto"/>
          <w:sz w:val="28"/>
          <w:szCs w:val="28"/>
        </w:rPr>
        <w:t>возрастание роли иностранных банков как самостоятельных игроков на российском рынке и как стимулирующий фактор для консолидации российских банков. В результате этой экспансии за период с 01.01.2005 по 01.01.2008 доля нерезидентов в совокупном зарегистрированном уставном капитале всех кредитных организаций выросла с 6,19 до 25,08%, т. е. более чем в четыре раза. По состоянию на 01.01.2008 имеют лицензию на осуществление банковских операций 202 кредитные организации с участием нерезидентов, из них 62 банка, уставный капитал которых на 100% сформиров</w:t>
      </w:r>
      <w:r w:rsidR="00C91E10" w:rsidRPr="009348D7">
        <w:rPr>
          <w:color w:val="auto"/>
          <w:sz w:val="28"/>
          <w:szCs w:val="28"/>
        </w:rPr>
        <w:t>ан за счет средств нерезидентов</w:t>
      </w:r>
      <w:r w:rsidRPr="009348D7">
        <w:rPr>
          <w:color w:val="auto"/>
          <w:sz w:val="28"/>
          <w:szCs w:val="28"/>
        </w:rPr>
        <w:t xml:space="preserve">;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низкий уровень информационной открытости данных сделок. По данным компании Standart &amp; Poor’s, средний показатель раскрытия информации 10 крупнейшими банками мира (85%) почти вдвое выше</w:t>
      </w:r>
      <w:r w:rsidR="00C91E10" w:rsidRPr="009348D7">
        <w:rPr>
          <w:color w:val="auto"/>
          <w:sz w:val="28"/>
          <w:szCs w:val="28"/>
        </w:rPr>
        <w:t>, чем у российских коллег (36%)</w:t>
      </w:r>
      <w:r w:rsidRPr="009348D7">
        <w:rPr>
          <w:color w:val="auto"/>
          <w:sz w:val="28"/>
          <w:szCs w:val="28"/>
        </w:rPr>
        <w:t xml:space="preserve">;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несоответствие субъективных представлений менеджмента банка об эффективности будущего объединения результатам осуществленной сделки. Согласно международной статистике, 61% всех сделок слияний в банковской сфере заканчивается неудачей, только 23% можно признать удачными, а в остальных результаты определить не удается.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Происходящие процессы слияний и присоединений в банковском секторе РФ имеют ряд последствий. К положительным можно отнести: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создание на новом уровне многопрофильных финансовых, банковских и инвестиционных групп и холдингов, расширение деятельности самых крупных из них на страны СНГ;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диверсификация розницы, корпоративного и инвестиционного обслуживания в рамках банковской группы;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возрастание роли иностранного банковского капитала как стимулирующего фактор для консолидации российских банков;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постепенное сближение финансовой и производственной составляющей ФПГ. Банки стали теснее работать с предприятиями, осваивать новые операции, необходимые для сопровождения бизнеса своих партнеров.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Среди негативных последствий процессов банковских слияний и поглощений можно выделить: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появление «враждебных» или рейдерских сделок, зачастую с использованием административного или судебно-силового ресурса, как фактора осуществления враждебных сделок, при слабом развитии биржевого рынка банковских акций;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 возрастание роли иностранных банков как самостоятельных игроков на нашем рынке, а также увеличение доли их участия в уставном капитале российских банков.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Преодоление негативных последствий и решение проблем в данной сфере будет способствовать повышению устойчивости российской банковской системы, ее стабильности и конкурентоспособности. </w:t>
      </w:r>
    </w:p>
    <w:p w:rsidR="00E92331" w:rsidRPr="009348D7" w:rsidRDefault="00E92331" w:rsidP="009348D7">
      <w:pPr>
        <w:pStyle w:val="Default"/>
        <w:shd w:val="clear" w:color="000000" w:fill="auto"/>
        <w:spacing w:line="360" w:lineRule="auto"/>
        <w:ind w:firstLine="709"/>
        <w:jc w:val="both"/>
        <w:rPr>
          <w:color w:val="auto"/>
          <w:sz w:val="28"/>
          <w:szCs w:val="28"/>
        </w:rPr>
      </w:pPr>
    </w:p>
    <w:p w:rsidR="00E92331" w:rsidRPr="009348D7" w:rsidRDefault="00E92331" w:rsidP="009348D7">
      <w:pPr>
        <w:pStyle w:val="Default"/>
        <w:shd w:val="clear" w:color="000000" w:fill="auto"/>
        <w:spacing w:line="360" w:lineRule="auto"/>
        <w:ind w:firstLine="709"/>
        <w:jc w:val="both"/>
        <w:rPr>
          <w:sz w:val="28"/>
          <w:szCs w:val="28"/>
        </w:rPr>
      </w:pPr>
      <w:r w:rsidRPr="009348D7">
        <w:rPr>
          <w:b/>
          <w:bCs/>
          <w:sz w:val="28"/>
          <w:szCs w:val="28"/>
        </w:rPr>
        <w:t xml:space="preserve">Детерминанты внедрения системы управления активами и пассивами в коммерческих банках в России </w:t>
      </w:r>
    </w:p>
    <w:p w:rsidR="009348D7" w:rsidRPr="009348D7" w:rsidRDefault="009348D7" w:rsidP="009348D7">
      <w:pPr>
        <w:pStyle w:val="Default"/>
        <w:shd w:val="clear" w:color="000000" w:fill="auto"/>
        <w:spacing w:line="360" w:lineRule="auto"/>
        <w:ind w:firstLine="709"/>
        <w:jc w:val="both"/>
        <w:rPr>
          <w:sz w:val="28"/>
          <w:szCs w:val="28"/>
        </w:rPr>
      </w:pP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На протяжении двух последних десятилетий наблюдается рост актуальности и важности управления активами и пассивами, ALM (Asset and Liability Management). Возможности роста прибыли коммерческого банка, а, зачастую, и способность дальше осуществлять свои задачи зависит от эффективности ALM. ALM – это служба банка, к функциям которой относится управление финансовыми рисками, а также планирование собственного капитала и заемного финансирования, прогнозирование прибыльности (чистая процентная прибыль, чистая процентная маржа) и роста коммерческого банка. ALM также выполняет контрольную функцию над торговыми операциями на финансовых рынках, в частности на срочном рынке хеджирующих инструментов. </w:t>
      </w: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Повышение актуальности управления активами и пассивами произошло в результате роста волатильности на финансовых рынках, внедрения новых, более сложных, финансовых продуктов, усиления требований со стороны регулирующих структур, повышения внимания к внутренним проблемам банка со стороны руководства банков. В частности, в результате роста волатильности служба ALM взяла на себя функции управления изменчивыми активами и пассивами. При появлении новых требований регулирующих институтов (Федеральные регулирующие агентства в США, Банк Международных Расчетов, Европейский Союз, Банк Англии) относительно управления риском, уровня достаточности капитала и т.д. ALM взяла на себя функции контроля их выполнения. В результате расширения лимитов на позиции, увеличения объема совершаемых операций и как следствие повышения внимания руководства к процессам банков, финансовое планирование, сопоставление активов и пассивов стало неотъемлемой частью деятельности банков. С появлением на рынке новых продуктов ALM разрабатывает тактику их использования в зависимости от целей банка: для риск-менеджмента и удержания клиентов (защитная стратегия банка); для привлечения новых клиентов, выхода на новые рынки (наступательная стратегия банка); для противостояния конкуренции или для решения внутренних задач. </w:t>
      </w:r>
    </w:p>
    <w:p w:rsidR="00E92331" w:rsidRPr="009348D7" w:rsidRDefault="00E92331" w:rsidP="009348D7">
      <w:pPr>
        <w:pStyle w:val="Default"/>
        <w:shd w:val="clear" w:color="000000" w:fill="auto"/>
        <w:spacing w:line="360" w:lineRule="auto"/>
        <w:ind w:firstLine="709"/>
        <w:jc w:val="both"/>
        <w:rPr>
          <w:sz w:val="28"/>
          <w:szCs w:val="28"/>
        </w:rPr>
      </w:pPr>
      <w:r w:rsidRPr="009348D7">
        <w:rPr>
          <w:sz w:val="28"/>
          <w:szCs w:val="28"/>
        </w:rPr>
        <w:t xml:space="preserve">Несмотря на то, что в западных странах с развитой финансовой структурой, ALM – неотъемлемая часть деятельности банков, в России в рамках управления активами и пассивами осуществляются далеко не все свои функции. В результате проведенного исследования причин отсутствия ALM в российских банках, можно выделить факторы, при отсутствии которых ALM не способно выполнять все необходимые функции: </w:t>
      </w:r>
    </w:p>
    <w:p w:rsidR="00E92331" w:rsidRPr="009348D7" w:rsidRDefault="00E92331" w:rsidP="009348D7">
      <w:pPr>
        <w:pStyle w:val="Default"/>
        <w:pageBreakBefore/>
        <w:shd w:val="clear" w:color="000000" w:fill="auto"/>
        <w:spacing w:line="360" w:lineRule="auto"/>
        <w:ind w:firstLine="709"/>
        <w:jc w:val="both"/>
        <w:rPr>
          <w:color w:val="auto"/>
          <w:sz w:val="28"/>
          <w:szCs w:val="28"/>
        </w:rPr>
      </w:pPr>
      <w:r w:rsidRPr="009348D7">
        <w:rPr>
          <w:color w:val="auto"/>
          <w:sz w:val="28"/>
          <w:szCs w:val="28"/>
        </w:rPr>
        <w:t xml:space="preserve">2. Соответствующая бизнес – требованиям организационная структура, охватывающая все сегменты бизнеса банка (включая банковские комитеты, участников аналитической поддержки и принятия стратегических решений). ALM осуществляет распределение ресурсов и ответственности, исходя из организационной структуры.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3. Операционная инфраструктура (методики и положения), регламентирующая процедуры исполнения, иерархию обязанностей и ответственность различных функциональных единиц, в т.ч. в отношении управления активами и пассивами. ALM действует на основе данных документов.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4. Аналитическая поддержка ALM, т.е. методы и расчеты, взаимосвязанные между собой и проводимые с определенной периодичностью.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5. Интегрированная информационная система (банковские технологии), гарантирующая своевременный и полноценный учет всех возможных изменений. Все модули должны быть взаимосвязаны и не требовать дополнительных затрат времени для использования данных.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6. Информационная отчетность, соответствующая иерархии организации: все вовлеченные подразделения всегда будут получать необходимые отчеты для принятия решений.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7. Оценка финансовых результатов, как всего банка, так и отдельных сегментов бизнеса, филиалов, продуктов. Для корректного посегментного анализа прибыли должна быть внедрена система трансфертного ценообразования (то есть процесс условной передачи (аллокации) средств, полученных в результате привлечения пассивов и направляемых на финансирование активов по внутренней стоимости). Согласно данной системе, прибыль банка складывается из трех компонентов – дохода от активов (разница клиентской ставки и внутренней цены ресурсов), дохода от пассивных операций (разница трансфертной ставки и клиентской ставки) и прибыль ALM (финансовый результат, возникающий из-за неравномерного распределения активов и обязательств по срокам и валютам, для которых стоимость ресурсов различна).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8. Система контроля (регулирования) соблюдения обязательных и внутренних нормативов банка. К нормативам, за динамикой которых следит ALM, относятся норматив достаточности капитала, нормативы ликвидности, нормативы по валютному и процентному рискам.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9. Внутренний учет и внешний аудит (контроль), внедренный повсеместно и осуществляемый на постоянной основе. </w:t>
      </w:r>
    </w:p>
    <w:p w:rsidR="00C91E10" w:rsidRPr="009348D7" w:rsidRDefault="00C91E10" w:rsidP="009348D7">
      <w:pPr>
        <w:pStyle w:val="Default"/>
        <w:shd w:val="clear" w:color="000000" w:fill="auto"/>
        <w:spacing w:line="360" w:lineRule="auto"/>
        <w:ind w:firstLine="709"/>
        <w:jc w:val="both"/>
        <w:rPr>
          <w:color w:val="auto"/>
          <w:sz w:val="28"/>
          <w:szCs w:val="28"/>
        </w:rPr>
      </w:pPr>
    </w:p>
    <w:p w:rsidR="00E92331" w:rsidRPr="009348D7" w:rsidRDefault="00E92331" w:rsidP="009348D7">
      <w:pPr>
        <w:pStyle w:val="Default"/>
        <w:shd w:val="clear" w:color="000000" w:fill="auto"/>
        <w:spacing w:line="360" w:lineRule="auto"/>
        <w:ind w:firstLine="709"/>
        <w:jc w:val="both"/>
        <w:rPr>
          <w:sz w:val="28"/>
          <w:szCs w:val="28"/>
        </w:rPr>
      </w:pPr>
      <w:r w:rsidRPr="009348D7">
        <w:rPr>
          <w:b/>
          <w:bCs/>
          <w:sz w:val="28"/>
          <w:szCs w:val="28"/>
        </w:rPr>
        <w:t xml:space="preserve">Влияние уровня внешней задолженности коммерческих банков на устойчивость банковского сектора России </w:t>
      </w:r>
    </w:p>
    <w:p w:rsidR="009348D7" w:rsidRDefault="009348D7" w:rsidP="009348D7">
      <w:pPr>
        <w:pStyle w:val="Default"/>
        <w:shd w:val="clear" w:color="000000" w:fill="auto"/>
        <w:spacing w:line="360" w:lineRule="auto"/>
        <w:ind w:firstLine="709"/>
        <w:jc w:val="both"/>
        <w:rPr>
          <w:sz w:val="28"/>
          <w:szCs w:val="28"/>
        </w:rPr>
      </w:pP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sz w:val="28"/>
          <w:szCs w:val="28"/>
        </w:rPr>
        <w:t xml:space="preserve">Привлечение внешнего финансирования позволяет экономическим агентам увеличивать объем средств и снижать стоимость заимствования, что стимулирует инвестиции, потребление и рост ВВП. Тем не менее, опыт недавних кризисов (азиатский кризис </w:t>
      </w:r>
      <w:smartTag w:uri="urn:schemas-microsoft-com:office:smarttags" w:element="metricconverter">
        <w:smartTagPr>
          <w:attr w:name="ProductID" w:val="1997 г"/>
        </w:smartTagPr>
        <w:r w:rsidRPr="009348D7">
          <w:rPr>
            <w:sz w:val="28"/>
            <w:szCs w:val="28"/>
          </w:rPr>
          <w:t>1997 г</w:t>
        </w:r>
      </w:smartTag>
      <w:r w:rsidRPr="009348D7">
        <w:rPr>
          <w:sz w:val="28"/>
          <w:szCs w:val="28"/>
        </w:rPr>
        <w:t xml:space="preserve">., кризис в странах Латинской Америки в 2002 гг.) свидетельствует о том, что активные внешние заимствования </w:t>
      </w:r>
      <w:r w:rsidRPr="009348D7">
        <w:rPr>
          <w:color w:val="auto"/>
          <w:sz w:val="28"/>
          <w:szCs w:val="28"/>
        </w:rPr>
        <w:t xml:space="preserve">существенно увеличивают риски для экономики. При этом многие финансовые кризисы часто возникали в условиях, когда внешняя задолженность страны в целом оставалась на низком уровне, однако имели место дисбалансы в отдельных секторах и в структуре долга. В силу ряда причин банки оказываются более уязвимыми к возможным шокам, чем нефинансовые предприятия. Привлечение иностранных заимствований заключает в себе как выгоды, так и риски, и окончательный эффект для экономики и банковского сектора во многом зависит от того, оптимален ли выбранный уровень внешнего долга, эффективно ли банки управляют рисками. В таких условиях все более актуальной становится проблема оценки рисков и определения приемлемого уровня внешних заимствований банков.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Целью настоящего исследования является оценка устойчивости банковского сектора РФ при текущем уровне внешней задолженности банков, а также определение возможностей и условий дальнейшего увеличения внешнего долга с точки зрения минимизации подверженности банков негативному воздействию стрессовых факторов. Научной новизной работы является использование стресс-тестирования для анализа проблемы внешней задолженности российских коммерческих банков.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Настоящее исследование состоит из двух этапов. Сначала проводится стресс-тестирование банковского сектора при текущем уровне внешнего долга (20,2% по отношению к пассивам кредитных организаций на 01.10.2007). При проведении стресс-тестирования используется методика сценарного анализа, и оцениваются основные виды риска: процентный, валютный, кредитный и риск ликвидности. Стресс-сценарий предполагает снижение цены на нефть до 40 долл./баррель, ослабление курса рубля к основным мировым валютам на 22%, рост процентных ставок на 4 п.п. На втором этапе предполагается, что банки привлекли дополнительные внешние займы, в результате чего доля внешнего долга в пассивах увеличилась до 30%. Считаем, что банки направят эти средства на кредитование компаний и физических лиц в той же пропорции, в какой эти статьи активов соотносятся на данный момент. При этом рассматриваем два варианта структуры привлечения и размещения средств. В первом случае банки привлекают средства в виде кредитов зарубежных банков в иностранной валюте и размещают их также в иностранной валюте. Во втором случае банки выпускают еврооблигации в иностранной валюте, однако кредиты выдают как в иностранной валюте, так и в рублях. Для обоих вариантов проводится стресс-тестирование, определяются возможности по сокращению рисков. Анализ строится на основании статистических данных Банка России по внешнему долгу (“Платежный баланс и внешний долг РФ”) и по коммерческим банкам (Обзор банковского сектора, Бюллетень банковской статистики), а также на основании агрегированных автором балансовых данных банков по форме 101 и статистики Cbonds (www.cbonds.ru). Параметры стресс-сценария определяются в результате эконометрического исследования и международных сопоставлений (Южная Корея, Польша).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В результате проведенного исследования были получены следующие выводы: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1. Текущий уровень внешней задолженности банков является приемлемым с точки зрения сохранения устойчивости банковского сектора РФ в случае негативных изменений. Серьезной защитой от процентного риска является существенный объем средств на расчетных и текущих счетах, не чувствительных к изменению процентной ставки. Открытая позиция в иностранной валюте на 01.10.2007 является сбалансированной. Однако в результате роста просроченной задолженности суммарные потери банков в случае реализации стресс-сценария составят 166,4 млрд. руб. (показатель “собственный капитал/активы” при этом снизится с 16% до 15%).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2. Тем не менее, в этой ситуации присутствует значительный риск ликвидности. Хотя объем ресурсов, необходимый банкам в целом, может быть предоставлен Банком России, сохраняются значительные риски, вызванные неравномерностью распределения ликвидных активов по банковской системе. Величина потерь от риска ликвидности будет зависеть от того, смогут ли получить оперативное финансирование все банки, испытывающие потребность в ликвидности, что в свою очередь будет определяться наличием в их портфеле бумаг из Ломбардного списка, а также нерыночных активов, которые могут стать предметом залога.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3. В случае увеличения доли иностранных заимствований в пассивах банков с 20,2% до 30%, устойчивость банковского сектора страны заметно снижается. Убытки банков при реализации кризисного сценария увеличиваются более чем в 2 раза по сравнению с вероятными убытками при текущем уровне внешней задолженности кредитных организаций (главным образом, за счет увеличения кредитного риска).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4. Более высокие убытки (332,4 против 254,5 млрд. руб.) возникают в случае, когда банки часть средств выдают в виде рублевых кредитов, увеличивая величину открытой валютной позиции до максимально разрешенного уровня – 20% от собственных средств (показатель “собственный капитал/активы” в этом варианте снижается с 14,4% до 12,5%). Риск ликвидности усиливается в большей степени, если внешнее финансирование привлекается в форме депозитов и кредитов зарубежных банков. В этом случае объем предъявленных к погашению обязательств банков при наступлении кризисного сценария может составить более 1300 млрд. руб., а потребность кредитных организаций в средствах рефинансирования ЦБ - свыше 850 млрд. руб.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5. Таким образом, можно сделать вывод, что более высокий уровень внешней задолженности – 30% по отношению к пассивам банков – приводит к заметному снижению устойчивости банковского сектора при реализации стресс-сценария. Для минимизации рисков следует стимулировать размещение долгосрочных долговых бумаг на международных рынках. Также снижению рисков будет способствовать ограничение объема открытой позиции в иностранных валютах и повышение доли внешнего долга в рублях. Необходимым условием для этого является дальнейшая либерализация валютной политики, постепенный переход к режиму свободно плавающего курса.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6. Основным риском для банковского сектора, как при текущем, так и при более высоком уровне внешнего долга, является риск ликвидности. Способствовать его минимизации будет создание сильных механизмов рефинансирования, позволяющих получать необходимое финансирование как крупным, так и небольшим банкам. </w:t>
      </w:r>
    </w:p>
    <w:p w:rsidR="00C91E10" w:rsidRPr="009348D7" w:rsidRDefault="00C91E10" w:rsidP="009348D7">
      <w:pPr>
        <w:pStyle w:val="Default"/>
        <w:shd w:val="clear" w:color="000000" w:fill="auto"/>
        <w:spacing w:line="360" w:lineRule="auto"/>
        <w:ind w:firstLine="709"/>
        <w:jc w:val="both"/>
        <w:rPr>
          <w:b/>
          <w:bCs/>
          <w:color w:val="auto"/>
          <w:sz w:val="28"/>
          <w:szCs w:val="28"/>
        </w:rPr>
      </w:pPr>
    </w:p>
    <w:p w:rsidR="00E92331" w:rsidRPr="009348D7" w:rsidRDefault="009348D7" w:rsidP="009348D7">
      <w:pPr>
        <w:pStyle w:val="Default"/>
        <w:shd w:val="clear" w:color="000000" w:fill="auto"/>
        <w:spacing w:line="360" w:lineRule="auto"/>
        <w:ind w:firstLine="709"/>
        <w:jc w:val="both"/>
        <w:rPr>
          <w:sz w:val="28"/>
          <w:szCs w:val="28"/>
        </w:rPr>
      </w:pPr>
      <w:r>
        <w:rPr>
          <w:b/>
          <w:bCs/>
          <w:sz w:val="28"/>
          <w:szCs w:val="28"/>
        </w:rPr>
        <w:br w:type="page"/>
      </w:r>
      <w:r w:rsidR="00E92331" w:rsidRPr="009348D7">
        <w:rPr>
          <w:b/>
          <w:bCs/>
          <w:sz w:val="28"/>
          <w:szCs w:val="28"/>
        </w:rPr>
        <w:t xml:space="preserve">Методологические подходы к оценке банковских рисков на фондовом рынке </w:t>
      </w:r>
    </w:p>
    <w:p w:rsidR="009348D7" w:rsidRDefault="009348D7" w:rsidP="009348D7">
      <w:pPr>
        <w:pStyle w:val="Default"/>
        <w:shd w:val="clear" w:color="000000" w:fill="auto"/>
        <w:spacing w:line="360" w:lineRule="auto"/>
        <w:ind w:firstLine="709"/>
        <w:jc w:val="both"/>
        <w:rPr>
          <w:sz w:val="28"/>
          <w:szCs w:val="28"/>
        </w:rPr>
      </w:pP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sz w:val="28"/>
          <w:szCs w:val="28"/>
        </w:rPr>
        <w:t xml:space="preserve">Для рыночной и переходной к рыночной экономики характерен определенный уровень нестабильности финансовой системы в целом. Предопределенная конкурентной средой, неустойчивыми, динамичными потребительскими предпочтениями, быстрым обновлением ассортимента услуг, востребованностью инновационных проектов, она проявляется в </w:t>
      </w:r>
      <w:r w:rsidRPr="009348D7">
        <w:rPr>
          <w:color w:val="auto"/>
          <w:sz w:val="28"/>
          <w:szCs w:val="28"/>
        </w:rPr>
        <w:t xml:space="preserve">деятельности банков и кредитных организаций в виде многочисленных и разнообразных банковских рисков.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Потери банков на фондовом рынке, финансовый кризис в США, негативное воздействие инфляции на эффективность работы банковской сектора способствовали тому, что вопросы теории, методологии и практики банковского риск - менеджмента стали актуальными в нашей стране. Решение любой экономической задачи должно опираться на правильное понимание сущности риска и механизма его исследования. Известно, что чем выше степень риска, тем больше шанс получить высокую прибыль. Исходя из этого, для банков становится важным определить риск, классифицировать его, выявить природу и условия возникновения, найти пути его оптимизации. Наиболее универсальной, в большой степени коррелирующей с положениями соглашения Базельского комитета является следующая классификация: </w:t>
      </w:r>
    </w:p>
    <w:p w:rsidR="00E92331" w:rsidRPr="009348D7" w:rsidRDefault="00E92331" w:rsidP="009348D7">
      <w:pPr>
        <w:pStyle w:val="Default"/>
        <w:numPr>
          <w:ilvl w:val="0"/>
          <w:numId w:val="3"/>
        </w:numPr>
        <w:shd w:val="clear" w:color="000000" w:fill="auto"/>
        <w:spacing w:line="360" w:lineRule="auto"/>
        <w:ind w:firstLine="709"/>
        <w:jc w:val="both"/>
        <w:rPr>
          <w:color w:val="auto"/>
          <w:sz w:val="28"/>
          <w:szCs w:val="28"/>
        </w:rPr>
      </w:pPr>
      <w:r w:rsidRPr="009348D7">
        <w:rPr>
          <w:color w:val="auto"/>
          <w:sz w:val="28"/>
          <w:szCs w:val="28"/>
        </w:rPr>
        <w:t xml:space="preserve">непосредственно банковские риски: кредитный, риск несбалансированной ликвидности, рыночные (процентные, валютные, </w:t>
      </w:r>
      <w:r w:rsidRPr="009348D7">
        <w:rPr>
          <w:b/>
          <w:bCs/>
          <w:color w:val="auto"/>
          <w:sz w:val="28"/>
          <w:szCs w:val="28"/>
        </w:rPr>
        <w:t>фондовый</w:t>
      </w:r>
      <w:r w:rsidRPr="009348D7">
        <w:rPr>
          <w:color w:val="auto"/>
          <w:sz w:val="28"/>
          <w:szCs w:val="28"/>
        </w:rPr>
        <w:t xml:space="preserve">), операционные; </w:t>
      </w:r>
    </w:p>
    <w:p w:rsidR="00E92331" w:rsidRPr="009348D7" w:rsidRDefault="00E92331" w:rsidP="009348D7">
      <w:pPr>
        <w:pStyle w:val="Default"/>
        <w:numPr>
          <w:ilvl w:val="0"/>
          <w:numId w:val="3"/>
        </w:numPr>
        <w:shd w:val="clear" w:color="000000" w:fill="auto"/>
        <w:spacing w:line="360" w:lineRule="auto"/>
        <w:ind w:firstLine="709"/>
        <w:jc w:val="both"/>
        <w:rPr>
          <w:color w:val="auto"/>
          <w:sz w:val="28"/>
          <w:szCs w:val="28"/>
        </w:rPr>
      </w:pPr>
      <w:r w:rsidRPr="009348D7">
        <w:rPr>
          <w:color w:val="auto"/>
          <w:sz w:val="28"/>
          <w:szCs w:val="28"/>
        </w:rPr>
        <w:t xml:space="preserve">общие риски: отраслевые риски, риски региона или страны.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Основы банковского регулирования были заложены международным банковским сообществом - Базельским комитетом банковского надзора. В настоящее время в России осуществляется внедрение подходов, предусмотренных Базелем II. Но Банк России отмечает, что их полноценная реализация невозможна без внесения существенных изменений в действующее российское законодательство. Тем не менее, переход на Базель II необходим для повышения финансовой надежности и стабильности российского банковского сектора и интеграции в мировую финансовую систему. Использование Базельских рекомендаций повысит конкурентоспособность отечественных банков, улучшит систему управления рисками. В целом, </w:t>
      </w:r>
      <w:r w:rsidRPr="009348D7">
        <w:rPr>
          <w:b/>
          <w:bCs/>
          <w:color w:val="auto"/>
          <w:sz w:val="28"/>
          <w:szCs w:val="28"/>
        </w:rPr>
        <w:t>основными проблемами</w:t>
      </w:r>
      <w:r w:rsidRPr="009348D7">
        <w:rPr>
          <w:color w:val="auto"/>
          <w:sz w:val="28"/>
          <w:szCs w:val="28"/>
        </w:rPr>
        <w:t xml:space="preserve">, стоящими перед российскими финансовыми учреждениями, является сравнительно небольшая история существования системы риск – менеджмента и автоматизированных инструментов управления банковскими рисками, отсутствие необходимой информации и нехватка опытного и квалифицированного персонала. Таким образом, в целях устойчивого развития банковского сектора государство должно способствовать формированию и усовершенствованию инфраструктуры регулирования и надзора за банковскими рисками.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Инфраструктура российского </w:t>
      </w:r>
      <w:r w:rsidRPr="009348D7">
        <w:rPr>
          <w:b/>
          <w:bCs/>
          <w:color w:val="auto"/>
          <w:sz w:val="28"/>
          <w:szCs w:val="28"/>
        </w:rPr>
        <w:t xml:space="preserve">фондового рынка </w:t>
      </w:r>
      <w:r w:rsidRPr="009348D7">
        <w:rPr>
          <w:color w:val="auto"/>
          <w:sz w:val="28"/>
          <w:szCs w:val="28"/>
        </w:rPr>
        <w:t xml:space="preserve">за последнее время существенно усовершенствовалась, однако, положительные изменения могут происходить и далее. Тенденция доминирования иностранных банков на российском фондовом рынке приведет к продолжению консолидации финансовой инфраструктуры, укрупнению брокерских и регистраторских компаний, ликвидации или объединению расчетных депозитариев, клиринговых центров и фондовых бирж. Степень доходности от деятельности на рынке ценных бумаг зависит от правильного определения и оценки величины фондового риска. Величина фондового риска определяется как сумма специального и общего фондового риска. Данный способ оценки величины фондового риска является достаточно результативным, но не совершенным. Необходимо перейти к более эффективному и точному вычислению данного риска, который предлагается Базельским комитетом, что приведет к снижению возможных потерь при осуществлении операций на фондовой бирже, и способствует развитию фондового рынка в России. </w:t>
      </w: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Разнообразный характер деятельности банков на рынке ценных бумаг определяет необходимость организации эффективной системы риск – менеджмента для управления фондовым риском банками в целях минимизации потенциальных убытков и повышения прибыльности. Современная </w:t>
      </w:r>
      <w:r w:rsidRPr="009348D7">
        <w:rPr>
          <w:b/>
          <w:bCs/>
          <w:color w:val="auto"/>
          <w:sz w:val="28"/>
          <w:szCs w:val="28"/>
        </w:rPr>
        <w:t>система риск – менеджмента</w:t>
      </w:r>
      <w:r w:rsidRPr="009348D7">
        <w:rPr>
          <w:color w:val="auto"/>
          <w:sz w:val="28"/>
          <w:szCs w:val="28"/>
        </w:rPr>
        <w:t xml:space="preserve">, включающая эффективную политику кредитной организации в области фондового риска, создание полной и подробной методологической базы, результативное распределение должностных обязанностей и организации связей между структурными подразделениями, организацию процесса управления рисками, является диалектически развивающейся категорией. Регулирование фондового риска осуществляется при помощи таких методов, как диверсификация инвестиционного портфеля ценных бумаг, хеджирование, создание резервов для покрытия возможных убытков по операциям с ценными бумагами, которые концентрируются в резервных (страховых) фондах. Несомненным шагом вперед в риск – менеджменте является внедрение методологии VaR. Её преимущество состоит в получении стоимостных оценок возможных потерь с заранее утвержденной вероятностью, в чувствительности к фондовому рынку, доступности и сопоставимости результатов для контроля регулирующими органами и контрагентами. Но необходимо усложнение методик анализа и контроля фондового риска в соответствии с положениями Базель II. Также, финансовый институт, использующий эффективную систему управления риском по операциям с ценными бумагами, характеризуется меньшей чувствительностью к негативному влиянию разнообразных обстоятельств и обладает большей стабильностью по сравнению с конкурентами. При управлении риском по операциям на фондовой бирже банками используется страхование риска как вспомогательный метод. Эффективность привлечения страховых агентств кредитными организациями напрямую зависит от степени развитости рынка страхования фондового риска и наличия «вспомогательных» посредников — страховых брокеров или агентств. </w:t>
      </w:r>
    </w:p>
    <w:p w:rsidR="00C91E10" w:rsidRPr="009348D7" w:rsidRDefault="00C91E10" w:rsidP="009348D7">
      <w:pPr>
        <w:pStyle w:val="Default"/>
        <w:shd w:val="clear" w:color="000000" w:fill="auto"/>
        <w:spacing w:line="360" w:lineRule="auto"/>
        <w:ind w:firstLine="709"/>
        <w:jc w:val="both"/>
        <w:rPr>
          <w:color w:val="auto"/>
          <w:sz w:val="28"/>
          <w:szCs w:val="28"/>
        </w:rPr>
      </w:pPr>
    </w:p>
    <w:p w:rsidR="00C91E10" w:rsidRPr="009348D7" w:rsidRDefault="009348D7" w:rsidP="009348D7">
      <w:pPr>
        <w:pStyle w:val="Default"/>
        <w:shd w:val="clear" w:color="000000" w:fill="auto"/>
        <w:spacing w:line="360" w:lineRule="auto"/>
        <w:ind w:firstLine="709"/>
        <w:jc w:val="both"/>
        <w:rPr>
          <w:b/>
          <w:color w:val="auto"/>
          <w:sz w:val="28"/>
          <w:szCs w:val="28"/>
        </w:rPr>
      </w:pPr>
      <w:r>
        <w:rPr>
          <w:b/>
          <w:color w:val="auto"/>
          <w:sz w:val="28"/>
          <w:szCs w:val="28"/>
        </w:rPr>
        <w:br w:type="page"/>
      </w:r>
      <w:r w:rsidR="00C91E10" w:rsidRPr="009348D7">
        <w:rPr>
          <w:b/>
          <w:color w:val="auto"/>
          <w:sz w:val="28"/>
          <w:szCs w:val="28"/>
        </w:rPr>
        <w:t>Заключение</w:t>
      </w:r>
    </w:p>
    <w:p w:rsidR="009348D7" w:rsidRDefault="009348D7" w:rsidP="009348D7">
      <w:pPr>
        <w:pStyle w:val="Default"/>
        <w:shd w:val="clear" w:color="000000" w:fill="auto"/>
        <w:spacing w:line="360" w:lineRule="auto"/>
        <w:ind w:firstLine="709"/>
        <w:jc w:val="both"/>
        <w:rPr>
          <w:color w:val="auto"/>
          <w:sz w:val="28"/>
          <w:szCs w:val="28"/>
        </w:rPr>
      </w:pPr>
    </w:p>
    <w:p w:rsidR="00E92331" w:rsidRPr="009348D7" w:rsidRDefault="00E92331" w:rsidP="009348D7">
      <w:pPr>
        <w:pStyle w:val="Default"/>
        <w:shd w:val="clear" w:color="000000" w:fill="auto"/>
        <w:spacing w:line="360" w:lineRule="auto"/>
        <w:ind w:firstLine="709"/>
        <w:jc w:val="both"/>
        <w:rPr>
          <w:color w:val="auto"/>
          <w:sz w:val="28"/>
          <w:szCs w:val="28"/>
        </w:rPr>
      </w:pPr>
      <w:r w:rsidRPr="009348D7">
        <w:rPr>
          <w:color w:val="auto"/>
          <w:sz w:val="28"/>
          <w:szCs w:val="28"/>
        </w:rPr>
        <w:t xml:space="preserve">Подводя итог, следует отметить, что как страховые, так и кредитные организации заинтересованы в продвижении программ страхования фондовых рисков. Но невозможность быстрого развития этого направления страхового бизнеса связана с закрытостью банковской информации, отсутствием статистики размеров убытков банков при осуществлении деятельности на фондовой бирже, недостаточная организация риск - менеджмента. Таким образом, эффективная оценка банковских рисков на фондовом рынке и организация системы риск - менеджмента в кредитных организациях — это гарантия их безопасности и залог того, что ведущие страховые компании увидят в них своих надежных, информационно доступных партнеров. Это необходимое условие перехода от разрозненных программ страхования фондовых рисков банков к комплексному страхованию кредитных организаций с целью обеспечения устойчивости банковской и финансовой системы Российской Федерации. </w:t>
      </w:r>
    </w:p>
    <w:p w:rsidR="00E92331" w:rsidRPr="009348D7" w:rsidRDefault="00E92331" w:rsidP="009348D7">
      <w:pPr>
        <w:pStyle w:val="Default"/>
        <w:shd w:val="clear" w:color="000000" w:fill="auto"/>
        <w:spacing w:line="360" w:lineRule="auto"/>
        <w:ind w:firstLine="709"/>
        <w:jc w:val="both"/>
        <w:rPr>
          <w:color w:val="auto"/>
          <w:sz w:val="28"/>
          <w:szCs w:val="28"/>
        </w:rPr>
      </w:pPr>
    </w:p>
    <w:p w:rsidR="00C91E10" w:rsidRDefault="009348D7" w:rsidP="009348D7">
      <w:pPr>
        <w:pStyle w:val="Default"/>
        <w:shd w:val="clear" w:color="000000" w:fill="auto"/>
        <w:spacing w:line="360" w:lineRule="auto"/>
        <w:ind w:firstLine="709"/>
        <w:jc w:val="both"/>
        <w:rPr>
          <w:b/>
          <w:color w:val="auto"/>
          <w:sz w:val="28"/>
          <w:szCs w:val="28"/>
        </w:rPr>
      </w:pPr>
      <w:r>
        <w:rPr>
          <w:color w:val="auto"/>
          <w:sz w:val="28"/>
          <w:szCs w:val="28"/>
        </w:rPr>
        <w:br w:type="page"/>
      </w:r>
      <w:r w:rsidR="00C91E10" w:rsidRPr="009348D7">
        <w:rPr>
          <w:b/>
          <w:color w:val="auto"/>
          <w:sz w:val="28"/>
          <w:szCs w:val="28"/>
        </w:rPr>
        <w:t>Список литературы</w:t>
      </w:r>
    </w:p>
    <w:p w:rsidR="009348D7" w:rsidRPr="009348D7" w:rsidRDefault="009348D7" w:rsidP="009348D7">
      <w:pPr>
        <w:pStyle w:val="Default"/>
        <w:shd w:val="clear" w:color="000000" w:fill="auto"/>
        <w:spacing w:line="360" w:lineRule="auto"/>
        <w:ind w:firstLine="709"/>
        <w:jc w:val="both"/>
        <w:rPr>
          <w:b/>
          <w:color w:val="auto"/>
          <w:sz w:val="28"/>
          <w:szCs w:val="28"/>
        </w:rPr>
      </w:pPr>
    </w:p>
    <w:p w:rsidR="00C91E10" w:rsidRPr="009348D7" w:rsidRDefault="00C91E10" w:rsidP="009348D7">
      <w:pPr>
        <w:pStyle w:val="Disser1"/>
        <w:numPr>
          <w:ilvl w:val="0"/>
          <w:numId w:val="5"/>
        </w:numPr>
        <w:shd w:val="clear" w:color="000000" w:fill="auto"/>
        <w:tabs>
          <w:tab w:val="clear" w:pos="720"/>
          <w:tab w:val="num" w:pos="480"/>
        </w:tabs>
        <w:spacing w:line="360" w:lineRule="auto"/>
        <w:ind w:left="0" w:firstLine="0"/>
        <w:jc w:val="both"/>
        <w:rPr>
          <w:sz w:val="28"/>
          <w:szCs w:val="28"/>
        </w:rPr>
      </w:pPr>
      <w:r w:rsidRPr="009348D7">
        <w:rPr>
          <w:sz w:val="28"/>
          <w:szCs w:val="28"/>
        </w:rPr>
        <w:t xml:space="preserve">Авраменко А. (2006) Интернационализация банковской деятельности: этапы, формы, направления // Консультант директора. №7.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Кулик А. (2006) Иностранные банки на российском банковском рынке слияний и поглощений // Банковское дело. №12.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Михайлов В. (2006) Механизмы слияния и поглощения российских банков // Аналитический банковский журнал. №1.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Остриков Е.А. (2006) О проблемах слияний и присоединений коммерческих банков в России // Банковское дело. №9.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Рыбин Е.В. (2007) Слияния и поглощения банков в России как фактор экспансии иностранного банковского капитала // Деньги и кредит. №3.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Тавасиев А.М. , Михайлов В.В. (2007) Объединительные процессы в банковской сфере: виды и содержание // Банковское дело. №2. </w:t>
      </w:r>
    </w:p>
    <w:p w:rsidR="00C91E10" w:rsidRPr="009348D7" w:rsidRDefault="00C91E10"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Дж. Синки «Финансовый менеджмент в коммерческом банке и в индустрии финансовых услуг», М.: «Альпина Бизнес Букс», 2007 </w:t>
      </w:r>
    </w:p>
    <w:p w:rsidR="00C91E10" w:rsidRPr="009348D7" w:rsidRDefault="00C91E10" w:rsidP="009348D7">
      <w:pPr>
        <w:numPr>
          <w:ilvl w:val="0"/>
          <w:numId w:val="5"/>
        </w:numPr>
        <w:shd w:val="clear" w:color="000000" w:fill="auto"/>
        <w:tabs>
          <w:tab w:val="clear" w:pos="720"/>
          <w:tab w:val="num" w:pos="480"/>
        </w:tabs>
        <w:spacing w:line="360" w:lineRule="auto"/>
        <w:ind w:left="0" w:firstLine="0"/>
        <w:jc w:val="both"/>
        <w:rPr>
          <w:sz w:val="28"/>
          <w:szCs w:val="28"/>
          <w:lang w:val="en-US"/>
        </w:rPr>
      </w:pPr>
      <w:r w:rsidRPr="009348D7">
        <w:rPr>
          <w:sz w:val="28"/>
          <w:szCs w:val="28"/>
          <w:lang w:val="en-US"/>
        </w:rPr>
        <w:t xml:space="preserve">Srinivasulu, S. (2006) Asset/Liability Management. Euromoney - DC Gardner workbooks “A Balance Sheet Approach to Financial Crisis”, M. Allen, Ch. Rosenberg, Ch. Keller, B. Setser, N. Roubini, IMF Working Paper, December 2002 </w:t>
      </w:r>
    </w:p>
    <w:p w:rsidR="00E92331" w:rsidRPr="009348D7" w:rsidRDefault="00E92331"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Акинин</w:t>
      </w:r>
      <w:r w:rsidRPr="009348D7">
        <w:rPr>
          <w:color w:val="auto"/>
          <w:sz w:val="28"/>
          <w:szCs w:val="28"/>
          <w:lang w:val="en-US"/>
        </w:rPr>
        <w:t xml:space="preserve"> </w:t>
      </w:r>
      <w:r w:rsidRPr="009348D7">
        <w:rPr>
          <w:color w:val="auto"/>
          <w:sz w:val="28"/>
          <w:szCs w:val="28"/>
        </w:rPr>
        <w:t>П</w:t>
      </w:r>
      <w:r w:rsidRPr="009348D7">
        <w:rPr>
          <w:color w:val="auto"/>
          <w:sz w:val="28"/>
          <w:szCs w:val="28"/>
          <w:lang w:val="en-US"/>
        </w:rPr>
        <w:t>.</w:t>
      </w:r>
      <w:r w:rsidRPr="009348D7">
        <w:rPr>
          <w:color w:val="auto"/>
          <w:sz w:val="28"/>
          <w:szCs w:val="28"/>
        </w:rPr>
        <w:t>В</w:t>
      </w:r>
      <w:r w:rsidRPr="009348D7">
        <w:rPr>
          <w:color w:val="auto"/>
          <w:sz w:val="28"/>
          <w:szCs w:val="28"/>
          <w:lang w:val="en-US"/>
        </w:rPr>
        <w:t xml:space="preserve">., </w:t>
      </w:r>
      <w:r w:rsidRPr="009348D7">
        <w:rPr>
          <w:color w:val="auto"/>
          <w:sz w:val="28"/>
          <w:szCs w:val="28"/>
        </w:rPr>
        <w:t>Бут</w:t>
      </w:r>
      <w:r w:rsidRPr="009348D7">
        <w:rPr>
          <w:color w:val="auto"/>
          <w:sz w:val="28"/>
          <w:szCs w:val="28"/>
          <w:lang w:val="en-US"/>
        </w:rPr>
        <w:t xml:space="preserve"> </w:t>
      </w:r>
      <w:r w:rsidRPr="009348D7">
        <w:rPr>
          <w:color w:val="auto"/>
          <w:sz w:val="28"/>
          <w:szCs w:val="28"/>
        </w:rPr>
        <w:t>Т</w:t>
      </w:r>
      <w:r w:rsidRPr="009348D7">
        <w:rPr>
          <w:color w:val="auto"/>
          <w:sz w:val="28"/>
          <w:szCs w:val="28"/>
          <w:lang w:val="en-US"/>
        </w:rPr>
        <w:t>.</w:t>
      </w:r>
      <w:r w:rsidRPr="009348D7">
        <w:rPr>
          <w:color w:val="auto"/>
          <w:sz w:val="28"/>
          <w:szCs w:val="28"/>
        </w:rPr>
        <w:t>В</w:t>
      </w:r>
      <w:r w:rsidRPr="009348D7">
        <w:rPr>
          <w:color w:val="auto"/>
          <w:sz w:val="28"/>
          <w:szCs w:val="28"/>
          <w:lang w:val="en-US"/>
        </w:rPr>
        <w:t xml:space="preserve">. </w:t>
      </w:r>
      <w:r w:rsidRPr="009348D7">
        <w:rPr>
          <w:color w:val="auto"/>
          <w:sz w:val="28"/>
          <w:szCs w:val="28"/>
        </w:rPr>
        <w:t>Основы</w:t>
      </w:r>
      <w:r w:rsidRPr="009348D7">
        <w:rPr>
          <w:color w:val="auto"/>
          <w:sz w:val="28"/>
          <w:szCs w:val="28"/>
          <w:lang w:val="en-US"/>
        </w:rPr>
        <w:t xml:space="preserve"> </w:t>
      </w:r>
      <w:r w:rsidRPr="009348D7">
        <w:rPr>
          <w:color w:val="auto"/>
          <w:sz w:val="28"/>
          <w:szCs w:val="28"/>
        </w:rPr>
        <w:t>системы</w:t>
      </w:r>
      <w:r w:rsidRPr="009348D7">
        <w:rPr>
          <w:color w:val="auto"/>
          <w:sz w:val="28"/>
          <w:szCs w:val="28"/>
          <w:lang w:val="en-US"/>
        </w:rPr>
        <w:t xml:space="preserve"> </w:t>
      </w:r>
      <w:r w:rsidRPr="009348D7">
        <w:rPr>
          <w:color w:val="auto"/>
          <w:sz w:val="28"/>
          <w:szCs w:val="28"/>
        </w:rPr>
        <w:t>управления</w:t>
      </w:r>
      <w:r w:rsidRPr="009348D7">
        <w:rPr>
          <w:color w:val="auto"/>
          <w:sz w:val="28"/>
          <w:szCs w:val="28"/>
          <w:lang w:val="en-US"/>
        </w:rPr>
        <w:t xml:space="preserve"> </w:t>
      </w:r>
      <w:r w:rsidRPr="009348D7">
        <w:rPr>
          <w:color w:val="auto"/>
          <w:sz w:val="28"/>
          <w:szCs w:val="28"/>
        </w:rPr>
        <w:t>банковскими</w:t>
      </w:r>
      <w:r w:rsidRPr="009348D7">
        <w:rPr>
          <w:color w:val="auto"/>
          <w:sz w:val="28"/>
          <w:szCs w:val="28"/>
          <w:lang w:val="en-US"/>
        </w:rPr>
        <w:t xml:space="preserve"> </w:t>
      </w:r>
      <w:r w:rsidRPr="009348D7">
        <w:rPr>
          <w:color w:val="auto"/>
          <w:sz w:val="28"/>
          <w:szCs w:val="28"/>
        </w:rPr>
        <w:t>рисками</w:t>
      </w:r>
      <w:r w:rsidRPr="009348D7">
        <w:rPr>
          <w:color w:val="auto"/>
          <w:sz w:val="28"/>
          <w:szCs w:val="28"/>
          <w:lang w:val="en-US"/>
        </w:rPr>
        <w:t xml:space="preserve"> // </w:t>
      </w:r>
      <w:r w:rsidRPr="009348D7">
        <w:rPr>
          <w:color w:val="auto"/>
          <w:sz w:val="28"/>
          <w:szCs w:val="28"/>
        </w:rPr>
        <w:t>Финансы</w:t>
      </w:r>
      <w:r w:rsidRPr="009348D7">
        <w:rPr>
          <w:color w:val="auto"/>
          <w:sz w:val="28"/>
          <w:szCs w:val="28"/>
          <w:lang w:val="en-US"/>
        </w:rPr>
        <w:t xml:space="preserve"> </w:t>
      </w:r>
      <w:r w:rsidRPr="009348D7">
        <w:rPr>
          <w:color w:val="auto"/>
          <w:sz w:val="28"/>
          <w:szCs w:val="28"/>
        </w:rPr>
        <w:t>и</w:t>
      </w:r>
      <w:r w:rsidRPr="009348D7">
        <w:rPr>
          <w:color w:val="auto"/>
          <w:sz w:val="28"/>
          <w:szCs w:val="28"/>
          <w:lang w:val="en-US"/>
        </w:rPr>
        <w:t xml:space="preserve"> </w:t>
      </w:r>
      <w:r w:rsidRPr="009348D7">
        <w:rPr>
          <w:color w:val="auto"/>
          <w:sz w:val="28"/>
          <w:szCs w:val="28"/>
        </w:rPr>
        <w:t>кредит</w:t>
      </w:r>
      <w:r w:rsidRPr="009348D7">
        <w:rPr>
          <w:color w:val="auto"/>
          <w:sz w:val="28"/>
          <w:szCs w:val="28"/>
          <w:lang w:val="en-US"/>
        </w:rPr>
        <w:t xml:space="preserve">. </w:t>
      </w:r>
      <w:r w:rsidRPr="009348D7">
        <w:rPr>
          <w:color w:val="auto"/>
          <w:sz w:val="28"/>
          <w:szCs w:val="28"/>
        </w:rPr>
        <w:t xml:space="preserve">2007. № 13. </w:t>
      </w:r>
    </w:p>
    <w:p w:rsidR="00E92331" w:rsidRPr="009348D7" w:rsidRDefault="00E92331"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Бахолдин А.А. Финансовая стабильность, Денежно-кредитная политика и банковские риски // Финансы и кредит. 2007. № 5. </w:t>
      </w:r>
    </w:p>
    <w:p w:rsidR="00E92331" w:rsidRPr="009348D7" w:rsidRDefault="00E92331"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Банковские риски: под ред.д-ра экон. Наук, проф. О.И. Лаврушина и д-ра экон. Наук, проф. Н.И. Валенцевой. – 2-е изд., стер. – М.: КНОРУС, 2008. – 232 с. </w:t>
      </w:r>
    </w:p>
    <w:p w:rsidR="00E92331" w:rsidRPr="009348D7" w:rsidRDefault="00E92331"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Думная Н.Н. Риски и неопределённость в условиях новой экономики // Банковские услуги. 2007. № 5. </w:t>
      </w:r>
    </w:p>
    <w:p w:rsidR="00E92331" w:rsidRDefault="00E92331" w:rsidP="009348D7">
      <w:pPr>
        <w:pStyle w:val="Default"/>
        <w:numPr>
          <w:ilvl w:val="0"/>
          <w:numId w:val="5"/>
        </w:numPr>
        <w:shd w:val="clear" w:color="000000" w:fill="auto"/>
        <w:tabs>
          <w:tab w:val="clear" w:pos="720"/>
          <w:tab w:val="num" w:pos="480"/>
        </w:tabs>
        <w:spacing w:line="360" w:lineRule="auto"/>
        <w:ind w:left="0" w:firstLine="0"/>
        <w:jc w:val="both"/>
        <w:rPr>
          <w:color w:val="auto"/>
          <w:sz w:val="28"/>
          <w:szCs w:val="28"/>
        </w:rPr>
      </w:pPr>
      <w:r w:rsidRPr="009348D7">
        <w:rPr>
          <w:color w:val="auto"/>
          <w:sz w:val="28"/>
          <w:szCs w:val="28"/>
        </w:rPr>
        <w:t xml:space="preserve">Ермакова М.П. Система риск-менеджмента: роль страхования в кредитной организации // Банковские услуги. 2007. № 1. </w:t>
      </w:r>
      <w:bookmarkStart w:id="0" w:name="_GoBack"/>
      <w:bookmarkEnd w:id="0"/>
    </w:p>
    <w:sectPr w:rsidR="00E92331" w:rsidSect="009348D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19" w:rsidRDefault="00A75A19">
      <w:r>
        <w:separator/>
      </w:r>
    </w:p>
  </w:endnote>
  <w:endnote w:type="continuationSeparator" w:id="0">
    <w:p w:rsidR="00A75A19" w:rsidRDefault="00A7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D7" w:rsidRDefault="009348D7" w:rsidP="008F5B24">
    <w:pPr>
      <w:pStyle w:val="a6"/>
      <w:framePr w:wrap="around" w:vAnchor="text" w:hAnchor="margin" w:xAlign="right" w:y="1"/>
      <w:rPr>
        <w:rStyle w:val="a5"/>
      </w:rPr>
    </w:pPr>
  </w:p>
  <w:p w:rsidR="009348D7" w:rsidRDefault="009348D7" w:rsidP="009348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D7" w:rsidRDefault="0076467B" w:rsidP="008F5B24">
    <w:pPr>
      <w:pStyle w:val="a6"/>
      <w:framePr w:wrap="around" w:vAnchor="text" w:hAnchor="margin" w:xAlign="right" w:y="1"/>
      <w:rPr>
        <w:rStyle w:val="a5"/>
      </w:rPr>
    </w:pPr>
    <w:r>
      <w:rPr>
        <w:rStyle w:val="a5"/>
        <w:noProof/>
      </w:rPr>
      <w:t>2</w:t>
    </w:r>
  </w:p>
  <w:p w:rsidR="009348D7" w:rsidRDefault="009348D7" w:rsidP="009348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D7" w:rsidRDefault="009348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19" w:rsidRDefault="00A75A19">
      <w:r>
        <w:separator/>
      </w:r>
    </w:p>
  </w:footnote>
  <w:footnote w:type="continuationSeparator" w:id="0">
    <w:p w:rsidR="00A75A19" w:rsidRDefault="00A7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10" w:rsidRDefault="00C91E10" w:rsidP="000F0035">
    <w:pPr>
      <w:pStyle w:val="a3"/>
      <w:framePr w:wrap="around" w:vAnchor="text" w:hAnchor="margin" w:xAlign="right" w:y="1"/>
      <w:rPr>
        <w:rStyle w:val="a5"/>
      </w:rPr>
    </w:pPr>
  </w:p>
  <w:p w:rsidR="00C91E10" w:rsidRDefault="00C91E10" w:rsidP="00C91E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10" w:rsidRDefault="0076467B" w:rsidP="000F0035">
    <w:pPr>
      <w:pStyle w:val="a3"/>
      <w:framePr w:wrap="around" w:vAnchor="text" w:hAnchor="margin" w:xAlign="right" w:y="1"/>
      <w:rPr>
        <w:rStyle w:val="a5"/>
      </w:rPr>
    </w:pPr>
    <w:r>
      <w:rPr>
        <w:rStyle w:val="a5"/>
        <w:noProof/>
      </w:rPr>
      <w:t>2</w:t>
    </w:r>
  </w:p>
  <w:p w:rsidR="00C91E10" w:rsidRDefault="00C91E10" w:rsidP="00C91E10">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D7" w:rsidRDefault="009348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BC2BC1"/>
    <w:multiLevelType w:val="hybridMultilevel"/>
    <w:tmpl w:val="950BA8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D32985"/>
    <w:multiLevelType w:val="hybridMultilevel"/>
    <w:tmpl w:val="88526F7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3F83085"/>
    <w:multiLevelType w:val="hybridMultilevel"/>
    <w:tmpl w:val="3CDCE4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4330050"/>
    <w:multiLevelType w:val="hybridMultilevel"/>
    <w:tmpl w:val="75F0E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329F3C"/>
    <w:multiLevelType w:val="hybridMultilevel"/>
    <w:tmpl w:val="E25EF24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F31768E"/>
    <w:multiLevelType w:val="hybridMultilevel"/>
    <w:tmpl w:val="EA0A080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331"/>
    <w:rsid w:val="000F0035"/>
    <w:rsid w:val="00224BC1"/>
    <w:rsid w:val="00356643"/>
    <w:rsid w:val="00621BE7"/>
    <w:rsid w:val="00637269"/>
    <w:rsid w:val="0076467B"/>
    <w:rsid w:val="008F5B24"/>
    <w:rsid w:val="009348D7"/>
    <w:rsid w:val="00A75A19"/>
    <w:rsid w:val="00C91E10"/>
    <w:rsid w:val="00E92331"/>
    <w:rsid w:val="00ED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0E7443-11E2-4A5C-84A9-1D2B2C09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92331"/>
    <w:pPr>
      <w:autoSpaceDE w:val="0"/>
      <w:autoSpaceDN w:val="0"/>
      <w:adjustRightInd w:val="0"/>
    </w:pPr>
    <w:rPr>
      <w:color w:val="000000"/>
      <w:sz w:val="24"/>
      <w:szCs w:val="24"/>
    </w:rPr>
  </w:style>
  <w:style w:type="paragraph" w:customStyle="1" w:styleId="11">
    <w:name w:val="1заголовок1"/>
    <w:basedOn w:val="Default"/>
    <w:next w:val="Default"/>
    <w:uiPriority w:val="99"/>
    <w:rsid w:val="00E92331"/>
    <w:rPr>
      <w:color w:val="auto"/>
    </w:rPr>
  </w:style>
  <w:style w:type="paragraph" w:customStyle="1" w:styleId="1">
    <w:name w:val="1Автор"/>
    <w:basedOn w:val="Default"/>
    <w:next w:val="Default"/>
    <w:uiPriority w:val="99"/>
    <w:rsid w:val="00E92331"/>
    <w:rPr>
      <w:color w:val="auto"/>
    </w:rPr>
  </w:style>
  <w:style w:type="paragraph" w:customStyle="1" w:styleId="10">
    <w:name w:val="1универ"/>
    <w:basedOn w:val="Default"/>
    <w:next w:val="Default"/>
    <w:uiPriority w:val="99"/>
    <w:rsid w:val="00E92331"/>
    <w:rPr>
      <w:color w:val="auto"/>
    </w:rPr>
  </w:style>
  <w:style w:type="paragraph" w:customStyle="1" w:styleId="12">
    <w:name w:val="1факультет"/>
    <w:basedOn w:val="Default"/>
    <w:next w:val="Default"/>
    <w:uiPriority w:val="99"/>
    <w:rsid w:val="00E92331"/>
    <w:rPr>
      <w:color w:val="auto"/>
    </w:rPr>
  </w:style>
  <w:style w:type="paragraph" w:customStyle="1" w:styleId="Disser1">
    <w:name w:val="Disser1"/>
    <w:basedOn w:val="Default"/>
    <w:next w:val="Default"/>
    <w:uiPriority w:val="99"/>
    <w:rsid w:val="00E92331"/>
    <w:rPr>
      <w:color w:val="auto"/>
    </w:rPr>
  </w:style>
  <w:style w:type="paragraph" w:styleId="3">
    <w:name w:val="Body Text Indent 3"/>
    <w:basedOn w:val="Default"/>
    <w:next w:val="Default"/>
    <w:link w:val="30"/>
    <w:uiPriority w:val="99"/>
    <w:rsid w:val="00E92331"/>
    <w:rPr>
      <w:color w:val="auto"/>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header"/>
    <w:basedOn w:val="a"/>
    <w:link w:val="a4"/>
    <w:uiPriority w:val="99"/>
    <w:rsid w:val="00C91E1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91E10"/>
    <w:rPr>
      <w:rFonts w:cs="Times New Roman"/>
    </w:rPr>
  </w:style>
  <w:style w:type="paragraph" w:styleId="a6">
    <w:name w:val="footer"/>
    <w:basedOn w:val="a"/>
    <w:link w:val="a7"/>
    <w:uiPriority w:val="99"/>
    <w:rsid w:val="009348D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2014-03-13T06:08:00Z</dcterms:created>
  <dcterms:modified xsi:type="dcterms:W3CDTF">2014-03-13T06:08:00Z</dcterms:modified>
</cp:coreProperties>
</file>