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2C" w:rsidRPr="009768AC" w:rsidRDefault="00D72B2C" w:rsidP="00D72B2C">
      <w:pPr>
        <w:spacing w:before="120"/>
        <w:jc w:val="center"/>
        <w:rPr>
          <w:b/>
          <w:bCs/>
          <w:sz w:val="32"/>
          <w:szCs w:val="32"/>
        </w:rPr>
      </w:pPr>
      <w:r w:rsidRPr="009768AC">
        <w:rPr>
          <w:b/>
          <w:bCs/>
          <w:sz w:val="32"/>
          <w:szCs w:val="32"/>
        </w:rPr>
        <w:t>Алексей Ремизов</w:t>
      </w:r>
    </w:p>
    <w:p w:rsidR="00D72B2C" w:rsidRPr="00D72B2C" w:rsidRDefault="00D72B2C" w:rsidP="00D72B2C">
      <w:pPr>
        <w:spacing w:before="120"/>
        <w:ind w:firstLine="567"/>
        <w:jc w:val="both"/>
        <w:rPr>
          <w:sz w:val="28"/>
          <w:szCs w:val="28"/>
        </w:rPr>
      </w:pPr>
      <w:r w:rsidRPr="00D72B2C">
        <w:rPr>
          <w:sz w:val="28"/>
          <w:szCs w:val="28"/>
        </w:rPr>
        <w:t xml:space="preserve">Б. Михайловский </w:t>
      </w:r>
    </w:p>
    <w:p w:rsidR="00D72B2C" w:rsidRPr="00DD4078" w:rsidRDefault="00D72B2C" w:rsidP="00D72B2C">
      <w:pPr>
        <w:spacing w:before="120"/>
        <w:ind w:firstLine="567"/>
        <w:jc w:val="both"/>
      </w:pPr>
      <w:r w:rsidRPr="00DD4078">
        <w:t xml:space="preserve">Ремизов Алексей Михайлович (1877—) — беллетрист. Р. в богатой старокупеческой семье. Получил религиозное воспитание — жил в монастырях, паломничал. Рано начал жить самостоятельно. Окончил Московский ун-т по естественному отделению. Побывал в тюрьме и ссылке, много странствовал по глухим углам России. Печататься начал с 1902, преимущественно в журналах символистского направления. Первая книга вышла в 1907. С 1921 — белоэмигрант. </w:t>
      </w:r>
    </w:p>
    <w:p w:rsidR="00D72B2C" w:rsidRPr="00DD4078" w:rsidRDefault="00D72B2C" w:rsidP="00D72B2C">
      <w:pPr>
        <w:spacing w:before="120"/>
        <w:ind w:firstLine="567"/>
        <w:jc w:val="both"/>
      </w:pPr>
      <w:r w:rsidRPr="00DD4078">
        <w:t xml:space="preserve">Как писатель Ремизов сложился в период реакции после революции 1905. Разложение патриархальной торговой буржуазии в условиях перерастания промышленного капитализма в монополистический капитализм, диференциация старого купечества на промышленно-финансовую крупную буржуазию, с одной стороны, и на мелкую буржуазию — с другой, определили собой содержание и направление творчества Ремизова. </w:t>
      </w:r>
    </w:p>
    <w:p w:rsidR="00D72B2C" w:rsidRPr="00DD4078" w:rsidRDefault="00D72B2C" w:rsidP="00D72B2C">
      <w:pPr>
        <w:spacing w:before="120"/>
        <w:ind w:firstLine="567"/>
        <w:jc w:val="both"/>
      </w:pPr>
      <w:r w:rsidRPr="00DD4078">
        <w:t xml:space="preserve">Религиозно-этическая проблематика — основная для Р. Исходным является образ мира как царства дьявола, бессмысленного рока. В «Крестовых сестрах», в «Неуемном бубне» дурная бесконечность бытия воплощается в повторности лейтмотивов, рисующих убогость, бессмысленность существования. В «Пруду» картины зверского быта, кошмаров и уродства жизни завершаются образом торжествующего дьявола. В «Часах» тема рока, властвующего над миром дьявола, сливается с символом башенных часов; освобождение от власти рока, победа над временем достигаются на пути безумия. Но сквозь явления бесноватого мира Р. усматривает мир благостной природы и бога, хотя и отошедшего от своего творения в потусторонние дали. Дуализм Ремизова получает острое выражение в теме «богоборчества»; у Р. ропщут на бога даже патриархальные, богомольные старушки и сама богоматерь. Религиозное раздвоение разрешается у Р. в юродстве, в религии жертвенного страдания, в примирении с ужасами жизни. Положительные персонажи Р. — безвинные страдальцы, религиозная богема бродячей Руси («Бесприютная», «Покровенная», «Крестовые сестры» и др.). </w:t>
      </w:r>
    </w:p>
    <w:p w:rsidR="00D72B2C" w:rsidRPr="00DD4078" w:rsidRDefault="00D72B2C" w:rsidP="00D72B2C">
      <w:pPr>
        <w:spacing w:before="120"/>
        <w:ind w:firstLine="567"/>
        <w:jc w:val="both"/>
      </w:pPr>
      <w:r w:rsidRPr="00DD4078">
        <w:t xml:space="preserve">В социальной действительности Р. видит «явь полусонную, уродливо-кошмарную, непонятную», повсюду царят «вздор, нескладица, неразбериха», природа у Ремизова полна бесовщины. Изображаемый Р. быт глухих провинциальных городов, столичных задворок рисуется им остро-гротескно; реальная бытопись густо прослаивается фантастикой, обессмысливающей действительность. Жизнь персонажей Р. — мелких чиновников, ремесленников, купцов, интеллигентов — полна несуразных происшествий, нелепых поступков, сумасбродства. Реальность у Ремизова постоянно прорывается «кажимостями», бредами (больного, пьяного), снами, в которых обнажается нелепица, прикрытая в бодрственной жизни мнимой разумностью. Систематически используемые Р. лейтмотивы, подчас неожиданно и сумбурно сочетаясь в своих повторах, образуют алогические конструкции; развертывание логического хода мысли, психического состояния, переживания субъекта постоянно замещается воспроизведением потока ощущений, подчас галлюцинаторных. Некоторые циклы миниатюр Р. — не мотивированная ничем сюжетная заумь, дополняемая словесной заумью припевов, заговоров и всякого рода орнаментальной словесностью (напр. «Посолонь»). </w:t>
      </w:r>
    </w:p>
    <w:p w:rsidR="00D72B2C" w:rsidRPr="00DD4078" w:rsidRDefault="00D72B2C" w:rsidP="00D72B2C">
      <w:pPr>
        <w:spacing w:before="120"/>
        <w:ind w:firstLine="567"/>
        <w:jc w:val="both"/>
      </w:pPr>
      <w:r w:rsidRPr="00DD4078">
        <w:t xml:space="preserve">Для Р. характерна фрагментарная композиция, соединение разрозненных эпизодов. Сюжетный стержень повествования слабо ощутим; основные события затушевываются, место обобщающего, генерализирующего изложения занимает показ частных эпизодов, деталей быта. Члены изображаемого Р. общества лишены внутренней связи друг с другом, они живут как бы в одиночном заключении; здесь «человек человеку — бревно». Тенденция Р. к фрагментарности реализуется и в циклах миниатюр и в жанре «tableaux» — «литературных картинок» — религиозных, для детей, сновидений («С очей на очи», «Кузовок», «Бредовая доля», циклы в сб. «Трава-мурава», «Посолонь» и др.). </w:t>
      </w:r>
    </w:p>
    <w:p w:rsidR="00D72B2C" w:rsidRPr="00DD4078" w:rsidRDefault="00D72B2C" w:rsidP="00D72B2C">
      <w:pPr>
        <w:spacing w:before="120"/>
        <w:ind w:firstLine="567"/>
        <w:jc w:val="both"/>
      </w:pPr>
      <w:r w:rsidRPr="00DD4078">
        <w:t xml:space="preserve">Современная русская действительность и вся русская история «петербургского периода» рисуются Ремизовым как царство беззакония, насилия, косности. Вместе со славянофилами Р. датирует гибельный поворот русской истории эпохой Петра I («Царь Максимилиан», «Крестовые сестры», «Слово о погибели Земли Русской»). Средоточие зла для Ремизова — в современном индустриальном городе, который он предает очистительному огню («Пожар», «Град обреченный» и др.). Злу существующего общественного уклада Ремизов противопоставляет идиллию благообразного старокупеческого быта, освященную религией допетровскую «святую Русь» — идеал патриархального торгового капитала, действовавшего в недрах феодального общества. Реакционную романтику византийского средневековья и феодальной Руси противопоставляет Ремизов в качестве идеала культуре промышленного капитализма (ср. Вяч. Иванов, С. Соловьев, Рерих, Стеллецкий, отчасти Врубель, Кузмин и др.). Под этим знаком создается иконописно-марионеточный театр Р. — стилизации в духе средневековых действ, «школьного театра» XVII века, «народного театра» («Бесовское действо», «Действо о Георгии Храбром», «Трагедия об Иуде», «Царь Максимилиан»), цикл модернизированных переработок апокрифов, житий, притч («Лимонарь», «Пляс Иродиады», «Трава-мурава» и др.), стилизации в духе византийского романа («Аполлон Тирский»). Р. обращается к докапиталистическому фольклору, подвергая его стилизации («Посолонь», «Докука и балагурье», «Весеннее порошье» и др.). </w:t>
      </w:r>
    </w:p>
    <w:p w:rsidR="00D72B2C" w:rsidRPr="00DD4078" w:rsidRDefault="00D72B2C" w:rsidP="00D72B2C">
      <w:pPr>
        <w:spacing w:before="120"/>
        <w:ind w:firstLine="567"/>
        <w:jc w:val="both"/>
      </w:pPr>
      <w:r w:rsidRPr="00DD4078">
        <w:t xml:space="preserve">Но, идеализируя старину, Р. не может не видеть и темной ее стороны. В «Покровенной» он показывает удушающую власть застойного быта, в «Крестовых сестрах» — самодурство старого купечества. Особенно ярко произвол этого мира обрисован в романе «Пруд» в образах старшего поколения старокупеческой семьи Огорелышевых. Грехи, неправедность старозаветного мира должны быть искуплены, и этим искуплением, с точки зрения Ремизова, является революция, стихийный бунт, наказание, которое нужно жертвенно претерпеть для освобождения от накопившейся скверны. Таков именно «очистительный», «жертвенный» бунт молодого деклассирующегося поколения Огорелышевых, Финогеновых в «Пруду». Подготовляемая пролетариатом революция ненавистна Ремизову, и его произведения полны клеветы и злобы по адресу революционеров, социал-демократов. Революционеры, политические ссыльные у Ремизова — обманщики, интриганы, нелепые фантазеры, нищие духом фанатики («Пруд», «Петушок», «Покровенная», «Новый год» и др.). В революционерах октябрьских дней Р. увидел «человекоборцев безбожных, на земле мечтающих создать рай земной». В «Слове о погибели Земли Русской» Ремизов до конца раскрыл свою реакционную сущность, при виде победоносной революции пожелал «неволи вместо свободы», воспел хвалу Руси, которая жила «на трех китах». </w:t>
      </w:r>
    </w:p>
    <w:p w:rsidR="00D72B2C" w:rsidRPr="00DD4078" w:rsidRDefault="00D72B2C" w:rsidP="00D72B2C">
      <w:pPr>
        <w:spacing w:before="120"/>
        <w:ind w:firstLine="567"/>
        <w:jc w:val="both"/>
      </w:pPr>
      <w:r w:rsidRPr="00DD4078">
        <w:t xml:space="preserve">В символистском движении, объединившем различные реакционные социальные группы, Ремизов представлял те слои патриархального торгового капитала, которые не умели «европеизироваться», перестроиться применительно к условиям стремительного развития промышленного и финансового капитала и которые, деградируя, опускались в ряды мелкой буржуазии. Ремизов — значительный мастер слова, оказавший своей стилистикой, а отчасти и тематикой, заметное влияние на Замятина, Рукавишникова («Проклятый род»), Пильняка («Голый год»). Ближе всего сам Р. примыкает к традициям Лескова в своем тяготении к старозаветной Руси, в изображении церковного мира, в орнаментальности, «узорчатости» речи, стилизации в духе «народной этимологии», использовании лексики, оборотов речи, почерпнутых из старинных обрядов, народных песен, введении редкостных «словечек», прибауток, поговорок, всякого рода диалектизмов (подчас заумных). Психологические мотивы, связанные с миром деклассирующихся, «униженных и оскорбленных» персонажей Р., перекликаются с мотивами «подполья» Достоевского («Крестовые сестры»). </w:t>
      </w:r>
    </w:p>
    <w:p w:rsidR="00D72B2C" w:rsidRPr="009768AC" w:rsidRDefault="00D72B2C" w:rsidP="00D72B2C">
      <w:pPr>
        <w:spacing w:before="120"/>
        <w:jc w:val="center"/>
        <w:rPr>
          <w:b/>
          <w:bCs/>
          <w:sz w:val="28"/>
          <w:szCs w:val="28"/>
        </w:rPr>
      </w:pPr>
      <w:r w:rsidRPr="009768AC">
        <w:rPr>
          <w:b/>
          <w:bCs/>
          <w:sz w:val="28"/>
          <w:szCs w:val="28"/>
        </w:rPr>
        <w:t xml:space="preserve">Список литературы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I. Сочинения, 8 тт., изд. «Шиповник», СПБ, 1910—1912 (тт. I, II, III. Рассказы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т. IV. Пруд, Роман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т. V. Рассказы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т. VI. Сказки, Посолонь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т. VII. Отреченные повести. Лимонарь. Паралипоменон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т. VIII. Русальные действа)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Докука и балагурье. Народные сказки, изд. «Сирин», СПБ, 1914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Подорожие, Рассказы, изд. «Сирин», СПБ, 1913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Весеннее порошье, Рассказы, П., 1915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Николины притчи, П., 1917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Странница, Повесть, П., 1918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Слово о погибели Земли Русской, сб. «Скифы», кн. II, 1918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Царь Максимилиан. Театр А. Ремизова. По своду В. В. Бакрылова, П., 1920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Огненная Россия, изд. «Библиофил», Ревель, 1921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Шуми города, изд. то же, Ревель, 1921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Россия в письменах, изд. «Геликон», Берлин, 1921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Трава-мурава, изд. Ефрон, Берлин, 1922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Мара, изд. «Огоньки», Берлин, 1922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Петушок, Петроград, 1922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В поле блакитном, Берлин, 1922, и др. Автобиографические сведения см. в сб. «Первые литературные шаги», собрал Ф. Ф. Фидлер, (Москва, 1911). II. Садовский Б., Настоящий. (Соч. Ремизова), «Современник», 1912, V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Измайлов А., Пестрые знамена, М., 1913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Рыстенко А., Заметки о сочинениях А. Ремизова, Одесса, 1913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Чуковский К., Психологические мотивы в творчестве А. Ремизова, в книге автора: Книга о современных писателях, СПБ, 1914</w:t>
      </w:r>
      <w:r>
        <w:t xml:space="preserve">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Чулков Г., Наши спутники, 1922</w:t>
      </w:r>
      <w:r>
        <w:t xml:space="preserve"> </w:t>
      </w:r>
    </w:p>
    <w:p w:rsidR="00D72B2C" w:rsidRPr="00DD4078" w:rsidRDefault="00D72B2C" w:rsidP="00D72B2C">
      <w:pPr>
        <w:spacing w:before="120"/>
        <w:ind w:firstLine="567"/>
        <w:jc w:val="both"/>
      </w:pPr>
      <w:r w:rsidRPr="00DD4078">
        <w:t xml:space="preserve">Горбов Д. А., Мертвая красота и живучее безобразие, «Красная новь», 1926, VII. </w:t>
      </w:r>
    </w:p>
    <w:p w:rsidR="00D72B2C" w:rsidRDefault="00D72B2C" w:rsidP="00D72B2C">
      <w:pPr>
        <w:spacing w:before="120"/>
        <w:ind w:firstLine="567"/>
        <w:jc w:val="both"/>
      </w:pPr>
      <w:r w:rsidRPr="00DD4078">
        <w:t>III. Владиславлев И. В., Русские писатели, изд. 4, М.—Л., 1924</w:t>
      </w:r>
      <w:r>
        <w:t xml:space="preserve"> </w:t>
      </w:r>
    </w:p>
    <w:p w:rsidR="00D72B2C" w:rsidRPr="00DD4078" w:rsidRDefault="00D72B2C" w:rsidP="00D72B2C">
      <w:pPr>
        <w:spacing w:before="120"/>
        <w:ind w:firstLine="567"/>
        <w:jc w:val="both"/>
      </w:pPr>
      <w:r w:rsidRPr="00DD4078">
        <w:t xml:space="preserve">Его же, Литература великого десятилетия, т. I, М.—Л.,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2C"/>
    <w:rsid w:val="00002B5A"/>
    <w:rsid w:val="0010437E"/>
    <w:rsid w:val="001222AD"/>
    <w:rsid w:val="003E0C41"/>
    <w:rsid w:val="00616072"/>
    <w:rsid w:val="006A5004"/>
    <w:rsid w:val="00710178"/>
    <w:rsid w:val="008B35EE"/>
    <w:rsid w:val="00905CC1"/>
    <w:rsid w:val="009768AC"/>
    <w:rsid w:val="00992CD6"/>
    <w:rsid w:val="00B42C45"/>
    <w:rsid w:val="00B47B6A"/>
    <w:rsid w:val="00D72B2C"/>
    <w:rsid w:val="00DD4078"/>
    <w:rsid w:val="00F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00880D-87EB-4FA2-B5D2-2627F608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72B2C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Алексей Ремизов</vt:lpstr>
    </vt:vector>
  </TitlesOfParts>
  <Company>Home</Company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Ремизов</dc:title>
  <dc:subject/>
  <dc:creator>User</dc:creator>
  <cp:keywords/>
  <dc:description/>
  <cp:lastModifiedBy>admin</cp:lastModifiedBy>
  <cp:revision>2</cp:revision>
  <dcterms:created xsi:type="dcterms:W3CDTF">2014-02-15T02:48:00Z</dcterms:created>
  <dcterms:modified xsi:type="dcterms:W3CDTF">2014-02-15T02:48:00Z</dcterms:modified>
</cp:coreProperties>
</file>