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51" w:rsidRPr="00A3133F" w:rsidRDefault="00A46351" w:rsidP="00A3133F">
      <w:pPr>
        <w:pStyle w:val="a3"/>
        <w:spacing w:before="0" w:after="0"/>
        <w:ind w:firstLine="709"/>
        <w:jc w:val="both"/>
        <w:rPr>
          <w:color w:val="000000"/>
          <w:sz w:val="28"/>
        </w:rPr>
      </w:pPr>
      <w:r w:rsidRPr="00A3133F">
        <w:rPr>
          <w:color w:val="000000"/>
          <w:sz w:val="28"/>
        </w:rPr>
        <w:t>Содержание</w:t>
      </w:r>
    </w:p>
    <w:p w:rsidR="00A46351" w:rsidRPr="00A3133F" w:rsidRDefault="00A46351" w:rsidP="00A3133F">
      <w:pPr>
        <w:ind w:firstLine="709"/>
        <w:rPr>
          <w:color w:val="000000"/>
        </w:rPr>
      </w:pPr>
    </w:p>
    <w:p w:rsidR="00A46351" w:rsidRPr="00A3133F" w:rsidRDefault="00A46351" w:rsidP="00A3133F">
      <w:pPr>
        <w:pStyle w:val="11"/>
        <w:tabs>
          <w:tab w:val="right" w:leader="dot" w:pos="9100"/>
        </w:tabs>
        <w:ind w:firstLine="0"/>
        <w:rPr>
          <w:noProof/>
          <w:color w:val="000000"/>
        </w:rPr>
      </w:pPr>
      <w:r w:rsidRPr="00A3133F">
        <w:rPr>
          <w:noProof/>
          <w:color w:val="000000"/>
        </w:rPr>
        <w:t>Введение</w:t>
      </w:r>
      <w:r w:rsidRPr="00A3133F">
        <w:rPr>
          <w:noProof/>
          <w:color w:val="000000"/>
        </w:rPr>
        <w:tab/>
      </w:r>
      <w:r w:rsidR="00A3133F">
        <w:rPr>
          <w:noProof/>
          <w:color w:val="000000"/>
        </w:rPr>
        <w:t>2</w:t>
      </w:r>
    </w:p>
    <w:p w:rsidR="00A46351" w:rsidRPr="00A3133F" w:rsidRDefault="00A46351" w:rsidP="00A3133F">
      <w:pPr>
        <w:pStyle w:val="11"/>
        <w:tabs>
          <w:tab w:val="right" w:leader="dot" w:pos="9100"/>
        </w:tabs>
        <w:ind w:firstLine="0"/>
        <w:rPr>
          <w:noProof/>
          <w:color w:val="000000"/>
        </w:rPr>
      </w:pPr>
      <w:r w:rsidRPr="00A3133F">
        <w:rPr>
          <w:noProof/>
          <w:color w:val="000000"/>
        </w:rPr>
        <w:t>Расчет за товары собственным векселем покупателя</w:t>
      </w:r>
      <w:r w:rsidRPr="00A3133F">
        <w:rPr>
          <w:noProof/>
          <w:color w:val="000000"/>
        </w:rPr>
        <w:tab/>
      </w:r>
      <w:r w:rsidR="00A3133F">
        <w:rPr>
          <w:noProof/>
          <w:color w:val="000000"/>
        </w:rPr>
        <w:t>6</w:t>
      </w:r>
    </w:p>
    <w:p w:rsidR="00A46351" w:rsidRPr="00A3133F" w:rsidRDefault="00A46351" w:rsidP="00A3133F">
      <w:pPr>
        <w:pStyle w:val="11"/>
        <w:tabs>
          <w:tab w:val="right" w:leader="dot" w:pos="9100"/>
        </w:tabs>
        <w:ind w:firstLine="0"/>
        <w:rPr>
          <w:noProof/>
          <w:color w:val="000000"/>
        </w:rPr>
      </w:pPr>
      <w:r w:rsidRPr="00A3133F">
        <w:rPr>
          <w:noProof/>
          <w:color w:val="000000"/>
        </w:rPr>
        <w:t>Расчет за товары векселем третьего лица</w:t>
      </w:r>
      <w:r w:rsidRPr="00A3133F">
        <w:rPr>
          <w:noProof/>
          <w:color w:val="000000"/>
        </w:rPr>
        <w:tab/>
      </w:r>
      <w:r w:rsidR="00A3133F">
        <w:rPr>
          <w:noProof/>
          <w:color w:val="000000"/>
        </w:rPr>
        <w:t>8</w:t>
      </w:r>
    </w:p>
    <w:p w:rsidR="00A46351" w:rsidRPr="00A3133F" w:rsidRDefault="00A46351" w:rsidP="00A3133F">
      <w:pPr>
        <w:pStyle w:val="11"/>
        <w:tabs>
          <w:tab w:val="right" w:leader="dot" w:pos="9100"/>
        </w:tabs>
        <w:ind w:firstLine="0"/>
        <w:rPr>
          <w:noProof/>
          <w:color w:val="000000"/>
        </w:rPr>
      </w:pPr>
      <w:r w:rsidRPr="00A3133F">
        <w:rPr>
          <w:noProof/>
          <w:color w:val="000000"/>
        </w:rPr>
        <w:t>Складские свидетельства</w:t>
      </w:r>
      <w:r w:rsidRPr="00A3133F">
        <w:rPr>
          <w:noProof/>
          <w:color w:val="000000"/>
        </w:rPr>
        <w:tab/>
      </w:r>
      <w:r w:rsidR="00A3133F">
        <w:rPr>
          <w:noProof/>
          <w:color w:val="000000"/>
        </w:rPr>
        <w:t>11</w:t>
      </w:r>
    </w:p>
    <w:p w:rsidR="00A46351" w:rsidRPr="00A3133F" w:rsidRDefault="00A46351" w:rsidP="00A3133F">
      <w:pPr>
        <w:pStyle w:val="11"/>
        <w:tabs>
          <w:tab w:val="right" w:leader="dot" w:pos="9100"/>
        </w:tabs>
        <w:ind w:firstLine="0"/>
        <w:rPr>
          <w:noProof/>
          <w:color w:val="000000"/>
        </w:rPr>
      </w:pPr>
      <w:r w:rsidRPr="00A3133F">
        <w:rPr>
          <w:noProof/>
          <w:color w:val="000000"/>
        </w:rPr>
        <w:t>Заключение</w:t>
      </w:r>
      <w:r w:rsidRPr="00A3133F">
        <w:rPr>
          <w:noProof/>
          <w:color w:val="000000"/>
        </w:rPr>
        <w:tab/>
      </w:r>
      <w:r w:rsidR="00A3133F">
        <w:rPr>
          <w:noProof/>
          <w:color w:val="000000"/>
        </w:rPr>
        <w:t>16</w:t>
      </w:r>
    </w:p>
    <w:p w:rsidR="00A46351" w:rsidRPr="00A3133F" w:rsidRDefault="00A46351" w:rsidP="00A3133F">
      <w:pPr>
        <w:pStyle w:val="11"/>
        <w:tabs>
          <w:tab w:val="right" w:leader="dot" w:pos="9100"/>
        </w:tabs>
        <w:ind w:firstLine="0"/>
        <w:rPr>
          <w:noProof/>
          <w:color w:val="000000"/>
        </w:rPr>
      </w:pPr>
      <w:r w:rsidRPr="00A3133F">
        <w:rPr>
          <w:noProof/>
          <w:color w:val="000000"/>
        </w:rPr>
        <w:t>Литература</w:t>
      </w:r>
      <w:r w:rsidRPr="00A3133F">
        <w:rPr>
          <w:noProof/>
          <w:color w:val="000000"/>
        </w:rPr>
        <w:tab/>
      </w:r>
      <w:r w:rsidR="00A3133F">
        <w:rPr>
          <w:noProof/>
          <w:color w:val="000000"/>
        </w:rPr>
        <w:t>17</w:t>
      </w:r>
    </w:p>
    <w:p w:rsidR="00A46351" w:rsidRDefault="00A46351" w:rsidP="00A3133F">
      <w:pPr>
        <w:tabs>
          <w:tab w:val="right" w:leader="dot" w:pos="9100"/>
        </w:tabs>
        <w:ind w:firstLine="0"/>
        <w:rPr>
          <w:color w:val="000000"/>
          <w:lang w:val="en-US"/>
        </w:rPr>
      </w:pPr>
    </w:p>
    <w:p w:rsidR="00A3133F" w:rsidRPr="00A3133F" w:rsidRDefault="00A3133F" w:rsidP="00A3133F">
      <w:pPr>
        <w:tabs>
          <w:tab w:val="right" w:leader="dot" w:pos="9100"/>
        </w:tabs>
        <w:ind w:firstLine="0"/>
        <w:rPr>
          <w:color w:val="000000"/>
          <w:lang w:val="en-US"/>
        </w:rPr>
      </w:pPr>
    </w:p>
    <w:p w:rsidR="00A46351" w:rsidRPr="00A3133F" w:rsidRDefault="00A46351" w:rsidP="00A3133F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 w:rsidRPr="00A3133F">
        <w:rPr>
          <w:color w:val="000000"/>
          <w:sz w:val="28"/>
        </w:rPr>
        <w:br w:type="page"/>
      </w:r>
      <w:bookmarkStart w:id="0" w:name="_Toc431240962"/>
      <w:r w:rsidRPr="00A3133F">
        <w:rPr>
          <w:color w:val="000000"/>
          <w:sz w:val="28"/>
        </w:rPr>
        <w:t>Введение</w:t>
      </w:r>
      <w:bookmarkEnd w:id="0"/>
    </w:p>
    <w:p w:rsidR="00A46351" w:rsidRPr="00A3133F" w:rsidRDefault="00A46351" w:rsidP="00A3133F">
      <w:pPr>
        <w:ind w:firstLine="709"/>
        <w:rPr>
          <w:color w:val="000000"/>
        </w:rPr>
      </w:pP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Вексель представляет собой договор займа, оформленный в виде ценной бумаги с определенным набором реквизитов (ст.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8</w:t>
      </w:r>
      <w:r w:rsidRPr="00A3133F">
        <w:rPr>
          <w:color w:val="000000"/>
        </w:rPr>
        <w:t xml:space="preserve">15 Гражданского кодекса Российской Федерации, далее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ГК РФ). Другими словами, у векселя две стороны: это заем и одновременно имущество, так как ценные бумаги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вид движимого имущества.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При обращении вексель проходит несколько этапов: когда его выдают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это оформление долга, когда гасят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это возврат долга, обращение векселей на промежуточных этапах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это оборот ценной бумаги (в том числе ее купля-продажа, передача в качестве отступного за товар </w:t>
      </w:r>
      <w:r w:rsidR="00A3133F">
        <w:rPr>
          <w:color w:val="000000"/>
        </w:rPr>
        <w:t>и т.д.</w:t>
      </w:r>
      <w:r w:rsidRPr="00A3133F">
        <w:rPr>
          <w:color w:val="000000"/>
        </w:rPr>
        <w:t xml:space="preserve">). Другими словами, на первом и последнем этапах «жизни» векселя отношения сторон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это прежде всего отношения заемщика и кредитора, на промежуточных этапах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отношения по приобретению ценной бумаги.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Необходимо отметить, что согласно ст.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2</w:t>
      </w:r>
      <w:r w:rsidRPr="00A3133F">
        <w:rPr>
          <w:color w:val="000000"/>
        </w:rPr>
        <w:t xml:space="preserve"> Федерального закона от 11.03.97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г</w:t>
      </w:r>
      <w:r w:rsidRPr="00A3133F">
        <w:rPr>
          <w:color w:val="000000"/>
        </w:rPr>
        <w:t xml:space="preserve">.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4</w:t>
      </w:r>
      <w:r w:rsidRPr="00A3133F">
        <w:rPr>
          <w:color w:val="000000"/>
        </w:rPr>
        <w:t>8</w:t>
      </w:r>
      <w:r w:rsidR="00A3133F">
        <w:rPr>
          <w:color w:val="000000"/>
        </w:rPr>
        <w:noBreakHyphen/>
      </w:r>
      <w:r w:rsidR="00A3133F" w:rsidRPr="00A3133F">
        <w:rPr>
          <w:color w:val="000000"/>
        </w:rPr>
        <w:t>Ф</w:t>
      </w:r>
      <w:r w:rsidRPr="00A3133F">
        <w:rPr>
          <w:color w:val="000000"/>
        </w:rPr>
        <w:t xml:space="preserve">З «О переводном и простом векселе» (далее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Закон «О переводном и простом векселе») вексель может выдать любое юридическое или физическое лицо. Только государственные органы могут быть ограничены в праве выдавать векселя, так как объем их долгов регулируется бюджетным законодательством.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Выдача векселя не требует государственной регистрации и обязательного использования каких-то специальных бланков.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Векселедатель по своему желанию может выдать как простой вексель (аналог долговой расписки), так и переводной (аналог письма третьему лицу с просьбой заплатить вместо вас по вашему долгу).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Договор, в связи с которым выдан вексель, называется основанием его выдачи. Это может быть непосредственно договор займа или другой договор, куда заем в той или иной форме включен как составная часть (в том числе и в форме отсрочки платежа за товар, работу или услугу).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Когда вексель выдается в оплату товара, его иногда называют товарным и говорят, что он выдан в обеспечение задолженности за товар. И тот, и другой термин лишены юридического смысла и имеют право на жизнь только на уровне жаргона.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Обеспечение задолженности согласно ГК РФ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это дополнительное обязательство к какому-то основному Обеспечением являются залог, поручительство, гарантия, задаток и неустойка. Вексель может быть обеспечением только в том случае, если его отдадут в залог.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Например, если я купил товар и выписал на эту сумму простой вексель и этот вексель почему-то считается обеспечением моего долга, то это значит, что я должен дважды: за товар и по векселю (долг за товар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основной, по векселю</w:t>
      </w:r>
      <w:r w:rsidR="00A3133F">
        <w:rPr>
          <w:color w:val="000000"/>
        </w:rPr>
        <w:t>–</w:t>
      </w:r>
      <w:r w:rsidRPr="00A3133F">
        <w:rPr>
          <w:color w:val="000000"/>
        </w:rPr>
        <w:t>дополнительный). Именно поэтому правильнее говорить, что вексель выдан в порядке оформления, а не обеспечения задолженности.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Лишено также какого бы то ни было правового смысла деление векселей на товарные и финансовые. В вексельном праве такие термины не существуют. Так как нет точных определений, то и опираться на эти термины при уплате налогов не стоит.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Итак, если покупатель дает продавцу товара свой собственный простой вексель, происходит переоформление (новация) долга за товар в заемное обязательство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вексель; если продавец потом продает данный вексель, он просто совершает сделку продажи ценной бумаги, если же отдает его в оплату за другой товар, он использует этот вексель как отступное, погашающее его долг поставщику товара.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Самым важным является вопрос: на каком этапе обращения векселя мы находимся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на первом, последнем или в середине цепочки? Возмем к примеру случай, когда банк выдает клиенту свой вексель и подписывает с ним договор купли-продажи. Это является просто неправильным оформлением договора займа: купли-продажи здесь нет, банк вовсе не продает вексель, он одалживает у клиента деньги и оформляет это ценной бумагой.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Важный признак купли-продажи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переход права собственности на товар. При выдаче векселя первому владельцу, равно как и при погашении, никакого перехода права собственности нет. При выдаче векселя это право появляется у первого владельца: он первый хозяин векселя, а вовсе не лицо, которое только что этот вексель выдало. При погашении та же картина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с передачей векселя плательщику для погашения вексель подлежит аннулированию и право собственности исчезает.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По той же причине нельзя внести в уставный капитал свой собственный простой вексель, который вы только что выдали, так как, выдавая вексель, вы не оплачиваете вашу долю в уставном капитале, а оформляете долг по ее оплате.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По той же причине не удерживается подоходный налог с физических лиц при погашении векселей (см. Постановление Президиума ВАС РФ от 16.12.97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г</w:t>
      </w:r>
      <w:r w:rsidRPr="00A3133F">
        <w:rPr>
          <w:color w:val="000000"/>
        </w:rPr>
        <w:t xml:space="preserve">.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4</w:t>
      </w:r>
      <w:r w:rsidRPr="00A3133F">
        <w:rPr>
          <w:color w:val="000000"/>
        </w:rPr>
        <w:t>863/97): «предъявление векселя к оплате не является актом продажи имущества, поскольку согласно ст.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8</w:t>
      </w:r>
      <w:r w:rsidRPr="00A3133F">
        <w:rPr>
          <w:color w:val="000000"/>
        </w:rPr>
        <w:t>15 ГК РФ вексель удостоверяет обязательство займа».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Теперь рассмотрим другую ситуацию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оборот векселя на промежуточных стадиях, когда он передается из рук в руки по индоссаментам (передаточным надписям). Это такой же оборот имущества, как, например, продажа облигаций Минфина России или погашение долга за товар путем передачи акций.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Если в основе передачи векселя на промежуточных стадиях лежит договор купли-продажи этого векселя, то мы имеем дело с оборотом ценных бумаг, который должен облагаться налогами по соответствующим правилам.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Из всех возможных способов прекращения обязательств передача векселя третьего лица (чужого векселя) больше всего похожа на передачу отступного.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Вексель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это сугубо денежное обязательство. Его вообще нельзя погасить без денег. Уплата денег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это надлежащее исполнение векселя. Но ГК РФ, допускает и иные способы прекращения обязательств (зачет, отступное и др.); на векселя это распространяется в полном объеме. Однако следует иметь в виду, что оплата векселя чем-то вместо денег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это погашение долга путем предоставления отступного, но только с согласия кредитора (ст.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4</w:t>
      </w:r>
      <w:r w:rsidRPr="00A3133F">
        <w:rPr>
          <w:color w:val="000000"/>
        </w:rPr>
        <w:t>09 ГК РФ);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Вексель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это заменитель денег, </w:t>
      </w:r>
      <w:r w:rsidR="00A3133F">
        <w:rPr>
          <w:color w:val="000000"/>
        </w:rPr>
        <w:t>т.е.</w:t>
      </w:r>
      <w:r w:rsidRPr="00A3133F">
        <w:rPr>
          <w:color w:val="000000"/>
        </w:rPr>
        <w:t xml:space="preserve"> средство платежа. Средство платежа в России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рубль, в редких случаях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валюта. Вексель иногда ускоряет и упрощает денежные расчеты, но при этом он остается всего лишь долговой ценной бумагой. Вексель не средство платежа и не суррогат денег, это очень удобное отступное, которым можно за многое рассчитаться.</w:t>
      </w:r>
    </w:p>
    <w:p w:rsidR="00A3133F" w:rsidRDefault="00A3133F" w:rsidP="00A3133F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lang w:val="en-US"/>
        </w:rPr>
      </w:pPr>
    </w:p>
    <w:p w:rsidR="00A3133F" w:rsidRDefault="00A3133F" w:rsidP="00A3133F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lang w:val="en-US"/>
        </w:rPr>
      </w:pPr>
    </w:p>
    <w:p w:rsidR="00A46351" w:rsidRPr="00A3133F" w:rsidRDefault="00A46351" w:rsidP="00A3133F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 w:rsidRPr="00A3133F">
        <w:rPr>
          <w:color w:val="000000"/>
          <w:sz w:val="28"/>
        </w:rPr>
        <w:br w:type="page"/>
      </w:r>
      <w:bookmarkStart w:id="1" w:name="_Toc431240963"/>
      <w:r w:rsidRPr="00A3133F">
        <w:rPr>
          <w:color w:val="000000"/>
          <w:sz w:val="28"/>
        </w:rPr>
        <w:t>Расчет за товары собственным векселем покупателя</w:t>
      </w:r>
      <w:bookmarkEnd w:id="1"/>
    </w:p>
    <w:p w:rsidR="00A46351" w:rsidRPr="00A3133F" w:rsidRDefault="00A46351" w:rsidP="00A3133F">
      <w:pPr>
        <w:ind w:firstLine="709"/>
        <w:rPr>
          <w:color w:val="000000"/>
        </w:rPr>
      </w:pP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При продаже товара продавец имеет право дать покупателю отсрочку платежа. Эта отсрочка называется договором коммерческого кредита. Обычно его не оформляют в виде отдельного договора; просто соответствующий пункт включается в договор купли-продажи товара.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К договорам коммерческого кредита применяются правила о договорах займа, если, конечно, эти правила не противоречат сути договора (в нашем случае </w:t>
      </w:r>
      <w:r w:rsidR="00A3133F">
        <w:rPr>
          <w:color w:val="000000"/>
        </w:rPr>
        <w:t xml:space="preserve">– </w:t>
      </w:r>
      <w:r w:rsidR="00A3133F" w:rsidRPr="00A3133F">
        <w:rPr>
          <w:color w:val="000000"/>
        </w:rPr>
        <w:t>д</w:t>
      </w:r>
      <w:r w:rsidRPr="00A3133F">
        <w:rPr>
          <w:color w:val="000000"/>
        </w:rPr>
        <w:t>оговора купли-продажи товара).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Согласно статьям Ш и 414 ГК РФ оформление долга за товар (работу, услугу) векселем юридически означает новацию долга а в заемное обязательство. Новация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это способ прекращения обязательств. То есть договор поставки товара с выдачей векселя юридически закрыт: обязательства по нему исполнены даже тогда, когда покупатель выдал вексель от своего имени.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В то же время в ст.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7</w:t>
      </w:r>
      <w:r w:rsidRPr="00A3133F">
        <w:rPr>
          <w:color w:val="000000"/>
        </w:rPr>
        <w:t xml:space="preserve"> Закона РФ от 06.12.91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г</w:t>
      </w:r>
      <w:r w:rsidRPr="00A3133F">
        <w:rPr>
          <w:color w:val="000000"/>
        </w:rPr>
        <w:t xml:space="preserve">.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1</w:t>
      </w:r>
      <w:r w:rsidRPr="00A3133F">
        <w:rPr>
          <w:color w:val="000000"/>
        </w:rPr>
        <w:t>992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>1</w:t>
      </w:r>
      <w:r w:rsidRPr="00A3133F">
        <w:rPr>
          <w:color w:val="000000"/>
        </w:rPr>
        <w:t xml:space="preserve"> «О налоге на добавленную стоимость» (далее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Закон о НДС) укачано, что при расчетах векселем принятие налога на добавленную стоимость (НДС) к зачету происходит лишь «после оплаты векселей денежными средствами».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Письмо МНС России от 03.02.2007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г</w:t>
      </w:r>
      <w:r w:rsidRPr="00A3133F">
        <w:rPr>
          <w:color w:val="000000"/>
        </w:rPr>
        <w:t xml:space="preserve">.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В</w:t>
      </w:r>
      <w:r w:rsidRPr="00A3133F">
        <w:rPr>
          <w:color w:val="000000"/>
        </w:rPr>
        <w:t>Г</w:t>
      </w:r>
      <w:r w:rsidR="00A3133F">
        <w:rPr>
          <w:color w:val="000000"/>
        </w:rPr>
        <w:noBreakHyphen/>
      </w:r>
      <w:r w:rsidR="00A3133F" w:rsidRPr="00A3133F">
        <w:rPr>
          <w:color w:val="000000"/>
        </w:rPr>
        <w:t>6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>0</w:t>
      </w:r>
      <w:r w:rsidRPr="00A3133F">
        <w:rPr>
          <w:color w:val="000000"/>
        </w:rPr>
        <w:t>3/99@ трактует эти сомнения в пользу налогоплательщика: если покупатель выдал поставщику свой собственный вексель, у него не появляется право на зачет НДС, но и у поставщика нет реализации «по оплате».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В этом есть своя логика. Новация </w:t>
      </w:r>
      <w:r w:rsidR="00A3133F">
        <w:rPr>
          <w:color w:val="000000"/>
        </w:rPr>
        <w:t xml:space="preserve">– </w:t>
      </w:r>
      <w:r w:rsidR="00A3133F" w:rsidRPr="00A3133F">
        <w:rPr>
          <w:color w:val="000000"/>
        </w:rPr>
        <w:t>п</w:t>
      </w:r>
      <w:r w:rsidRPr="00A3133F">
        <w:rPr>
          <w:color w:val="000000"/>
        </w:rPr>
        <w:t xml:space="preserve">ереоформление одного долга в другой, </w:t>
      </w:r>
      <w:r w:rsidR="00A3133F">
        <w:rPr>
          <w:color w:val="000000"/>
        </w:rPr>
        <w:t>т.е.</w:t>
      </w:r>
      <w:r w:rsidRPr="00A3133F">
        <w:rPr>
          <w:color w:val="000000"/>
        </w:rPr>
        <w:t xml:space="preserve"> у одного остается дебиторская задолженность, у другого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кредиторская. На этом основании для целей налогообложения вполне можно считать, что товар не оплачен. Поэтому здесь нет ни реализации «по оплате», ни фактической уплаты НДС.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При расчете за товар собственным векселем покупатель будет иметь право на зачет НДС только после погашения этого векселя. Упомянутое выше письмо МНС России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В</w:t>
      </w:r>
      <w:r w:rsidRPr="00A3133F">
        <w:rPr>
          <w:color w:val="000000"/>
        </w:rPr>
        <w:t>Г</w:t>
      </w:r>
      <w:r w:rsidR="00A3133F">
        <w:rPr>
          <w:color w:val="000000"/>
        </w:rPr>
        <w:t>-</w:t>
      </w:r>
      <w:r w:rsidR="00A3133F" w:rsidRPr="00A3133F">
        <w:rPr>
          <w:color w:val="000000"/>
        </w:rPr>
        <w:t>6</w:t>
      </w:r>
      <w:r w:rsidR="00A3133F">
        <w:rPr>
          <w:color w:val="000000"/>
        </w:rPr>
        <w:t>-</w:t>
      </w:r>
      <w:r w:rsidR="00A3133F" w:rsidRPr="00A3133F">
        <w:rPr>
          <w:color w:val="000000"/>
        </w:rPr>
        <w:t>0</w:t>
      </w:r>
      <w:r w:rsidRPr="00A3133F">
        <w:rPr>
          <w:color w:val="000000"/>
        </w:rPr>
        <w:t>3/99@ требует, чтобы это погашение было произведено только деньгами: «налогоплательщик, использующий в расчетах за товары (работы, услуги) собственный вексель (</w:t>
      </w:r>
      <w:r w:rsidR="00A3133F">
        <w:rPr>
          <w:color w:val="000000"/>
        </w:rPr>
        <w:t>т.е.</w:t>
      </w:r>
      <w:r w:rsidRPr="00A3133F">
        <w:rPr>
          <w:color w:val="000000"/>
        </w:rPr>
        <w:t xml:space="preserve"> векселедатель), имеет право на возмещение (зачет) сумм налога на добавленную стоимость по таким товарам (работам, услугам) в момент оплаты своего векселя денежными средствами предъявителю векселя» (п.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6</w:t>
      </w:r>
      <w:r w:rsidRPr="00A3133F">
        <w:rPr>
          <w:color w:val="000000"/>
        </w:rPr>
        <w:t xml:space="preserve"> письма).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Это означает, что для зачета НДС векселедатель обязан исполнить свои обязательства по векселю только надлежащим образом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уплатой денег. Зачет встречных долгов, передача другого товара в качестве отступного, новация долга по векселю возможны, все эти нормы ГК РФ никто не отменял, но права на зачет НДС в этих случаях нет.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Конечно, такие ограничения по зачету НДС создают препятствия для ведения бизнеса. Ведь в гражданском праве, в отличие от налогового, надлежащее погашение векселя (уплата денег) или прекращение обязательств иным образом с обоюдного согласия сторон абсолютно равнозначны.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Например, я должен по векселю </w:t>
      </w:r>
      <w:r w:rsidR="00A3133F" w:rsidRPr="00A3133F">
        <w:rPr>
          <w:color w:val="000000"/>
        </w:rPr>
        <w:t>100</w:t>
      </w:r>
      <w:r w:rsidR="00A3133F">
        <w:rPr>
          <w:color w:val="000000"/>
        </w:rPr>
        <w:t xml:space="preserve"> </w:t>
      </w:r>
      <w:r w:rsidR="00A3133F" w:rsidRPr="00A3133F">
        <w:rPr>
          <w:color w:val="000000"/>
        </w:rPr>
        <w:t>руб</w:t>
      </w:r>
      <w:r w:rsidRPr="00A3133F">
        <w:rPr>
          <w:color w:val="000000"/>
        </w:rPr>
        <w:t xml:space="preserve">. и вы готовы принять от меня в погашение долга товар стоимостью </w:t>
      </w:r>
      <w:r w:rsidR="00A3133F" w:rsidRPr="00A3133F">
        <w:rPr>
          <w:color w:val="000000"/>
        </w:rPr>
        <w:t>100</w:t>
      </w:r>
      <w:r w:rsidR="00A3133F">
        <w:rPr>
          <w:color w:val="000000"/>
        </w:rPr>
        <w:t xml:space="preserve"> </w:t>
      </w:r>
      <w:r w:rsidR="00A3133F" w:rsidRPr="00A3133F">
        <w:rPr>
          <w:color w:val="000000"/>
        </w:rPr>
        <w:t>руб</w:t>
      </w:r>
      <w:r w:rsidRPr="00A3133F">
        <w:rPr>
          <w:color w:val="000000"/>
        </w:rPr>
        <w:t>. Мы подписываем договор купли-продажи, по которому вы мне должны 100 руб. Одновременно я по акту принимаю у вас вексель к погашению и теперь тоже должен вам 100 руб. У нас встречные долги.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Вместо того чтобы сделать зачет и не гонять попусту деньги по расчетным счетам (это потеря нескольких дней), налоговое законодательство заставляет нас «оплатить вексель денежными средствами». В нашем примере сначала я вам перечислю 100 руб. (и приму НДС к зачету), а потом вы мне тут же вернете их. Смысл в этой операции может быть разве что для банка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он снимете нас рубля потри за исполнение платежных поручении.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Можно эту операцию осуществить и по-другому. Сначала вы как владелец векселя продадите его моему банку с отсрочкой оплаты (договор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I</w:t>
      </w:r>
      <w:r w:rsidRPr="00A3133F">
        <w:rPr>
          <w:color w:val="000000"/>
        </w:rPr>
        <w:t xml:space="preserve">), потом подпишите со мной договор купли-продажи товара (договор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2</w:t>
      </w:r>
      <w:r w:rsidRPr="00A3133F">
        <w:rPr>
          <w:color w:val="000000"/>
        </w:rPr>
        <w:t>) и отправите банку письмо с просьбой деньги за вексел</w:t>
      </w:r>
      <w:r w:rsidR="00A3133F" w:rsidRPr="00A3133F">
        <w:rPr>
          <w:color w:val="000000"/>
        </w:rPr>
        <w:t>ь</w:t>
      </w:r>
      <w:r w:rsidR="00A3133F">
        <w:rPr>
          <w:color w:val="000000"/>
        </w:rPr>
        <w:t xml:space="preserve"> (</w:t>
      </w:r>
      <w:r w:rsidR="00A3133F" w:rsidRPr="00A3133F">
        <w:rPr>
          <w:color w:val="000000"/>
        </w:rPr>
        <w:t xml:space="preserve">по </w:t>
      </w:r>
      <w:r w:rsidRPr="00A3133F">
        <w:rPr>
          <w:color w:val="000000"/>
        </w:rPr>
        <w:t xml:space="preserve">договору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1</w:t>
      </w:r>
      <w:r w:rsidRPr="00A3133F">
        <w:rPr>
          <w:color w:val="000000"/>
        </w:rPr>
        <w:t xml:space="preserve">) сразу перечислить мне на расчетный счет </w:t>
      </w:r>
      <w:r w:rsidR="00A3133F" w:rsidRPr="00A3133F">
        <w:rPr>
          <w:color w:val="000000"/>
        </w:rPr>
        <w:t xml:space="preserve">(«в счет оплаты по договору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2»</w:t>
      </w:r>
      <w:r w:rsidRPr="00A3133F">
        <w:rPr>
          <w:color w:val="000000"/>
        </w:rPr>
        <w:t>). Потом банк предъявит мне этот вексель к оплате. Затем одним днем банк зачислит мне деньги на расчетный счет по вашему письму и тут же спишет их как средства, уплаченные в погашение векселя. Деньги не двинутся с корреспондентского счета банка, но будет их движение по расчетному счету, подтвержденное мемориальным ордером.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Эту же операцию можно проделать и с применением инкассового индоссамента на имя банка (</w:t>
      </w:r>
      <w:r w:rsidR="00A3133F">
        <w:rPr>
          <w:color w:val="000000"/>
        </w:rPr>
        <w:t>т.е.</w:t>
      </w:r>
      <w:r w:rsidRPr="00A3133F">
        <w:rPr>
          <w:color w:val="000000"/>
        </w:rPr>
        <w:t xml:space="preserve"> поручить моему банку взять с меня деньги по векселю и тут же дать письмо, чтобы эти деньги мне вернули в счет оплаты за товар), и с использованием переводного векселя.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Вот так абсурдные требования законодательства порождают, мягко говоря, не известные науке виды документарных операций коммерческих банков.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Что касается продавца товара, с которым покупатель расплатился своим собственным векселем, то для него реализация «по оплате» наступит после продажи (погашения) или иного возмездного отчуждения этого векселя.</w:t>
      </w:r>
    </w:p>
    <w:p w:rsidR="00A3133F" w:rsidRDefault="00A3133F" w:rsidP="00A3133F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A46351" w:rsidRPr="00A3133F" w:rsidRDefault="00A46351" w:rsidP="00A3133F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bookmarkStart w:id="2" w:name="_Toc431240964"/>
      <w:r w:rsidRPr="00A3133F">
        <w:rPr>
          <w:color w:val="000000"/>
          <w:sz w:val="28"/>
        </w:rPr>
        <w:t>Расчет за товары векселем третьего лица</w:t>
      </w:r>
      <w:bookmarkEnd w:id="2"/>
    </w:p>
    <w:p w:rsidR="00A46351" w:rsidRPr="00A3133F" w:rsidRDefault="00A46351" w:rsidP="00A3133F">
      <w:pPr>
        <w:ind w:firstLine="709"/>
        <w:rPr>
          <w:color w:val="000000"/>
        </w:rPr>
      </w:pP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Покупатель может передать продавцу не только спой вексель, но и вексель, выданный третьим лицом. Эта операция ведет к погашению долга за товар (работу, услугу). Теперь поставщику товара должен уже не покупатель, а плательщик по векселю (банк, дебитор покупателя и др.), который не имеет никакого отношения к поставке данного товара и, возможно, никогда даже не слышал о фирмах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участниках этого договора.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Отличительная черта оформления таких операций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это то, что вексель передается по индоссаменту. Совершение на обороте векселя такой передаточной надписи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необходимая формальность при передаче векселя на промежуточных стадиях его обращения (между выдачей первому владельцу и погашением).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Согласно п.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14</w:t>
      </w:r>
      <w:r w:rsidRPr="00A3133F">
        <w:rPr>
          <w:color w:val="000000"/>
        </w:rPr>
        <w:t xml:space="preserve"> Обзора судебной практики применения законодательства о налоге на прибыл</w:t>
      </w:r>
      <w:r w:rsidR="00A3133F" w:rsidRPr="00A3133F">
        <w:rPr>
          <w:color w:val="000000"/>
        </w:rPr>
        <w:t>ь</w:t>
      </w:r>
      <w:r w:rsidR="00A3133F">
        <w:rPr>
          <w:color w:val="000000"/>
        </w:rPr>
        <w:t xml:space="preserve"> </w:t>
      </w:r>
      <w:r w:rsidR="00A3133F" w:rsidRPr="00A3133F">
        <w:rPr>
          <w:color w:val="000000"/>
        </w:rPr>
        <w:t xml:space="preserve">(приложение </w:t>
      </w:r>
      <w:r w:rsidRPr="00A3133F">
        <w:rPr>
          <w:color w:val="000000"/>
        </w:rPr>
        <w:t>к Информационному письму Президиума ВАС РФ от 14.11.97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г</w:t>
      </w:r>
      <w:r w:rsidRPr="00A3133F">
        <w:rPr>
          <w:color w:val="000000"/>
        </w:rPr>
        <w:t xml:space="preserve">.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2</w:t>
      </w:r>
      <w:r w:rsidRPr="00A3133F">
        <w:rPr>
          <w:color w:val="000000"/>
        </w:rPr>
        <w:t xml:space="preserve">2) при определении выручки для целей налогообложения «по оплате» к поступлению денежных средств на расчетный счет налогоплательщика приравнивается «погашение дебиторской задолженности иным способом». Предоставление отступного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это погашение дебиторской задолженности покупателя неденежным способом и именно поэтому получение отступного следует считать моментом оплаты товара у продавца.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Упомянутое выше письмо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2</w:t>
      </w:r>
      <w:r w:rsidRPr="00A3133F">
        <w:rPr>
          <w:color w:val="000000"/>
        </w:rPr>
        <w:t xml:space="preserve">2 касалось вопросов арбитражной практики по налогу на прибыль. Но выручка для целей обложения НДС и налогом на прибыль определяется одинаково, поэтому получение отступного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это момент реализации «по оплате» для обоих налогов.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Случай с передачей векселя третьего лица прямо не описан ни в Законе о НДС, ни в инструкции Госналогслужбы России от 11.10.95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г</w:t>
      </w:r>
      <w:r w:rsidRPr="00A3133F">
        <w:rPr>
          <w:color w:val="000000"/>
        </w:rPr>
        <w:t xml:space="preserve">.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3</w:t>
      </w:r>
      <w:r w:rsidRPr="00A3133F">
        <w:rPr>
          <w:color w:val="000000"/>
        </w:rPr>
        <w:t xml:space="preserve">9 «О порядке исчисления и уплаты налога на добавленную стоимость» (в ред. последующих изменений и дополнений, далее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Инструкция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3</w:t>
      </w:r>
      <w:r w:rsidRPr="00A3133F">
        <w:rPr>
          <w:color w:val="000000"/>
        </w:rPr>
        <w:t xml:space="preserve">9). С правовой точки зрения, предоставление отступного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это погашение долга за товар. Получение отступного за отгруженный товар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это получение выручки для покупателя товара, если он применяет учетную политику «по оплате».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Но согласно ст.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7</w:t>
      </w:r>
      <w:r w:rsidRPr="00A3133F">
        <w:rPr>
          <w:color w:val="000000"/>
        </w:rPr>
        <w:t xml:space="preserve"> Закона о НДС зачет НДС при расчетах векселем возможен только после его оплаты денежными средствами (причем там нет никакого выделения векселей третьих лиц в какую-то особую группу).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Значит, получив вексель третьего лица, продавец получает оплату товара и НДС. Но у покупателя нет права на зачет НДС до уплаты денег. А уплаты денег в этой ситуации не будет никогда. Расчеты сторон закончены, вексель от покупателя «ушел», деньги по нему будет получать не он, а другое лицо. Кто это лицо, покупатель товара может даже не узнать.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Кроме того, если вексель пройдет по цепочке из нескольких лиц и у каждого выручка будет облагаться НДС, но не будет зачета, то получится, что одна и та же добавленная стоимость будет многократно обложена налогом и сумма налога, уплаченная всеми участниками цепочки, может даже превысить эту добавленную стоимость.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Противоречия Закона о НДС заставляют нас искать ответы на вопрос о налогообложении расчетов векселями третьих лиц в документах МНС России, которые согласно Налоговому кодексу Российской Федерации (далее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Н К РФ) являются разъяснениями налогового законодательства.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До 2006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г</w:t>
      </w:r>
      <w:r w:rsidRPr="00A3133F">
        <w:rPr>
          <w:color w:val="000000"/>
        </w:rPr>
        <w:t>. в отдельных письмах Госналогслужба России указывала на то, что в случае расчета векселем третьего лица есть фактическая уплата НДС со стороны поставщика. Так, в письме Госналогслужбы России от 30.08.96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г</w:t>
      </w:r>
      <w:r w:rsidRPr="00A3133F">
        <w:rPr>
          <w:color w:val="000000"/>
        </w:rPr>
        <w:t xml:space="preserve">.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В</w:t>
      </w:r>
      <w:r w:rsidRPr="00A3133F">
        <w:rPr>
          <w:color w:val="000000"/>
        </w:rPr>
        <w:t>Г</w:t>
      </w:r>
      <w:r w:rsidR="00A3133F">
        <w:rPr>
          <w:color w:val="000000"/>
        </w:rPr>
        <w:noBreakHyphen/>
      </w:r>
      <w:r w:rsidR="00A3133F" w:rsidRPr="00A3133F">
        <w:rPr>
          <w:color w:val="000000"/>
        </w:rPr>
        <w:t>6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>1</w:t>
      </w:r>
      <w:r w:rsidRPr="00A3133F">
        <w:rPr>
          <w:color w:val="000000"/>
        </w:rPr>
        <w:t xml:space="preserve">3/616 «По отдельным вопросам учета и отчетности для целей налогообложения» (вопрос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1</w:t>
      </w:r>
      <w:r w:rsidRPr="00A3133F">
        <w:rPr>
          <w:color w:val="000000"/>
        </w:rPr>
        <w:t xml:space="preserve">4) говорилось о том, что датой совершения оборота, облагаемого НДС, при реализации «по оплате» считается «день поступления денежных средств по векселю, а при расчете векселем с поставщиком за продукцию (товары, услуги) </w:t>
      </w:r>
      <w:r w:rsidR="00A3133F">
        <w:rPr>
          <w:color w:val="000000"/>
        </w:rPr>
        <w:t xml:space="preserve">– </w:t>
      </w:r>
      <w:r w:rsidR="00A3133F" w:rsidRPr="00A3133F">
        <w:rPr>
          <w:color w:val="000000"/>
        </w:rPr>
        <w:t>д</w:t>
      </w:r>
      <w:r w:rsidRPr="00A3133F">
        <w:rPr>
          <w:color w:val="000000"/>
        </w:rPr>
        <w:t>ата передачи векселя».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Иными словами, передача векселя третьего лица согласно этому письму считалась оплатой продукции (работ, услуг) у продавца. Соответственно можно было сделать вывод, что это была и фактическая оплата со стороны покупателя.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Наличие разного рода вексельных схем, основанных на зачете НДС при передаче векселей третьих лиц, заставило налоговые органы ужесточить свою позицию. Сначала в ответе на запрос ГНИ по </w:t>
      </w:r>
      <w:r w:rsidR="00A3133F" w:rsidRPr="00A3133F">
        <w:rPr>
          <w:color w:val="000000"/>
        </w:rPr>
        <w:t>г.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Москве</w:t>
      </w:r>
      <w:r w:rsidRPr="00A3133F">
        <w:rPr>
          <w:color w:val="000000"/>
        </w:rPr>
        <w:t xml:space="preserve"> и ряда других региональных инспекций (письмо МНС России от 25.02.99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г</w:t>
      </w:r>
      <w:r w:rsidRPr="00A3133F">
        <w:rPr>
          <w:color w:val="000000"/>
        </w:rPr>
        <w:t xml:space="preserve">.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0</w:t>
      </w:r>
      <w:r w:rsidRPr="00A3133F">
        <w:rPr>
          <w:color w:val="000000"/>
        </w:rPr>
        <w:t>3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>4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>0</w:t>
      </w:r>
      <w:r w:rsidRPr="00A3133F">
        <w:rPr>
          <w:color w:val="000000"/>
        </w:rPr>
        <w:t>9/39 «О налоге на добавленную стоимость»), а потом и в письме МНС России от 03.02.2007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г</w:t>
      </w:r>
      <w:r w:rsidRPr="00A3133F">
        <w:rPr>
          <w:color w:val="000000"/>
        </w:rPr>
        <w:t xml:space="preserve">.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В</w:t>
      </w:r>
      <w:r w:rsidRPr="00A3133F">
        <w:rPr>
          <w:color w:val="000000"/>
        </w:rPr>
        <w:t>Г</w:t>
      </w:r>
      <w:r w:rsidR="00A3133F">
        <w:rPr>
          <w:color w:val="000000"/>
        </w:rPr>
        <w:noBreakHyphen/>
      </w:r>
      <w:r w:rsidR="00A3133F" w:rsidRPr="00A3133F">
        <w:rPr>
          <w:color w:val="000000"/>
        </w:rPr>
        <w:t>6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>0</w:t>
      </w:r>
      <w:r w:rsidRPr="00A3133F">
        <w:rPr>
          <w:color w:val="000000"/>
        </w:rPr>
        <w:t>3/99@ был выдвинут принцип: зачет НДС при расчетах векселями третьих лиц возможен, но в пределах определенного лимита, который для каждого векселя устанавливается отдельно.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В письме М НС России от 03.02.2007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г</w:t>
      </w:r>
      <w:r w:rsidRPr="00A3133F">
        <w:rPr>
          <w:color w:val="000000"/>
        </w:rPr>
        <w:t xml:space="preserve">.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В</w:t>
      </w:r>
      <w:r w:rsidRPr="00A3133F">
        <w:rPr>
          <w:color w:val="000000"/>
        </w:rPr>
        <w:t>Г</w:t>
      </w:r>
      <w:r w:rsidR="00A3133F">
        <w:rPr>
          <w:color w:val="000000"/>
        </w:rPr>
        <w:noBreakHyphen/>
      </w:r>
      <w:r w:rsidR="00A3133F" w:rsidRPr="00A3133F">
        <w:rPr>
          <w:color w:val="000000"/>
        </w:rPr>
        <w:t>6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>0</w:t>
      </w:r>
      <w:r w:rsidRPr="00A3133F">
        <w:rPr>
          <w:color w:val="000000"/>
        </w:rPr>
        <w:t>3/99@ по поводу этого лимита сказано весьма расплывчато: зачет НДС при расчетах векселем третьего лица производится в пределах сумм, «не превышающих стоимости товаров (работ, услуг), отгруженных индоссантом, за которые ранее получен вексель». Конкретную методику зачета НДС в этой ситуации можно представить прочитав письмо МНС России от 25.02.99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г</w:t>
      </w:r>
      <w:r w:rsidRPr="00A3133F">
        <w:rPr>
          <w:color w:val="000000"/>
        </w:rPr>
        <w:t xml:space="preserve">.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0</w:t>
      </w:r>
      <w:r w:rsidRPr="00A3133F">
        <w:rPr>
          <w:color w:val="000000"/>
        </w:rPr>
        <w:t>3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>4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>0</w:t>
      </w:r>
      <w:r w:rsidRPr="00A3133F">
        <w:rPr>
          <w:color w:val="000000"/>
        </w:rPr>
        <w:t>9/39, которое, как было сказано, является всего лишь ответом на запрос. Почему эта методика не была разъяснена для всех налогоплательщиков в письме МНС России от 03.02.2007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г</w:t>
      </w:r>
      <w:r w:rsidRPr="00A3133F">
        <w:rPr>
          <w:color w:val="000000"/>
        </w:rPr>
        <w:t xml:space="preserve">.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В</w:t>
      </w:r>
      <w:r w:rsidRPr="00A3133F">
        <w:rPr>
          <w:color w:val="000000"/>
        </w:rPr>
        <w:t>Г</w:t>
      </w:r>
      <w:r w:rsidR="00A3133F">
        <w:rPr>
          <w:color w:val="000000"/>
        </w:rPr>
        <w:noBreakHyphen/>
      </w:r>
      <w:r w:rsidR="00A3133F" w:rsidRPr="00A3133F">
        <w:rPr>
          <w:color w:val="000000"/>
        </w:rPr>
        <w:t>6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>0</w:t>
      </w:r>
      <w:r w:rsidRPr="00A3133F">
        <w:rPr>
          <w:color w:val="000000"/>
        </w:rPr>
        <w:t>3/99@, можно только догадываться.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Проанализировав упомянутое выше письмо Госналогслужбы России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0</w:t>
      </w:r>
      <w:r w:rsidRPr="00A3133F">
        <w:rPr>
          <w:color w:val="000000"/>
        </w:rPr>
        <w:t>3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>4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>0</w:t>
      </w:r>
      <w:r w:rsidRPr="00A3133F">
        <w:rPr>
          <w:color w:val="000000"/>
        </w:rPr>
        <w:t>9/39, можно сделать вывод, что порядок расчета лимита выглядит примерно так: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Надо определить, чем предприятие оплатило данный вексель. Зачет НДС возможен только в том случае, если вексель был куплен за деньги (как финансовое вложение в ценную бумагу) или получен в оплату за товары (работы, услуги). Лимит НДС к зачету для данного векселя равен НДС по соответствующим товарам (работам, услугам), что можно проверить по счету-фактуре, или 16,6</w:t>
      </w:r>
      <w:r w:rsidR="00A3133F" w:rsidRPr="00A3133F">
        <w:rPr>
          <w:color w:val="000000"/>
        </w:rPr>
        <w:t>7</w:t>
      </w:r>
      <w:r w:rsidR="00A3133F">
        <w:rPr>
          <w:color w:val="000000"/>
        </w:rPr>
        <w:t>%</w:t>
      </w:r>
      <w:r w:rsidRPr="00A3133F">
        <w:rPr>
          <w:color w:val="000000"/>
        </w:rPr>
        <w:t xml:space="preserve"> от реально уплаченных за вексель денег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Возможно и применение следующей схемы работы с векселями третьих лиц; покупатель берет кредит в банке, тут же на него покупает вексель банка и с этого момента получает вексель третьего лица оплаченный деньгами который можно использовать для оплаты товаров (работ, услуг). Если лимит НДС к зачету окажется слишком мал для покупателя, значит ему надо взять кредит на большую сумму и купить вексель за более высокую цену</w:t>
      </w:r>
    </w:p>
    <w:p w:rsidR="00A3133F" w:rsidRDefault="00A3133F" w:rsidP="00A3133F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bookmarkStart w:id="3" w:name="_Toc431240965"/>
    </w:p>
    <w:p w:rsidR="00A46351" w:rsidRPr="00A3133F" w:rsidRDefault="00A46351" w:rsidP="00A3133F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 w:rsidRPr="00A3133F">
        <w:rPr>
          <w:color w:val="000000"/>
          <w:sz w:val="28"/>
        </w:rPr>
        <w:t>Складские свидетельства</w:t>
      </w:r>
      <w:bookmarkEnd w:id="3"/>
    </w:p>
    <w:p w:rsidR="00A46351" w:rsidRPr="00A3133F" w:rsidRDefault="00A46351" w:rsidP="00A3133F">
      <w:pPr>
        <w:ind w:firstLine="709"/>
        <w:rPr>
          <w:color w:val="000000"/>
        </w:rPr>
      </w:pP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Складское свидетельство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это ценная бумага, являющаяся формой договора хранения. Схема его выдачи обычно такова: владелец товара сдает его на склад на хранение, склад выдает ему ценную бумагу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складское свидетельство, удостоверяющую факт заключения между ними договора хранения. Назад товар выдается со склада тому, кто предъявит это свидетельство.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Складские свидетельства бывают простыми и двойными. Простое складское свидетельство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это ценная бумага на предъявителя, </w:t>
      </w:r>
      <w:r w:rsidR="00A3133F">
        <w:rPr>
          <w:color w:val="000000"/>
        </w:rPr>
        <w:t>т.е.</w:t>
      </w:r>
      <w:r w:rsidRPr="00A3133F">
        <w:rPr>
          <w:color w:val="000000"/>
        </w:rPr>
        <w:t xml:space="preserve"> кто бы ее ни принес, склад обязан выдать товар. Двойное складское свидетельство состоит из двух частей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складского свидетельства и залогового свидетельства (варранта), которые могут быть отделены одно от другого, причем каждая часть является ценной бумагой и может обращаться обособленно.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Разделение обеих частей двойного складского свидетельства возможно только в связи с получением кредита (имеется ввиду банковский кредит) под залог товара. В этом случае кредитору передается в залог варрант, который он может, в свою очередь, переуступить другому кредитору Передач а свидетельств оформляется путем совершения на них передаточной надписи.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С обращением складских свидетельств связаны две правовые проблемы которые пока прямо не разъяснены в законодательстве.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Первую проблему можно назвать проблемой «номерка в гардеробе»: я сдал шубу в гардероб, получил номерок и отдал его вам: номерок в данном случае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аналог складского свидетельства: полученный номерок вы возвращать мне не должны; пока вы не дошли до гардероба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вы уже собственник шубы или еще нет? Иными словами, получив складское свидетельство, его покупатель стал собственником товара или еще нет? И если нет, то что же тогда купил и чей товар?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Складское свидетельство</w:t>
      </w:r>
      <w:r w:rsidR="00A3133F">
        <w:rPr>
          <w:color w:val="000000"/>
        </w:rPr>
        <w:t>–</w:t>
      </w:r>
      <w:r w:rsidRPr="00A3133F">
        <w:rPr>
          <w:color w:val="000000"/>
        </w:rPr>
        <w:t>это товарораспорядительный документ. Согласно п.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3</w:t>
      </w:r>
      <w:r w:rsidRPr="00A3133F">
        <w:rPr>
          <w:color w:val="000000"/>
        </w:rPr>
        <w:t xml:space="preserve"> ст.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2</w:t>
      </w:r>
      <w:r w:rsidRPr="00A3133F">
        <w:rPr>
          <w:color w:val="000000"/>
        </w:rPr>
        <w:t>24 ГК РФ передача такого документа приравнивается к передаче права собственности на товар (</w:t>
      </w:r>
      <w:r w:rsidR="00A3133F">
        <w:rPr>
          <w:color w:val="000000"/>
        </w:rPr>
        <w:t>т.е.</w:t>
      </w:r>
      <w:r w:rsidRPr="00A3133F">
        <w:rPr>
          <w:color w:val="000000"/>
        </w:rPr>
        <w:t xml:space="preserve"> вещного права на него). А передача вещного права в соответствии со ст.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3</w:t>
      </w:r>
      <w:r w:rsidRPr="00A3133F">
        <w:rPr>
          <w:color w:val="000000"/>
        </w:rPr>
        <w:t>9 Н К РФ есть реализация товара. Подход к налогообложению складских свидетельств зависит от того, считаем мы передачу свидетельства передачей товара или видим здесь лишь некую «уступку права требования поклажедателя к хранителю» в рамках договора хранения.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Однако есть мнение (отраженное, кстати, в проекте закона о складских свидетельствах), что передача права собственности происходит только тогда, когда последний владелец забирает товар со склада (а до того передается лишь право поклажедателя истребовать товар со склада, </w:t>
      </w:r>
      <w:r w:rsidR="00A3133F">
        <w:rPr>
          <w:color w:val="000000"/>
        </w:rPr>
        <w:t>т.е.</w:t>
      </w:r>
      <w:r w:rsidRPr="00A3133F">
        <w:rPr>
          <w:color w:val="000000"/>
        </w:rPr>
        <w:t xml:space="preserve"> происходит уступка права требован и я по договору хранения).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Вторая проблема касается двойных складских свидетельств. Передача варранта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это передача предмета залога новому залогодержателю. Согласно ГК РФ одновременно к новому кредитору переходят права по основному обязательству (договору кредита). Отсюда возникает вопрос: могут ли варранты обращаться среди небанковских организаций, </w:t>
      </w:r>
      <w:r w:rsidR="00A3133F">
        <w:rPr>
          <w:color w:val="000000"/>
        </w:rPr>
        <w:t>т.е.</w:t>
      </w:r>
      <w:r w:rsidRPr="00A3133F">
        <w:rPr>
          <w:color w:val="000000"/>
        </w:rPr>
        <w:t xml:space="preserve"> Может ли обычная организация приобрести права кредитора по банковскому кредиту, ведь для таких операции требуется лицензия кредитной организации?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Для практической работы со складскими свидетельствами важен ответ на следующий вопрос: происходит переход права собственности на товар с передачей свидетельства или нет?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Если да, то мы имеем дело с реализацией товара, облагаемой НДС и всеми налогами в общем порядке. Передача складского свидетельства в этом случае ничем не отличается от передачи товара по коносаменту или накладной (кстати, коносамент, или морская транспортная накладная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это тоже ценная бумага, но ее передача отражается в учете как реализация товара). Бухгалтерский учет складских свидетельств при первой трактовке должен вестись с использованием счетов 41 «Товары» и 46 «Реализация продукции (работ, услуг)», а передача варранта должна отражаться как получение кредита под залог товара (а не как эмиссия или передача ценной бумаги).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Если же при передаче свидетельства перехода права собственности не происходит до момента выдачи товара со склада последнему владельцу свидетельства, то передача таких складских свидетельств должна отражаться в бухгалтерском и налоговом учете как торговля ценными бумагами. Эта точка зрения отражена, в частности, в письме ГНИ по </w:t>
      </w:r>
      <w:r w:rsidR="00A3133F" w:rsidRPr="00A3133F">
        <w:rPr>
          <w:color w:val="000000"/>
        </w:rPr>
        <w:t>г.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Москве</w:t>
      </w:r>
      <w:r w:rsidRPr="00A3133F">
        <w:rPr>
          <w:color w:val="000000"/>
        </w:rPr>
        <w:t xml:space="preserve"> от 29.12.98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г</w:t>
      </w:r>
      <w:r w:rsidRPr="00A3133F">
        <w:rPr>
          <w:color w:val="000000"/>
        </w:rPr>
        <w:t xml:space="preserve">. </w:t>
      </w:r>
      <w:r w:rsidR="00A3133F">
        <w:rPr>
          <w:color w:val="000000"/>
        </w:rPr>
        <w:t>№</w:t>
      </w:r>
      <w:r w:rsidR="00A3133F" w:rsidRPr="00A3133F">
        <w:rPr>
          <w:color w:val="000000"/>
        </w:rPr>
        <w:t>3</w:t>
      </w:r>
      <w:r w:rsidRPr="00A3133F">
        <w:rPr>
          <w:color w:val="000000"/>
        </w:rPr>
        <w:t>0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>1</w:t>
      </w:r>
      <w:r w:rsidRPr="00A3133F">
        <w:rPr>
          <w:color w:val="000000"/>
        </w:rPr>
        <w:t xml:space="preserve">4/3Х2 IX «О налоге на добавленную стоимость», которое было адресовано в территориальные налоговые инспекции </w:t>
      </w:r>
      <w:r w:rsidR="00A3133F" w:rsidRPr="00A3133F">
        <w:rPr>
          <w:color w:val="000000"/>
        </w:rPr>
        <w:t>г.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Москвы</w:t>
      </w:r>
      <w:r w:rsidRPr="00A3133F">
        <w:rPr>
          <w:color w:val="000000"/>
        </w:rPr>
        <w:t>. Бухгалтерский учет складских свидетельств при второй трактовке дол же и вестись на счетах финансовых вложений.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У второй точки зрения есть довольно много сторонников, так как если при передаче складских свидетельств нет перехода прав собственности на товары, то:</w:t>
      </w:r>
    </w:p>
    <w:p w:rsidR="00A46351" w:rsidRPr="00A3133F" w:rsidRDefault="00A46351" w:rsidP="00A3133F">
      <w:pPr>
        <w:numPr>
          <w:ilvl w:val="0"/>
          <w:numId w:val="1"/>
        </w:numPr>
        <w:tabs>
          <w:tab w:val="clear" w:pos="360"/>
          <w:tab w:val="num" w:pos="1211"/>
        </w:tabs>
        <w:ind w:left="0" w:firstLine="709"/>
        <w:rPr>
          <w:color w:val="000000"/>
        </w:rPr>
      </w:pPr>
      <w:r w:rsidRPr="00A3133F">
        <w:rPr>
          <w:color w:val="000000"/>
        </w:rPr>
        <w:t>упрощается их оборот на рынке ценных бумаг:</w:t>
      </w:r>
    </w:p>
    <w:p w:rsidR="00A46351" w:rsidRPr="00A3133F" w:rsidRDefault="00A46351" w:rsidP="00A3133F">
      <w:pPr>
        <w:numPr>
          <w:ilvl w:val="0"/>
          <w:numId w:val="1"/>
        </w:numPr>
        <w:tabs>
          <w:tab w:val="clear" w:pos="360"/>
          <w:tab w:val="num" w:pos="1211"/>
        </w:tabs>
        <w:ind w:left="0" w:firstLine="709"/>
        <w:rPr>
          <w:color w:val="000000"/>
        </w:rPr>
      </w:pPr>
      <w:r w:rsidRPr="00A3133F">
        <w:rPr>
          <w:color w:val="000000"/>
        </w:rPr>
        <w:t>значительная часть оптовиков может не платить со своих операций НДС и оборотные налоги (торгуя вместо товара товарораспорядительными ценными бумагами).</w:t>
      </w:r>
    </w:p>
    <w:p w:rsidR="00A46351" w:rsidRPr="00A3133F" w:rsidRDefault="00A3133F" w:rsidP="00A3133F">
      <w:pPr>
        <w:pStyle w:val="a4"/>
        <w:ind w:firstLine="709"/>
        <w:rPr>
          <w:color w:val="000000"/>
        </w:rPr>
      </w:pPr>
      <w:r>
        <w:rPr>
          <w:color w:val="000000"/>
        </w:rPr>
        <w:t>Однако</w:t>
      </w:r>
      <w:r w:rsidR="00A46351" w:rsidRPr="00A3133F">
        <w:rPr>
          <w:color w:val="000000"/>
        </w:rPr>
        <w:t xml:space="preserve"> пока в законодательстве не будут сделаны прямые разъяснения по налогообложению складских свидетельств, применять вторую трактовку опасно потрем причинам: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1) всегда есть возможность, что суд применит к таким операциям п.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3</w:t>
      </w:r>
      <w:r w:rsidRPr="00A3133F">
        <w:rPr>
          <w:color w:val="000000"/>
        </w:rPr>
        <w:t xml:space="preserve"> ст.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2</w:t>
      </w:r>
      <w:r w:rsidRPr="00A3133F">
        <w:rPr>
          <w:color w:val="000000"/>
        </w:rPr>
        <w:t>24 ГК РФ и усмотрит тут реализацию товара, а не ценной бумаги. Если же осуществлять торговлю не самими складскими свидетельствами, а варрантами, то реализации товара тут, безусловно, не будет (залог не влечет перехода права собственности), но придется уступать и права по основному обязательству. Так как варрант дается только под кредит банка, суд может усмотреть в таких операциях безлицензионную банковскую деятельность;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2) возникает вопрос об уплате НДС первым владельцем свидетельства. Например, первый владелец произвел товар, заплатил в ходе его производства НДС, потом положил товар на склад, получил простое складское свидетельство и продал его. Если право собственности на товар осталось у него, значит, он не реализовал товар. Как трактовать полученные им деньги? Как собственные средства, отражаемые в разделе IV баланса?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Нет. Как заем?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Нет, здесь договор хранения. Так как, отдавая свидетельство, владельцу рано или поздно придется отдать товар, мы приходим к выводу, что хозяин товара получил не что иное, как аванс под реализацию этого товара (облагаемый НДС);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3) есть проблемы и с уплатой НДС последним владельцем складского свидетельства. Он купил ценную бумагу без НДС, затем взял товар со склада. Он должен списать с баланса ценную бумагу и оприходовать товар, а эта операция, несомненно, облагается НДС. Кому он должен его уплатить? Если собственник товара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первый владелец, то он и должен составить счет-фактуру, но на какую сумму? Ведь он продавал свидетельство совсем другому лицу за другую цену, да и договорных отношений с последним владельцем у него нет. В этом случае не обойтись без специального договора передачи товара между первым и последним владельцем свидетельства, но при условии, что они сойдутся в цене. А если нет?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Из всего изложенного можно сделать вывод о том, что сегодня торговым и производственным организациям, в принципе, нежелательно работать со складскими свидетельствами до того момента, пока не будут приняты закон о них (находится в стадии разработки), а также соответствующие изменения к Закону о НДС.</w:t>
      </w:r>
    </w:p>
    <w:p w:rsidR="00A3133F" w:rsidRDefault="00A3133F" w:rsidP="00A3133F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bookmarkStart w:id="4" w:name="_Toc431240966"/>
    </w:p>
    <w:p w:rsidR="00A3133F" w:rsidRDefault="00A3133F" w:rsidP="00A3133F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A46351" w:rsidRPr="00A3133F" w:rsidRDefault="00A3133F" w:rsidP="00A3133F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46351" w:rsidRPr="00A3133F">
        <w:rPr>
          <w:color w:val="000000"/>
          <w:sz w:val="28"/>
        </w:rPr>
        <w:t>Заключение</w:t>
      </w:r>
      <w:bookmarkEnd w:id="4"/>
    </w:p>
    <w:p w:rsidR="00A46351" w:rsidRPr="00A3133F" w:rsidRDefault="00A46351" w:rsidP="00A3133F">
      <w:pPr>
        <w:ind w:firstLine="709"/>
        <w:rPr>
          <w:color w:val="000000"/>
        </w:rPr>
      </w:pP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>Таким образом, вексель представляет собой договор займа, оформленный в виде ценной бумаги с определенным набором реквизитов (ст.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8</w:t>
      </w:r>
      <w:r w:rsidRPr="00A3133F">
        <w:rPr>
          <w:color w:val="000000"/>
        </w:rPr>
        <w:t xml:space="preserve">15 Гражданского кодекса Российской Федерации, далее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ГК РФ). Другими словами, у векселя две стороны: это заем и одновременно имущество, так как ценные бумаги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вид движимого имущества.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Складское свидетельство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это ценная бумага, являющаяся формой договора хранения. Схема его выдачи обычно такова: владелец товара сдает его на склад на хранение, склад выдает ему ценную бумагу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складское свидетельство, удостоверяющую факт заключения между ними договора хранения. Назад товар выдается со склада тому, кто предъявит это свидетельство.</w:t>
      </w:r>
    </w:p>
    <w:p w:rsidR="00A46351" w:rsidRPr="00A3133F" w:rsidRDefault="00A46351" w:rsidP="00A3133F">
      <w:pPr>
        <w:ind w:firstLine="709"/>
        <w:rPr>
          <w:color w:val="000000"/>
        </w:rPr>
      </w:pPr>
      <w:r w:rsidRPr="00A3133F">
        <w:rPr>
          <w:color w:val="000000"/>
        </w:rPr>
        <w:t xml:space="preserve">Складские свидетельства бывают простыми и двойными. Простое складское свидетельство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 xml:space="preserve">это ценная бумага на предъявителя, </w:t>
      </w:r>
      <w:r w:rsidR="00A3133F">
        <w:rPr>
          <w:color w:val="000000"/>
        </w:rPr>
        <w:t>т.е.</w:t>
      </w:r>
      <w:r w:rsidRPr="00A3133F">
        <w:rPr>
          <w:color w:val="000000"/>
        </w:rPr>
        <w:t xml:space="preserve"> кто бы ее ни принес, склад обязан выдать товар. Двойное складское свидетельство состоит из двух частей </w:t>
      </w:r>
      <w:r w:rsidR="00A3133F">
        <w:rPr>
          <w:color w:val="000000"/>
        </w:rPr>
        <w:t>–</w:t>
      </w:r>
      <w:r w:rsidR="00A3133F" w:rsidRPr="00A3133F">
        <w:rPr>
          <w:color w:val="000000"/>
        </w:rPr>
        <w:t xml:space="preserve"> </w:t>
      </w:r>
      <w:r w:rsidRPr="00A3133F">
        <w:rPr>
          <w:color w:val="000000"/>
        </w:rPr>
        <w:t>складского свидетельства и залогового свидетельства (варранта), которые могут быть отделены одно от другого, причем каждая часть является ценной бумагой и может обращаться обособленно</w:t>
      </w:r>
      <w:r w:rsidR="00A3133F">
        <w:rPr>
          <w:color w:val="000000"/>
        </w:rPr>
        <w:t>.</w:t>
      </w:r>
    </w:p>
    <w:p w:rsidR="00A3133F" w:rsidRDefault="00A3133F" w:rsidP="00A3133F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A3133F" w:rsidRDefault="00A3133F" w:rsidP="00A3133F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A46351" w:rsidRPr="00A3133F" w:rsidRDefault="00A46351" w:rsidP="00A3133F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r w:rsidRPr="00A3133F">
        <w:rPr>
          <w:color w:val="000000"/>
          <w:sz w:val="28"/>
        </w:rPr>
        <w:br w:type="page"/>
      </w:r>
      <w:bookmarkStart w:id="5" w:name="_Toc431240967"/>
      <w:r w:rsidRPr="00A3133F">
        <w:rPr>
          <w:color w:val="000000"/>
          <w:sz w:val="28"/>
        </w:rPr>
        <w:t>Литература</w:t>
      </w:r>
      <w:bookmarkEnd w:id="5"/>
    </w:p>
    <w:p w:rsidR="00A46351" w:rsidRPr="00A3133F" w:rsidRDefault="00A46351" w:rsidP="00A3133F">
      <w:pPr>
        <w:ind w:firstLine="709"/>
        <w:rPr>
          <w:color w:val="000000"/>
        </w:rPr>
      </w:pPr>
    </w:p>
    <w:p w:rsidR="00A46351" w:rsidRPr="00A3133F" w:rsidRDefault="00A3133F" w:rsidP="00A3133F">
      <w:pPr>
        <w:numPr>
          <w:ilvl w:val="0"/>
          <w:numId w:val="2"/>
        </w:numPr>
        <w:tabs>
          <w:tab w:val="clear" w:pos="360"/>
          <w:tab w:val="num" w:pos="280"/>
        </w:tabs>
        <w:ind w:left="0" w:firstLine="0"/>
        <w:rPr>
          <w:color w:val="000000"/>
        </w:rPr>
      </w:pPr>
      <w:r w:rsidRPr="00A3133F">
        <w:rPr>
          <w:color w:val="000000"/>
        </w:rPr>
        <w:t>Голубцов</w:t>
      </w:r>
      <w:r>
        <w:rPr>
          <w:color w:val="000000"/>
        </w:rPr>
        <w:t> </w:t>
      </w:r>
      <w:r w:rsidRPr="00A3133F">
        <w:rPr>
          <w:color w:val="000000"/>
        </w:rPr>
        <w:t>В.Ю.</w:t>
      </w:r>
      <w:r>
        <w:rPr>
          <w:color w:val="000000"/>
        </w:rPr>
        <w:t> </w:t>
      </w:r>
      <w:r w:rsidRPr="00A3133F">
        <w:rPr>
          <w:color w:val="000000"/>
        </w:rPr>
        <w:t>Кредитование</w:t>
      </w:r>
      <w:r w:rsidR="00A46351" w:rsidRPr="00A3133F">
        <w:rPr>
          <w:color w:val="000000"/>
        </w:rPr>
        <w:t xml:space="preserve"> и расчеты. – М., 2005.</w:t>
      </w:r>
    </w:p>
    <w:p w:rsidR="00A46351" w:rsidRPr="00A3133F" w:rsidRDefault="00A46351" w:rsidP="00A3133F">
      <w:pPr>
        <w:numPr>
          <w:ilvl w:val="0"/>
          <w:numId w:val="2"/>
        </w:numPr>
        <w:tabs>
          <w:tab w:val="clear" w:pos="360"/>
          <w:tab w:val="num" w:pos="280"/>
        </w:tabs>
        <w:ind w:left="0" w:firstLine="0"/>
        <w:rPr>
          <w:color w:val="000000"/>
        </w:rPr>
      </w:pPr>
      <w:r w:rsidRPr="00A3133F">
        <w:rPr>
          <w:color w:val="000000"/>
        </w:rPr>
        <w:t>Кредитование и расчеты. Учебник для студентов экономических специальностей. – М.: Финансы и статистика, 2006.</w:t>
      </w:r>
    </w:p>
    <w:p w:rsidR="00A46351" w:rsidRPr="00A3133F" w:rsidRDefault="00A46351" w:rsidP="00A3133F">
      <w:pPr>
        <w:numPr>
          <w:ilvl w:val="0"/>
          <w:numId w:val="2"/>
        </w:numPr>
        <w:tabs>
          <w:tab w:val="clear" w:pos="360"/>
          <w:tab w:val="num" w:pos="280"/>
        </w:tabs>
        <w:ind w:left="0" w:firstLine="0"/>
        <w:rPr>
          <w:color w:val="000000"/>
        </w:rPr>
      </w:pPr>
      <w:r w:rsidRPr="00A3133F">
        <w:rPr>
          <w:color w:val="000000"/>
        </w:rPr>
        <w:t xml:space="preserve">Митин. </w:t>
      </w:r>
      <w:r w:rsidR="00A3133F" w:rsidRPr="00A3133F">
        <w:rPr>
          <w:color w:val="000000"/>
        </w:rPr>
        <w:t>Б.М.</w:t>
      </w:r>
      <w:r w:rsidR="00A3133F">
        <w:rPr>
          <w:color w:val="000000"/>
        </w:rPr>
        <w:t> </w:t>
      </w:r>
      <w:r w:rsidR="00A3133F" w:rsidRPr="00A3133F">
        <w:rPr>
          <w:color w:val="000000"/>
        </w:rPr>
        <w:t>Векселя</w:t>
      </w:r>
      <w:r w:rsidRPr="00A3133F">
        <w:rPr>
          <w:color w:val="000000"/>
        </w:rPr>
        <w:t xml:space="preserve"> и взаимозачеты: налоги, учет, арбитражная практика. – М.: Современная экономика и право, 2007.</w:t>
      </w:r>
    </w:p>
    <w:p w:rsidR="00A46351" w:rsidRPr="00A3133F" w:rsidRDefault="00A46351" w:rsidP="00A3133F">
      <w:pPr>
        <w:numPr>
          <w:ilvl w:val="0"/>
          <w:numId w:val="2"/>
        </w:numPr>
        <w:tabs>
          <w:tab w:val="clear" w:pos="360"/>
          <w:tab w:val="num" w:pos="280"/>
        </w:tabs>
        <w:ind w:left="0" w:firstLine="0"/>
        <w:rPr>
          <w:color w:val="000000"/>
        </w:rPr>
      </w:pPr>
      <w:r w:rsidRPr="00A3133F">
        <w:rPr>
          <w:color w:val="000000"/>
        </w:rPr>
        <w:t>Рынок ценных бумаг. – М.: Финансы и статистика, 2005.</w:t>
      </w:r>
    </w:p>
    <w:p w:rsidR="00A46351" w:rsidRPr="00A3133F" w:rsidRDefault="00A46351" w:rsidP="00A3133F">
      <w:pPr>
        <w:numPr>
          <w:ilvl w:val="0"/>
          <w:numId w:val="2"/>
        </w:numPr>
        <w:tabs>
          <w:tab w:val="clear" w:pos="360"/>
          <w:tab w:val="num" w:pos="280"/>
        </w:tabs>
        <w:ind w:left="0" w:firstLine="0"/>
        <w:rPr>
          <w:color w:val="000000"/>
        </w:rPr>
      </w:pPr>
      <w:r w:rsidRPr="00A3133F">
        <w:rPr>
          <w:color w:val="000000"/>
        </w:rPr>
        <w:t>Ценные бумаги. – М., 2007.</w:t>
      </w:r>
      <w:bookmarkStart w:id="6" w:name="_GoBack"/>
      <w:bookmarkEnd w:id="6"/>
    </w:p>
    <w:sectPr w:rsidR="00A46351" w:rsidRPr="00A3133F" w:rsidSect="00A3133F"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255F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55D513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351"/>
    <w:rsid w:val="008C4ACE"/>
    <w:rsid w:val="009C531B"/>
    <w:rsid w:val="00A3133F"/>
    <w:rsid w:val="00A46351"/>
    <w:rsid w:val="00A616B8"/>
    <w:rsid w:val="00B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8FB11E-11D7-4F57-8E00-EC1650EA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 w:after="12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20" w:after="120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60" w:after="6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Содержание"/>
    <w:basedOn w:val="a"/>
    <w:next w:val="a"/>
    <w:uiPriority w:val="99"/>
    <w:pPr>
      <w:spacing w:before="120" w:after="120"/>
      <w:ind w:firstLine="0"/>
      <w:jc w:val="center"/>
    </w:pPr>
    <w:rPr>
      <w:b/>
      <w:sz w:val="36"/>
    </w:rPr>
  </w:style>
  <w:style w:type="paragraph" w:styleId="a4">
    <w:name w:val="Body Text Indent"/>
    <w:basedOn w:val="a"/>
    <w:link w:val="a5"/>
    <w:uiPriority w:val="99"/>
  </w:style>
  <w:style w:type="character" w:customStyle="1" w:styleId="a5">
    <w:name w:val="Основной текст с отступом Знак"/>
    <w:link w:val="a4"/>
    <w:uiPriority w:val="99"/>
    <w:semiHidden/>
    <w:rPr>
      <w:sz w:val="28"/>
      <w:szCs w:val="20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1">
    <w:name w:val="toc 2"/>
    <w:basedOn w:val="a"/>
    <w:next w:val="a"/>
    <w:autoRedefine/>
    <w:uiPriority w:val="99"/>
    <w:semiHidden/>
    <w:pPr>
      <w:ind w:left="280"/>
    </w:pPr>
  </w:style>
  <w:style w:type="paragraph" w:styleId="31">
    <w:name w:val="toc 3"/>
    <w:basedOn w:val="a"/>
    <w:next w:val="a"/>
    <w:autoRedefine/>
    <w:uiPriority w:val="99"/>
    <w:semiHidden/>
    <w:pPr>
      <w:ind w:left="560"/>
    </w:pPr>
  </w:style>
  <w:style w:type="paragraph" w:styleId="4">
    <w:name w:val="toc 4"/>
    <w:basedOn w:val="a"/>
    <w:next w:val="a"/>
    <w:autoRedefine/>
    <w:uiPriority w:val="99"/>
    <w:semiHidden/>
    <w:pPr>
      <w:ind w:left="840"/>
    </w:pPr>
  </w:style>
  <w:style w:type="paragraph" w:styleId="5">
    <w:name w:val="toc 5"/>
    <w:basedOn w:val="a"/>
    <w:next w:val="a"/>
    <w:autoRedefine/>
    <w:uiPriority w:val="99"/>
    <w:semiHidden/>
    <w:pPr>
      <w:ind w:left="1120"/>
    </w:pPr>
  </w:style>
  <w:style w:type="paragraph" w:styleId="6">
    <w:name w:val="toc 6"/>
    <w:basedOn w:val="a"/>
    <w:next w:val="a"/>
    <w:autoRedefine/>
    <w:uiPriority w:val="99"/>
    <w:semiHidden/>
    <w:pPr>
      <w:ind w:left="1400"/>
    </w:pPr>
  </w:style>
  <w:style w:type="paragraph" w:styleId="7">
    <w:name w:val="toc 7"/>
    <w:basedOn w:val="a"/>
    <w:next w:val="a"/>
    <w:autoRedefine/>
    <w:uiPriority w:val="99"/>
    <w:semiHidden/>
    <w:pPr>
      <w:ind w:left="1680"/>
    </w:pPr>
  </w:style>
  <w:style w:type="paragraph" w:styleId="8">
    <w:name w:val="toc 8"/>
    <w:basedOn w:val="a"/>
    <w:next w:val="a"/>
    <w:autoRedefine/>
    <w:uiPriority w:val="99"/>
    <w:semiHidden/>
    <w:pPr>
      <w:ind w:left="1960"/>
    </w:pPr>
  </w:style>
  <w:style w:type="paragraph" w:styleId="9">
    <w:name w:val="toc 9"/>
    <w:basedOn w:val="a"/>
    <w:next w:val="a"/>
    <w:autoRedefine/>
    <w:uiPriority w:val="99"/>
    <w:semiHidden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Алгоритм и сравнительная характеристика использования векселей и складских средств при коммерческом кредитовании</vt:lpstr>
    </vt:vector>
  </TitlesOfParts>
  <Company>рефераты, курсовые, дипломы</Company>
  <LinksUpToDate>false</LinksUpToDate>
  <CharactersWithSpaces>25467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и сравнительная характеристика использования векселей и складских средств при коммерческом кредитовании</dc:title>
  <dc:subject/>
  <dc:creator>маза фака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2014-03-13T06:10:00Z</dcterms:created>
  <dcterms:modified xsi:type="dcterms:W3CDTF">2014-03-13T06:10:00Z</dcterms:modified>
</cp:coreProperties>
</file>