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E6" w:rsidRDefault="000C78FB">
      <w:pPr>
        <w:pStyle w:val="FR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3F67E6" w:rsidRDefault="003F67E6">
      <w:pPr>
        <w:pStyle w:val="FR2"/>
        <w:spacing w:line="360" w:lineRule="auto"/>
        <w:rPr>
          <w:rFonts w:ascii="Times New Roman" w:hAnsi="Times New Roman"/>
          <w:sz w:val="28"/>
        </w:rPr>
      </w:pPr>
    </w:p>
    <w:p w:rsidR="003F67E6" w:rsidRDefault="000C78FB">
      <w:pPr>
        <w:pStyle w:val="1"/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Под аллергическими реакциями в клинической практике понимают проявления,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 основе возникновения которых лежит иммунологический   конфликт. В диагностике аллергических реакций важно выявить аллерген, его причинную связь с клиническими проявлениями и тип иммунологической реакции. Общепринятым является патогенетический принцип выделения 4 типов аллергических реакций. </w:t>
      </w:r>
    </w:p>
    <w:p w:rsidR="003F67E6" w:rsidRDefault="003F67E6">
      <w:pPr>
        <w:pStyle w:val="1"/>
        <w:spacing w:line="360" w:lineRule="auto"/>
        <w:ind w:firstLine="0"/>
        <w:rPr>
          <w:sz w:val="28"/>
          <w:lang w:val="en-US"/>
        </w:rPr>
      </w:pPr>
    </w:p>
    <w:p w:rsidR="003F67E6" w:rsidRDefault="000C78FB">
      <w:pPr>
        <w:pStyle w:val="1"/>
        <w:spacing w:line="360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Типы аллергических реакций</w:t>
      </w:r>
    </w:p>
    <w:p w:rsidR="003F67E6" w:rsidRDefault="003F67E6">
      <w:pPr>
        <w:pStyle w:val="1"/>
        <w:spacing w:line="360" w:lineRule="auto"/>
        <w:ind w:firstLine="0"/>
        <w:rPr>
          <w:sz w:val="28"/>
          <w:lang w:val="en-US"/>
        </w:rPr>
      </w:pPr>
    </w:p>
    <w:p w:rsidR="003F67E6" w:rsidRDefault="000C78FB">
      <w:pPr>
        <w:pStyle w:val="1"/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Первые три типа проявляются остро и поэтому больше нуждаются в ургентных мероприятиях. </w:t>
      </w:r>
    </w:p>
    <w:p w:rsidR="003F67E6" w:rsidRDefault="000C78FB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 xml:space="preserve">В основе </w:t>
      </w:r>
      <w:r>
        <w:rPr>
          <w:b/>
          <w:i/>
          <w:sz w:val="28"/>
          <w:u w:val="single"/>
        </w:rPr>
        <w:t>первого типа реакции</w:t>
      </w:r>
      <w:r>
        <w:rPr>
          <w:sz w:val="28"/>
        </w:rPr>
        <w:t xml:space="preserve"> лежит реагиновый механизм повреждения тканей, протекающий с участием обычно </w:t>
      </w:r>
      <w:r>
        <w:rPr>
          <w:sz w:val="28"/>
          <w:lang w:val="en-US"/>
        </w:rPr>
        <w:t>IgE</w:t>
      </w:r>
      <w:r>
        <w:rPr>
          <w:sz w:val="28"/>
        </w:rPr>
        <w:t xml:space="preserve">, реже класса </w:t>
      </w:r>
      <w:r>
        <w:rPr>
          <w:sz w:val="28"/>
          <w:lang w:val="en-US"/>
        </w:rPr>
        <w:t>IgG,</w:t>
      </w:r>
      <w:r>
        <w:rPr>
          <w:sz w:val="28"/>
        </w:rPr>
        <w:t xml:space="preserve"> на поверхности мембран базофилов и тучных</w:t>
      </w:r>
      <w:r>
        <w:rPr>
          <w:smallCaps/>
          <w:sz w:val="28"/>
        </w:rPr>
        <w:t xml:space="preserve"> </w:t>
      </w:r>
      <w:r>
        <w:rPr>
          <w:sz w:val="28"/>
        </w:rPr>
        <w:t>клеток. В кровь высвобождается ряд биологически активных веществ: гистамин, серотонин, брадикинины, гспарин, медленно реагирующая субстанция анафилаксии, лейкотриены и др., которые приводят к нарушению проницаемости мембран клеток, интерстициальному отеку, спазму гладкой мускулатуры, повышению секреции. Типичными клиническими примерами аллергической реакции первого типа являются анафилактический шок, бронхиальная астма, крапивница, ложный круп, вазомоторный ринит.</w:t>
      </w:r>
    </w:p>
    <w:p w:rsidR="003F67E6" w:rsidRDefault="000C78FB">
      <w:pPr>
        <w:pStyle w:val="1"/>
        <w:spacing w:line="360" w:lineRule="auto"/>
        <w:ind w:firstLine="720"/>
        <w:rPr>
          <w:sz w:val="28"/>
        </w:rPr>
      </w:pPr>
      <w:r>
        <w:rPr>
          <w:b/>
          <w:i/>
          <w:sz w:val="28"/>
          <w:u w:val="single"/>
        </w:rPr>
        <w:t>Второй тип аллергической реакции</w:t>
      </w:r>
      <w:r>
        <w:rPr>
          <w:i/>
          <w:sz w:val="28"/>
        </w:rPr>
        <w:t xml:space="preserve"> </w:t>
      </w:r>
      <w:r>
        <w:rPr>
          <w:sz w:val="28"/>
        </w:rPr>
        <w:t>цитотоксический,   протекающий   при участии иммуноглобулинов классов О и М, а также при активации системы комплемента</w:t>
      </w:r>
      <w:r>
        <w:rPr>
          <w:sz w:val="28"/>
          <w:lang w:val="en-US"/>
        </w:rPr>
        <w:t>,</w:t>
      </w:r>
      <w:r>
        <w:rPr>
          <w:sz w:val="28"/>
        </w:rPr>
        <w:t xml:space="preserve"> что ведет к повреждению клеточной мембраны. Этот тип аллергической реакции наблюдается при лекарственной аллергии с развитием лейкопении, тромбоцитопении, гемолитической анемии, а также при гемолизе во время гемотрансфузий, гемолитической болезни новорожденных при резус конфликте.</w:t>
      </w:r>
    </w:p>
    <w:p w:rsidR="003F67E6" w:rsidRDefault="000C78FB">
      <w:pPr>
        <w:pStyle w:val="1"/>
        <w:spacing w:line="360" w:lineRule="auto"/>
        <w:ind w:firstLine="720"/>
        <w:rPr>
          <w:sz w:val="28"/>
        </w:rPr>
      </w:pPr>
      <w:r>
        <w:rPr>
          <w:b/>
          <w:i/>
          <w:sz w:val="28"/>
          <w:u w:val="single"/>
        </w:rPr>
        <w:t>Третий тип аллергической реакции</w:t>
      </w:r>
      <w:r>
        <w:rPr>
          <w:sz w:val="28"/>
        </w:rPr>
        <w:t xml:space="preserve"> (по тину феномена Артюса) связан с повреждением тканей иммунными комплексами, циркулирующими в кровяном русле, протекает с участием иммуноглобулинов классов С и М. Повреждающее действие иммунных комплексов на ткани происходит через активацию комплемента и лизосомальных ферментов. Этот тип реакции развивается при экзогенных аллергических альвеолитах, гломерулонефрите, аллергических дерматитах, сывороточной болезни, отдельных видах лекарственной и пищевой аллергии, ревматоидном артрите, системной красной волчанке и др.</w:t>
      </w:r>
    </w:p>
    <w:p w:rsidR="003F67E6" w:rsidRDefault="000C78FB">
      <w:pPr>
        <w:pStyle w:val="1"/>
        <w:spacing w:line="360" w:lineRule="auto"/>
        <w:ind w:firstLine="720"/>
        <w:rPr>
          <w:sz w:val="28"/>
        </w:rPr>
      </w:pPr>
      <w:r>
        <w:rPr>
          <w:b/>
          <w:i/>
          <w:sz w:val="28"/>
          <w:u w:val="single"/>
        </w:rPr>
        <w:t>Четвертый тип аллергической реакции</w:t>
      </w:r>
      <w:r>
        <w:rPr>
          <w:sz w:val="28"/>
        </w:rPr>
        <w:t xml:space="preserve"> - туберкулиновый, замедленный - возникает через 24-48 ч, протекает с участием сенсибилизированных лимфоцитов. Характерен для инфекционно-аллергической бронхиальной астмы, туберкулеза</w:t>
      </w:r>
      <w:r>
        <w:rPr>
          <w:sz w:val="28"/>
          <w:lang w:val="en-US"/>
        </w:rPr>
        <w:t>,</w:t>
      </w:r>
      <w:r>
        <w:rPr>
          <w:sz w:val="28"/>
        </w:rPr>
        <w:t xml:space="preserve"> бруцеллеза и некоторых других заболеваний.</w:t>
      </w:r>
    </w:p>
    <w:p w:rsidR="003F67E6" w:rsidRDefault="000C78FB">
      <w:pPr>
        <w:pStyle w:val="1"/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Аллергические реакции могут возникать в любом возрасте; их интенсивность различна. Клиническая картина аллергической реакции не зависит от химических и фармакологических свойств аллергена, его дозы и путей введения. Чаще аллергическая реакция возникает при повторном введении аллергена в организм, однако известны случаи анафилактических реакций при первом введении антибиотика в организм без предварительной сенсибилизации, поэтому необходима осторожность при проведении внутрикожных проб</w:t>
      </w:r>
      <w:r>
        <w:rPr>
          <w:sz w:val="28"/>
          <w:lang w:val="en-US"/>
        </w:rPr>
        <w:t>.</w:t>
      </w:r>
    </w:p>
    <w:p w:rsidR="003F67E6" w:rsidRDefault="000C78FB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>Клинические проявления аллергических реакций отличаются выраженным полиморфизмом. В процесс могут вовлекаться любые ткани и органы. Кожные покровы, желудочно-кишечный тракт</w:t>
      </w:r>
      <w:r>
        <w:rPr>
          <w:sz w:val="28"/>
          <w:lang w:val="en-US"/>
        </w:rPr>
        <w:t>,</w:t>
      </w:r>
      <w:r>
        <w:rPr>
          <w:sz w:val="28"/>
        </w:rPr>
        <w:t xml:space="preserve"> респираторный путь чаще страдают при развитии аллергических реакций. Принято выделять реакции немедленного и замедленного типа, однако что деление в значительной мере условно. Так, крапивница считается одной из форм аллергических реакции немедленного типа, однако она может сопутствовать сывороточной болезни как классической форме аллергии замедленного типа. Различают</w:t>
      </w:r>
      <w:r>
        <w:rPr>
          <w:sz w:val="28"/>
          <w:lang w:val="en-US"/>
        </w:rPr>
        <w:t xml:space="preserve"> </w:t>
      </w:r>
      <w:r>
        <w:rPr>
          <w:sz w:val="28"/>
        </w:rPr>
        <w:t>следующие клинические варианты аллергических реакций: местная аллергическая реакция, аллергическая токсикодермия, поллиноз, бронхиальная астма, ангионевротический отек Квинке, крапивница, сывороточная болезнь, гемолитический криз, аллергическая тромбоцитопения, анафилактический шок. В продромальном периоде любой аллергической реакции отмечается общее недомогание, плохое самочувствие, головная боль, озноб, тошнота, иногда рвота, одышка, головокружение. Появляется кожный зуд (порой мучительный), ощущение жжения в полости рта и носа, ощущение онемения, заложенности носа, непрерывное чиханье.</w:t>
      </w:r>
    </w:p>
    <w:p w:rsidR="003F67E6" w:rsidRDefault="003F67E6">
      <w:pPr>
        <w:pStyle w:val="1"/>
        <w:spacing w:line="360" w:lineRule="auto"/>
        <w:ind w:firstLine="720"/>
        <w:rPr>
          <w:sz w:val="28"/>
        </w:rPr>
      </w:pPr>
    </w:p>
    <w:p w:rsidR="003F67E6" w:rsidRDefault="000C78FB">
      <w:pPr>
        <w:pStyle w:val="1"/>
        <w:spacing w:line="360" w:lineRule="auto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>О необходимости изучения состояния аллергической заболеваемости</w:t>
      </w:r>
    </w:p>
    <w:p w:rsidR="003F67E6" w:rsidRDefault="003F67E6">
      <w:pPr>
        <w:pStyle w:val="1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ab/>
        <w:t>Распространение аллергических заболеваний приобретает всё большее значение в формировании неблагоприятных сдвигов в состоянии здоровья населения. По данным литературы (Вельтищев Ю.Е., 1995; Дуева А.А., 1995; Каганов С.Ю., 1995), аллергические проявления встречаются у 20% населения мира. Исследованиями, проведенными в г.Оренбурге (Павловская О.В., 1990) установлено, что аллергические заболевания встречаются у 12,1% детей. По мнению исследователей (Чукина М.В., 1990; Погорельская С.А., 1992; Казначеева Л.Ф., 1994), в формировании аллергических заболеваний значимость факторов внешней среды составляет 50-70%. В зонах высокой загрязненности атмосферного воздуха продуктами нефтепереработки и выбросами автотранспорта наблюдается увеличение частоты аллергических заболеваний в 2,6 раза. Многие промышленные загрязняющие вещества по своей природе являются аллергенами, которые после адсорбции на белковом носителе могут приобретать свойства полноценных аллергенов. Важное значение в формировании аллергических состояний имеют растения (особенно лебеда, полынь, амброзия), животные, домашняя пыль. Поэтому тотальная аллергия является ведущим экопатологическим состоянием (Зайцева Н.В. и соавт., 1997). Клинически это проявляется респираторным, кожным, кишечным или сочетанным синдромом.</w:t>
      </w:r>
    </w:p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ab/>
        <w:t>Из промышленных аллергенов существенную роль играют окислы азота, серы, углеводороды, меркаптаны, формальдегид, тяжелые металлы (никель, хрома, кобальт и др.), пестициды. Доказательством участия этих экзопатогенов в развитии аллергических заболеваний являются выявление специфических аллергических антител к ксенобиотикам, специфические реакции иммунокомпетентных клеток на антигены.</w:t>
      </w:r>
    </w:p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ab/>
        <w:t>Известно, что в г.Оренбурге фоновые концентрации в атмосферном воздухе диоксида азота, формальдегида превышают ПДК, отмечена тенденция к росту концентраций серосодержащих веществ. Обнаружено высокое содержание в почве никеля и хрома. В последние годы неудовлетворительно проводится скашивание сорных трав.</w:t>
      </w:r>
    </w:p>
    <w:p w:rsidR="003F67E6" w:rsidRDefault="000C78FB">
      <w:pPr>
        <w:pStyle w:val="1"/>
        <w:spacing w:line="360" w:lineRule="auto"/>
        <w:rPr>
          <w:sz w:val="28"/>
          <w:lang w:val="en-US"/>
        </w:rPr>
      </w:pPr>
      <w:r>
        <w:rPr>
          <w:sz w:val="28"/>
        </w:rPr>
        <w:tab/>
        <w:t>Это привело к тому, что по данным отчетной формы №12 отмечается выраженная тенденция к росту заболеваемости, в частности аллергическим ринитом (см. таблицу). Так в 1996 году распространенность аллергического ринита выросла, в сравнении с многолетними показателями (1991-1995 гг.), у взрослых в 1.5 раза, у детей в 2.6 раза; бронхиальной астмы - у взрослых на 37%, у детей на 6%.</w:t>
      </w:r>
    </w:p>
    <w:p w:rsidR="003F67E6" w:rsidRDefault="003F67E6">
      <w:pPr>
        <w:pStyle w:val="1"/>
        <w:spacing w:line="360" w:lineRule="auto"/>
        <w:rPr>
          <w:sz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708"/>
        <w:gridCol w:w="709"/>
        <w:gridCol w:w="624"/>
        <w:gridCol w:w="1077"/>
        <w:gridCol w:w="709"/>
        <w:gridCol w:w="1984"/>
      </w:tblGrid>
      <w:tr w:rsidR="003F67E6">
        <w:trPr>
          <w:trHeight w:val="516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1991г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  <w:r>
              <w:rPr>
                <w:sz w:val="20"/>
              </w:rPr>
              <w:t>1992г</w:t>
            </w:r>
          </w:p>
        </w:tc>
        <w:tc>
          <w:tcPr>
            <w:tcW w:w="708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1993г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1994г</w:t>
            </w:r>
          </w:p>
        </w:tc>
        <w:tc>
          <w:tcPr>
            <w:tcW w:w="62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1995г</w:t>
            </w:r>
          </w:p>
        </w:tc>
        <w:tc>
          <w:tcPr>
            <w:tcW w:w="107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1991-95г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1996г</w:t>
            </w:r>
          </w:p>
        </w:tc>
        <w:tc>
          <w:tcPr>
            <w:tcW w:w="198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Превышение средн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уровня в 1996 году %</w:t>
            </w:r>
          </w:p>
        </w:tc>
      </w:tr>
      <w:tr w:rsidR="003F67E6">
        <w:trPr>
          <w:trHeight w:val="300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567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24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77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3F67E6">
        <w:trPr>
          <w:trHeight w:val="348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Аллергический ринит</w:t>
            </w:r>
          </w:p>
        </w:tc>
        <w:tc>
          <w:tcPr>
            <w:tcW w:w="56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08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2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07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198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48.9</w:t>
            </w:r>
          </w:p>
        </w:tc>
      </w:tr>
      <w:tr w:rsidR="003F67E6">
        <w:trPr>
          <w:trHeight w:val="348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Бронхиальная астма</w:t>
            </w:r>
          </w:p>
        </w:tc>
        <w:tc>
          <w:tcPr>
            <w:tcW w:w="56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08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2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07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5.44</w:t>
            </w:r>
          </w:p>
        </w:tc>
        <w:tc>
          <w:tcPr>
            <w:tcW w:w="198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37.3</w:t>
            </w:r>
          </w:p>
        </w:tc>
      </w:tr>
      <w:tr w:rsidR="003F67E6">
        <w:trPr>
          <w:trHeight w:val="300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567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24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77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3F67E6" w:rsidRDefault="003F67E6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3F67E6">
        <w:trPr>
          <w:trHeight w:val="348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Аллергический ринит</w:t>
            </w:r>
          </w:p>
        </w:tc>
        <w:tc>
          <w:tcPr>
            <w:tcW w:w="56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08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2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07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1.68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98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163.6</w:t>
            </w:r>
          </w:p>
        </w:tc>
      </w:tr>
      <w:tr w:rsidR="003F67E6">
        <w:trPr>
          <w:trHeight w:val="348"/>
        </w:trPr>
        <w:tc>
          <w:tcPr>
            <w:tcW w:w="1985" w:type="dxa"/>
          </w:tcPr>
          <w:p w:rsidR="003F67E6" w:rsidRDefault="000C78FB">
            <w:pPr>
              <w:pStyle w:val="1"/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Бронхиальная астма</w:t>
            </w:r>
          </w:p>
        </w:tc>
        <w:tc>
          <w:tcPr>
            <w:tcW w:w="56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hanging="24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08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2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077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709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4" w:type="dxa"/>
          </w:tcPr>
          <w:p w:rsidR="003F67E6" w:rsidRDefault="000C78FB">
            <w:pPr>
              <w:pStyle w:val="1"/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</w:tr>
    </w:tbl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> </w:t>
      </w:r>
    </w:p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ab/>
        <w:t xml:space="preserve">Необходимо отметить, что в июле был зарегистрирован подъем ОРЗ. На 27.07.97г. зарегистрировано 2977 случаев, и это только по обращаемости. Уровень прошлого года превышен в 1.8 раза, в том числе у взрослых в 2.6 раза. Известно, данное заболевание сопровождается аллергическим компонентом и трудно дифференцируется с аллергическими ринитами и др. </w:t>
      </w:r>
    </w:p>
    <w:p w:rsidR="003F67E6" w:rsidRDefault="000C78FB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Проведен сбор информации в городском аллергологическом центре.</w:t>
      </w:r>
      <w:r>
        <w:rPr>
          <w:sz w:val="28"/>
          <w:lang w:val="en-US"/>
        </w:rPr>
        <w:t xml:space="preserve"> </w:t>
      </w:r>
      <w:r>
        <w:rPr>
          <w:sz w:val="28"/>
        </w:rPr>
        <w:t>Установлено, что среди больных, помощь которым оказана амбулаторно на 1 месте - поллиноз (52,4%), на 2 месте - дерматиты (14%), на третьем месте - крапивница (11.1%), на 4 месте - лекарственная аллергия (8.5%), на 5 месте - аллергические риниты (3.1%). Средняя длительность пребывания на больничном листе составила 14.0 дней. Наибольшая длительность пребывания на больничном листе характерна для поллиноза (17.6 дней), астматического бронхита (16.64 дня) и бронхиальной астмы (16.57 дней).</w:t>
      </w:r>
    </w:p>
    <w:p w:rsidR="003F67E6" w:rsidRDefault="000C78FB">
      <w:pPr>
        <w:pStyle w:val="1"/>
        <w:spacing w:line="360" w:lineRule="auto"/>
        <w:rPr>
          <w:sz w:val="28"/>
        </w:rPr>
      </w:pPr>
      <w:r>
        <w:rPr>
          <w:sz w:val="28"/>
        </w:rPr>
        <w:tab/>
        <w:t>Среди больных помощь которым оказана в стационаре на 1 месте - лекарственная аллергия (25.6%), на 2 месте - крапивница (23.2%), дерматиты (14%), на третьем месте - дерматиты (22.2%), на 4 месте - нейродермит (6.9%), на 5 месте - анафилактический шок (3.9%). Средняя длительность пребывания в стационаре составила 9.34 дня. Наибольшая длительность пребывания характерна для нейродермита (16.9 дня), экземы (12.8 дня) и сывороточной болезни (11.5 дня). Необходимо отметить, что если в 1994-95 гг. в стационар с анафилактическим шоком поступили 2 больных, то в 1996 - 8 человек.</w:t>
      </w:r>
    </w:p>
    <w:p w:rsidR="003F67E6" w:rsidRDefault="000C78FB">
      <w:pPr>
        <w:pStyle w:val="1"/>
        <w:spacing w:line="360" w:lineRule="auto"/>
        <w:rPr>
          <w:color w:val="000000"/>
          <w:sz w:val="28"/>
          <w:lang w:val="en-US"/>
        </w:rPr>
      </w:pPr>
      <w:r>
        <w:rPr>
          <w:color w:val="000000"/>
          <w:sz w:val="28"/>
        </w:rPr>
        <w:tab/>
        <w:t>Заведующий аллергоцентром - главный аллерголог города в качестве проблемы выделяет увеличение числа больных с лекарственной аллергией, что связано с бесконтрольным применением модных лекарств.</w:t>
      </w:r>
    </w:p>
    <w:p w:rsidR="003F67E6" w:rsidRDefault="003F67E6">
      <w:pPr>
        <w:pStyle w:val="1"/>
        <w:spacing w:line="360" w:lineRule="auto"/>
        <w:rPr>
          <w:color w:val="000000"/>
          <w:sz w:val="28"/>
          <w:lang w:val="en-US"/>
        </w:rPr>
      </w:pPr>
    </w:p>
    <w:p w:rsidR="003F67E6" w:rsidRDefault="000C78FB">
      <w:pPr>
        <w:pStyle w:val="1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Заключение</w:t>
      </w:r>
    </w:p>
    <w:p w:rsidR="003F67E6" w:rsidRDefault="003F67E6">
      <w:pPr>
        <w:pStyle w:val="1"/>
        <w:spacing w:line="360" w:lineRule="auto"/>
        <w:rPr>
          <w:color w:val="000000"/>
          <w:sz w:val="28"/>
          <w:lang w:val="en-US"/>
        </w:rPr>
      </w:pPr>
    </w:p>
    <w:p w:rsidR="003F67E6" w:rsidRDefault="000C78FB">
      <w:pPr>
        <w:pStyle w:val="1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 xml:space="preserve">Таким образом, распространенность аллергической патологии стала массовой проблемой, которая из-за нехватки кадров, недостаточного количества контрольных аллергенов выявляется не полностью. Так по свидетельству О.В.Павловской (1990) распространенность аллергических заболеваний у детей в составляет </w:t>
      </w:r>
      <w:r>
        <w:rPr>
          <w:b/>
          <w:color w:val="000000"/>
          <w:sz w:val="28"/>
        </w:rPr>
        <w:t xml:space="preserve">14.2 %. </w:t>
      </w:r>
      <w:r>
        <w:rPr>
          <w:color w:val="000000"/>
          <w:sz w:val="28"/>
        </w:rPr>
        <w:t>Поэтому, на 1997 год запланировано дальнейшее изучение данной проблемы.</w:t>
      </w:r>
    </w:p>
    <w:p w:rsidR="003F67E6" w:rsidRDefault="003F67E6">
      <w:pPr>
        <w:pStyle w:val="1"/>
        <w:spacing w:line="360" w:lineRule="auto"/>
        <w:ind w:firstLine="0"/>
        <w:rPr>
          <w:sz w:val="28"/>
        </w:rPr>
      </w:pPr>
      <w:bookmarkStart w:id="0" w:name="_GoBack"/>
      <w:bookmarkEnd w:id="0"/>
    </w:p>
    <w:sectPr w:rsidR="003F67E6">
      <w:type w:val="continuous"/>
      <w:pgSz w:w="11900" w:h="16820"/>
      <w:pgMar w:top="1134" w:right="1418" w:bottom="1134" w:left="1418" w:header="720" w:footer="720" w:gutter="0"/>
      <w:cols w:space="720" w:equalWidth="0">
        <w:col w:w="9042" w:space="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8FB"/>
    <w:rsid w:val="000C78FB"/>
    <w:rsid w:val="003F67E6"/>
    <w:rsid w:val="005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F928E-B48F-4227-B409-15BB93F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140"/>
      <w:jc w:val="both"/>
    </w:pPr>
    <w:rPr>
      <w:snapToGrid w:val="0"/>
      <w:sz w:val="12"/>
    </w:rPr>
  </w:style>
  <w:style w:type="paragraph" w:customStyle="1" w:styleId="FR1">
    <w:name w:val="FR1"/>
    <w:pPr>
      <w:widowControl w:val="0"/>
      <w:spacing w:line="320" w:lineRule="auto"/>
      <w:ind w:left="400"/>
    </w:pPr>
    <w:rPr>
      <w:rFonts w:ascii="Arial" w:hAnsi="Arial"/>
      <w:b/>
      <w:snapToGrid w:val="0"/>
      <w:sz w:val="18"/>
    </w:rPr>
  </w:style>
  <w:style w:type="paragraph" w:customStyle="1" w:styleId="FR2">
    <w:name w:val="FR2"/>
    <w:pPr>
      <w:widowControl w:val="0"/>
      <w:jc w:val="center"/>
    </w:pPr>
    <w:rPr>
      <w:rFonts w:ascii="Arial" w:hAnsi="Arial"/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АЛЛЕРГИЧЕСКИЕ РЕАКЦИИ</vt:lpstr>
    </vt:vector>
  </TitlesOfParts>
  <Company>Nevojai Software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АЛЛЕРГИЧЕСКИЕ РЕАКЦИИ</dc:title>
  <dc:subject/>
  <dc:creator>Dmitriy Nevojai</dc:creator>
  <cp:keywords/>
  <cp:lastModifiedBy>admin</cp:lastModifiedBy>
  <cp:revision>2</cp:revision>
  <cp:lastPrinted>1899-12-31T22:00:00Z</cp:lastPrinted>
  <dcterms:created xsi:type="dcterms:W3CDTF">2014-02-07T07:06:00Z</dcterms:created>
  <dcterms:modified xsi:type="dcterms:W3CDTF">2014-02-07T07:06:00Z</dcterms:modified>
</cp:coreProperties>
</file>