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CEB" w:rsidRDefault="00FC1CEB" w:rsidP="00FC1CEB">
      <w:pPr>
        <w:pStyle w:val="ae"/>
        <w:jc w:val="center"/>
      </w:pPr>
    </w:p>
    <w:p w:rsidR="00FC1CEB" w:rsidRDefault="00FC1CEB" w:rsidP="00FC1CEB">
      <w:pPr>
        <w:pStyle w:val="ae"/>
        <w:jc w:val="center"/>
      </w:pPr>
    </w:p>
    <w:p w:rsidR="00FC1CEB" w:rsidRDefault="00FC1CEB" w:rsidP="00FC1CEB">
      <w:pPr>
        <w:pStyle w:val="ae"/>
        <w:jc w:val="center"/>
      </w:pPr>
    </w:p>
    <w:p w:rsidR="00FC1CEB" w:rsidRDefault="00FC1CEB" w:rsidP="00FC1CEB">
      <w:pPr>
        <w:pStyle w:val="ae"/>
        <w:jc w:val="center"/>
      </w:pPr>
    </w:p>
    <w:p w:rsidR="00FC1CEB" w:rsidRDefault="00FC1CEB" w:rsidP="00FC1CEB">
      <w:pPr>
        <w:pStyle w:val="ae"/>
        <w:jc w:val="center"/>
      </w:pPr>
    </w:p>
    <w:p w:rsidR="00FC1CEB" w:rsidRDefault="00FC1CEB" w:rsidP="00FC1CEB">
      <w:pPr>
        <w:pStyle w:val="ae"/>
        <w:jc w:val="center"/>
      </w:pPr>
    </w:p>
    <w:p w:rsidR="00FC1CEB" w:rsidRDefault="00FC1CEB" w:rsidP="00FC1CEB">
      <w:pPr>
        <w:pStyle w:val="ae"/>
        <w:jc w:val="center"/>
      </w:pPr>
    </w:p>
    <w:p w:rsidR="00FC1CEB" w:rsidRDefault="00FC1CEB" w:rsidP="00FC1CEB">
      <w:pPr>
        <w:pStyle w:val="ae"/>
        <w:jc w:val="center"/>
      </w:pPr>
    </w:p>
    <w:p w:rsidR="00FC1CEB" w:rsidRDefault="00FC1CEB" w:rsidP="00FC1CEB">
      <w:pPr>
        <w:pStyle w:val="ae"/>
        <w:jc w:val="center"/>
      </w:pPr>
    </w:p>
    <w:p w:rsidR="00FC1CEB" w:rsidRDefault="00FC1CEB" w:rsidP="00FC1CEB">
      <w:pPr>
        <w:pStyle w:val="ae"/>
        <w:jc w:val="center"/>
      </w:pPr>
    </w:p>
    <w:p w:rsidR="00FC1CEB" w:rsidRDefault="00FC1CEB" w:rsidP="00FC1CEB">
      <w:pPr>
        <w:pStyle w:val="ae"/>
        <w:jc w:val="center"/>
      </w:pPr>
    </w:p>
    <w:p w:rsidR="00FC1CEB" w:rsidRDefault="00FC1CEB" w:rsidP="00FC1CEB">
      <w:pPr>
        <w:pStyle w:val="ae"/>
        <w:jc w:val="center"/>
      </w:pPr>
    </w:p>
    <w:p w:rsidR="00DA3EAA" w:rsidRPr="00FC1CEB" w:rsidRDefault="00DA3EAA" w:rsidP="00FC1CEB">
      <w:pPr>
        <w:pStyle w:val="ae"/>
        <w:jc w:val="center"/>
      </w:pPr>
      <w:r w:rsidRPr="00FC1CEB">
        <w:t>Анализ динамики см</w:t>
      </w:r>
      <w:r w:rsidR="00FC1CEB" w:rsidRPr="00FC1CEB">
        <w:t>ертности в Российской Федерации</w:t>
      </w:r>
    </w:p>
    <w:p w:rsidR="00FC1CEB" w:rsidRPr="00FC1CEB" w:rsidRDefault="00FC1CEB" w:rsidP="00FC1CEB">
      <w:pPr>
        <w:pStyle w:val="ae"/>
        <w:jc w:val="center"/>
      </w:pPr>
    </w:p>
    <w:p w:rsidR="00DA3EAA" w:rsidRDefault="00FC1CEB" w:rsidP="00FC1CEB">
      <w:pPr>
        <w:pStyle w:val="ae"/>
      </w:pPr>
      <w:r>
        <w:br w:type="page"/>
        <w:t>Введение</w:t>
      </w:r>
    </w:p>
    <w:p w:rsidR="00FC1CEB" w:rsidRPr="00FC1CEB" w:rsidRDefault="00FC1CEB" w:rsidP="00FC1CEB">
      <w:pPr>
        <w:pStyle w:val="ae"/>
      </w:pPr>
    </w:p>
    <w:p w:rsidR="00FC1CEB" w:rsidRDefault="006C3C1C" w:rsidP="00FC1CEB">
      <w:pPr>
        <w:pStyle w:val="ae"/>
      </w:pPr>
      <w:r w:rsidRPr="00FC1CEB">
        <w:t>Как это неудивительно, столь широко употребляемое слово как «народонаселения» сначала возникло как научное понятие. Произошло это около двух веков назад. Появление данного термина в русском языке начало девятнадцатого века вызвало к жизни специальную науку и родило еще одно слово, ставшее повседневным уже в наше вр</w:t>
      </w:r>
      <w:r w:rsidR="002C24D7" w:rsidRPr="00FC1CEB">
        <w:t xml:space="preserve">емя,- «демография». </w:t>
      </w:r>
      <w:r w:rsidRPr="00FC1CEB">
        <w:t>Сегодня о демографических проблемах говорят и пишут ученые и журналисты, выходят серии популярных работ</w:t>
      </w:r>
      <w:r w:rsidR="002C24D7" w:rsidRPr="00FC1CEB">
        <w:t xml:space="preserve">. </w:t>
      </w:r>
      <w:r w:rsidR="00DA3EAA" w:rsidRPr="00FC1CEB">
        <w:t xml:space="preserve">Демография </w:t>
      </w:r>
      <w:r w:rsidR="00CE079A" w:rsidRPr="00FC1CEB">
        <w:t xml:space="preserve">сейчас </w:t>
      </w:r>
      <w:r w:rsidR="00DA3EAA" w:rsidRPr="00FC1CEB">
        <w:t>–</w:t>
      </w:r>
      <w:r w:rsidR="00CE079A" w:rsidRPr="00FC1CEB">
        <w:t xml:space="preserve"> это наука со всеми присущими атрибутами( собственными методами, теориями, практическими задачами). Более того, демография становится актуа</w:t>
      </w:r>
      <w:r w:rsidR="00BD2580" w:rsidRPr="00FC1CEB">
        <w:t>льной наукой,</w:t>
      </w:r>
      <w:r w:rsidR="00393B6F" w:rsidRPr="00FC1CEB">
        <w:t xml:space="preserve"> порождающей пере</w:t>
      </w:r>
      <w:r w:rsidR="00CE079A" w:rsidRPr="00FC1CEB">
        <w:t>крестные области знаний, новые их отрасли.</w:t>
      </w:r>
    </w:p>
    <w:p w:rsidR="00DA3EAA" w:rsidRPr="00FC1CEB" w:rsidRDefault="00DA3EAA" w:rsidP="00FC1CEB">
      <w:pPr>
        <w:pStyle w:val="ae"/>
      </w:pPr>
      <w:r w:rsidRPr="00FC1CEB">
        <w:t>На протяжении всей истории существования России, власти скрывали от собственного народа демографическую правду. До 1985 года сведения о численности населения, о количестве родившихся и умерших приводились лишь в специальных изданиях, однако данные о продолжительности жизни, детской смертности и числе абортов не публиковались никогда и нигде. И понятно почему: ведь именно эти данные как ничто иное отражают суть – состояние государства. Смертность является вторым после рождаемости важнейшим демографическим процессом. В демографии под смертностью понимают процесс вымирания поколения и рассматривают ее как массовый статистический процесс, складывающий из множества единичных смертей, наступающих в разных возрастах и определяющих в своей совокупности порядок вымирания реального и условного поколения. Смерть наряду с рождением и мертворождением является первичным витальным событием, для которого система демографической статистики собирает и комбинирует данные. Статистика смертей, как и вообще анализ смертности, необходима и для целей демографических исследований, и для практики, прежде всего для органов здравоохранения и социальной политики. Наиболее важными и приоритетными направлениями использования статистики смертей и смертности являются: анализ существующей демографической ситуации и тенденций ее изменения; удовлетворение административных и исследовательских нужд служб здравоохранения в связи с разработкой и выполнением программ общественного здоровья и оценкой их эффективности: определение политики и действий в иных, кроме здравоохранения, сферах деятельности; удовлетворение потребностей в информации об изменениях в населении в связи с разнообразной профессиональной и коммерческой деятельностью</w:t>
      </w:r>
      <w:r w:rsidR="006C3C1C" w:rsidRPr="00FC1CEB">
        <w:t xml:space="preserve"> </w:t>
      </w:r>
      <w:r w:rsidRPr="00FC1CEB">
        <w:t>(демогрэфикс).</w:t>
      </w:r>
      <w:r w:rsidR="00BD2580" w:rsidRPr="00FC1CEB">
        <w:t xml:space="preserve"> </w:t>
      </w:r>
      <w:r w:rsidRPr="00FC1CEB">
        <w:t>Данные о смертности необходимы как для анализа прошлых демографических тенденций, так и для разработки демографических прогнозов. Последние, как известно, используются</w:t>
      </w:r>
      <w:r w:rsidR="00FC1CEB">
        <w:t xml:space="preserve"> </w:t>
      </w:r>
      <w:r w:rsidRPr="00FC1CEB">
        <w:t>практически во всех сферах деятельности для планирования развития жилищных служб, системы образования, здравоохранения, для реализации программ социальной защиты, для производства товаров и услуг для различных групп населения. Статистика смертности необходима в анализе заболеваемости, как на национальном, так и на региональном уровнях. Органы здравоохранения используют данные статистики смертности для мониторинга и совершенствования своей деятельности.</w:t>
      </w:r>
      <w:r w:rsidR="00FC1CEB">
        <w:t xml:space="preserve"> </w:t>
      </w:r>
      <w:r w:rsidRPr="00FC1CEB">
        <w:t>В 1990 году впервые за послевоенное время наблюдалась естественная убыль населения. При этом опережающими темпами растет смертность населения в трудоспособном возрасте. Превышение смертности над рождаемостью, начиная с 1992 года, часто оценивается как депопуляция, т.е. “вымирание” России. Одной из самых болевых медико-демографических проблем социального развития современной России остается высокий уровень смертности населения. Уровень смертности зависит от социально-экономического развития страны, благосостояния населения, развития системы здравоохранения, доступности медицинской помощи и т.д. Смертность учитывается в абсолютном выражении в виде числа умерших за тот или иной отрезок времени.</w:t>
      </w:r>
    </w:p>
    <w:p w:rsidR="00FC1CEB" w:rsidRDefault="00DA3EAA" w:rsidP="00FC1CEB">
      <w:pPr>
        <w:pStyle w:val="ae"/>
      </w:pPr>
      <w:r w:rsidRPr="00FC1CEB">
        <w:t>За последнее время демографический кризис в России принял крайнее положение. Начиная с 1992 года показатель рождаемости в России намного ниже, чем смертности, и в России наблюдается отрицательный естественный прирост населения. Это стало результатом начавшегося в 1988 году нового этапа снижения рождаемости и роста смертности. Сложившаяся ситуация дала пищу для многочисленных политических спекуляций, однако демографический кризис не есть нечто принципиально новое в истории российской смертности. Можно по-разному оценивать начало демографического кризиса в России. Одни видят его начало в 1988 году, другие - в 1965 году, когда впервые после войны начала снижаться продолжительность жизни. Третьи склонны считать, что кризис начался уже в 1917 году, поскольку за всю послеоктябрьскую историю было лишь два коротких периода интенсивного снижения смертности (примерно с 1922 по 1929 и с 1946 по 1960 гг.)</w:t>
      </w:r>
    </w:p>
    <w:p w:rsidR="00DA3EAA" w:rsidRPr="00FC1CEB" w:rsidRDefault="00DA3EAA" w:rsidP="00FC1CEB">
      <w:pPr>
        <w:pStyle w:val="ae"/>
      </w:pPr>
      <w:r w:rsidRPr="00FC1CEB">
        <w:t>Существует несколько различных точек зрения на то, что же является причиной такого положения. Большинство склонны считать, что она явилась</w:t>
      </w:r>
      <w:r w:rsidR="00FC1CEB">
        <w:t xml:space="preserve"> </w:t>
      </w:r>
      <w:r w:rsidRPr="00FC1CEB">
        <w:t xml:space="preserve">следствием социально-экономического кризиса, сложившемуся после распада СССР. Другая точка зрения весьма распространенная сегодня, заключается в том, что против России ведется так называемая демографическая война, направленная на сокращение численности населения РФ. </w:t>
      </w:r>
      <w:r w:rsidR="00CE079A" w:rsidRPr="00FC1CEB">
        <w:t>Что касается</w:t>
      </w:r>
      <w:r w:rsidR="005D0018" w:rsidRPr="00FC1CEB">
        <w:t xml:space="preserve"> обоснования </w:t>
      </w:r>
      <w:r w:rsidR="00CE079A" w:rsidRPr="00FC1CEB">
        <w:t>своего выбора данной темы, то он аргументирован актуальностью решения демографических проблем России на сегодняшний день. Вопросы демографического кризиса в нашей стране,</w:t>
      </w:r>
      <w:r w:rsidR="005D0018" w:rsidRPr="00FC1CEB">
        <w:t xml:space="preserve"> без сомнения, заслуживают особого внимания.</w:t>
      </w:r>
    </w:p>
    <w:p w:rsidR="00DA3EAA" w:rsidRPr="00FC1CEB" w:rsidRDefault="00DA3EAA" w:rsidP="00FC1CEB">
      <w:pPr>
        <w:pStyle w:val="ae"/>
      </w:pPr>
    </w:p>
    <w:p w:rsidR="00DA3EAA" w:rsidRDefault="00FC1CEB" w:rsidP="00FC1CEB">
      <w:pPr>
        <w:pStyle w:val="ae"/>
      </w:pPr>
      <w:r>
        <w:br w:type="page"/>
      </w:r>
      <w:r w:rsidR="00DA3EAA" w:rsidRPr="00FC1CEB">
        <w:t>1.</w:t>
      </w:r>
      <w:r>
        <w:t xml:space="preserve"> </w:t>
      </w:r>
      <w:r w:rsidR="00DA3EAA" w:rsidRPr="00FC1CEB">
        <w:t>Исто</w:t>
      </w:r>
      <w:r>
        <w:t>рия смертности населения России</w:t>
      </w:r>
    </w:p>
    <w:p w:rsidR="00FC1CEB" w:rsidRPr="00FC1CEB" w:rsidRDefault="00FC1CEB" w:rsidP="00FC1CEB">
      <w:pPr>
        <w:pStyle w:val="ae"/>
      </w:pPr>
    </w:p>
    <w:p w:rsidR="00DA3EAA" w:rsidRPr="00FC1CEB" w:rsidRDefault="00DA3EAA" w:rsidP="00FC1CEB">
      <w:pPr>
        <w:pStyle w:val="ae"/>
      </w:pPr>
      <w:r w:rsidRPr="00FC1CEB">
        <w:t>Общая постановка проблемы и краткая история ее изучения. Россия была одной из последних среди развитых европейских стран, вступивших на путь эпидемиологического перехода, связанного со снижением смертности, глубокой перестройкой структуры смертности по возрасту и причинам смерти. Начав последовательное движение к более высокой продолжительности жизни в конце XIX - начале XX века, Россия отставала к этому времени от западных стран на полвека и более. Отставание от стран Центральной и Восточной Европы было менее значительным, но также существенным. Кроме того, стартовые позиции по уровню смертности в России были намного менее благоприятными, чем в любой из развитых стран накануне перехода. Основными чертами российской смертности были чрезвычайно высокая детская и особенно младенческая смертность (более 300 умерших до года на тысячу родившихся), а также особо неблагоприятная ситуация с инфекционно-паразитарными заболеваниями, включая такие смертельно опасные как холера, тиф, дифтерия, скарлатина, корь, оспа. Хотя туберкулез выступал в качестве одной из ведущих причин смерти в то время, Россия не выделялась среди других европейских стран особо высоким уровнем смертности от него. Путь, пройденный Россией по пути эпидемиологического перехода с начала нашего века и вплоть до середины 50-х годов, отличался от пути, пройденного другими развитыми странами, главным образом по причине длинной цепочки социальных катастроф, в которую оказалось, втянуто российское население в первой половине ХХ века.</w:t>
      </w:r>
      <w:r w:rsidR="00FC1CEB">
        <w:t xml:space="preserve"> </w:t>
      </w:r>
      <w:r w:rsidRPr="00FC1CEB">
        <w:t>В результате российская траектория динамики смертности отличается извилистостью, огромными скачками в периоды наибольшего обострения социально-экономической ситуации. Определенные успехи, достигнутые в контроле над инфекционной патологией и детской смертностью в относительно спокойные годы, сводились на нет</w:t>
      </w:r>
      <w:r w:rsidR="005D0018" w:rsidRPr="00FC1CEB">
        <w:t>,</w:t>
      </w:r>
      <w:r w:rsidRPr="00FC1CEB">
        <w:t xml:space="preserve"> частыми кризисами социальной этиологии, которые вызывали новые витки подъема общей и детской смертности из-за насилия, голода, недоедания и новых вспышек эпидемий. По-видимому, среди развитых стран Россия выделяется наибольшими абсолютными и относительными демографическими потерями, понесенными в ХХ веке по причине войн, революций, голода, эпидемий, массового насилия государства по отношению к собственному народу. В связи с этим, естественно, встает вопрос, как отразилась столь массовая хроническая деривация на жизнестойкости поколений, переживших катастрофы. Обнаруживается ли повышенная смертность у когорт, оказавшихся в наименее благоприятных условиях на том или ином отрезке своей жизнедеятельности.</w:t>
      </w:r>
      <w:r w:rsidR="00FC1CEB">
        <w:t xml:space="preserve"> </w:t>
      </w:r>
      <w:r w:rsidRPr="00FC1CEB">
        <w:t>В последние годы усиленное внимание многих исследователей уделяется такому антропометрическому показателю, как рост человека - вероятно, наилучший на сегодня индикатор условий жизни и физического развития в детстве. Получившие широкую известность исследования показывают, что существует удивительно сильная обратная связь между ростом человека и вероятностью умереть от болезней сердца. Причем связь остается сильной даже при условии контроля за такими традиционными поведенческими факторами риска, как курение, характер питания, поддержание уровня кровяного давления, а также факторами, непосредственно не связанными с текущим поведением человека: образование, профессия, место проживания,</w:t>
      </w:r>
      <w:r w:rsidR="00FC1CEB">
        <w:t xml:space="preserve"> </w:t>
      </w:r>
      <w:r w:rsidRPr="00FC1CEB">
        <w:t xml:space="preserve">наличие таких патологий в анамнезе, как ангина, диабет, уровень холестерина и др. Таким образом, в арсенале исследователей появился индикатор, не только обладающий значительной объяснительной силой, но и способный в явном виде внести исторический контекст в изучение факторов, дифференцирующих население по уровню смертности. Применительно к России изучение вопроса о различиях в смертности лиц, принадлежащих к различным поколениям по году рождения, имеет сравнительно недавнюю историю. </w:t>
      </w:r>
      <w:r w:rsidR="003D1A6D" w:rsidRPr="00FC1CEB">
        <w:t>В современной России, правопре</w:t>
      </w:r>
      <w:r w:rsidR="0055450D" w:rsidRPr="00FC1CEB">
        <w:t>емницей СССР, неизбежно</w:t>
      </w:r>
      <w:r w:rsidR="003D1A6D" w:rsidRPr="00FC1CEB">
        <w:t xml:space="preserve"> </w:t>
      </w:r>
      <w:r w:rsidR="0055450D" w:rsidRPr="00FC1CEB">
        <w:t>сохраняются те же демографические</w:t>
      </w:r>
      <w:r w:rsidR="003D1A6D" w:rsidRPr="00FC1CEB">
        <w:t xml:space="preserve"> тенденции, что отличали ее непосредственного исторического предшественника. Иначе быть не может: тот же народ, те же традиции.</w:t>
      </w:r>
    </w:p>
    <w:p w:rsidR="000C5110" w:rsidRPr="00FC1CEB" w:rsidRDefault="000C5110" w:rsidP="00FC1CEB">
      <w:pPr>
        <w:pStyle w:val="ae"/>
      </w:pPr>
    </w:p>
    <w:p w:rsidR="00DA3EAA" w:rsidRDefault="00DA3EAA" w:rsidP="00FC1CEB">
      <w:pPr>
        <w:pStyle w:val="ae"/>
      </w:pPr>
      <w:r w:rsidRPr="00FC1CEB">
        <w:t>2.Из</w:t>
      </w:r>
      <w:r w:rsidR="00FC1CEB">
        <w:t>менения продолжительности жизни</w:t>
      </w:r>
    </w:p>
    <w:p w:rsidR="00FC1CEB" w:rsidRPr="00FC1CEB" w:rsidRDefault="00FC1CEB" w:rsidP="00FC1CEB">
      <w:pPr>
        <w:pStyle w:val="ae"/>
      </w:pPr>
    </w:p>
    <w:p w:rsidR="00DA3EAA" w:rsidRPr="00FC1CEB" w:rsidRDefault="00DA3EAA" w:rsidP="00FC1CEB">
      <w:pPr>
        <w:pStyle w:val="ae"/>
      </w:pPr>
      <w:r w:rsidRPr="00FC1CEB">
        <w:t>Анализ длительной динамики показателей смертности дает возможность учесть влияние различных факторов на ее изменения. В этой связи будет интересным привести сравнение показателей смертности населения дореволюционной России и Российской Федерации за период с 1897 года до настоящего времени.</w:t>
      </w:r>
    </w:p>
    <w:p w:rsidR="00DA3EAA" w:rsidRDefault="00DA3EAA" w:rsidP="00FC1CEB">
      <w:pPr>
        <w:pStyle w:val="ae"/>
      </w:pPr>
      <w:r w:rsidRPr="00FC1CEB">
        <w:t>В ХХ в. изменения смертности в России были крайне неравномерными, непоследовательными, сопровождались возвратным движением, происходили по-разному в отдельных половозрастных группах. Снижение уровня смертности российского населения наблюдалось лишь в отдельные относительно краткие периоды минувшего столетия.</w:t>
      </w:r>
    </w:p>
    <w:p w:rsidR="00FC1CEB" w:rsidRDefault="00FC1CEB" w:rsidP="00FC1CEB">
      <w:pPr>
        <w:pStyle w:val="ae"/>
      </w:pPr>
    </w:p>
    <w:p w:rsidR="00FC1CEB" w:rsidRDefault="004539F6" w:rsidP="00FC1CEB">
      <w:pPr>
        <w:pStyle w:val="ae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212.25pt">
            <v:imagedata r:id="rId7" o:title=""/>
          </v:shape>
        </w:pict>
      </w:r>
    </w:p>
    <w:p w:rsidR="00FC1CEB" w:rsidRPr="00FC1CEB" w:rsidRDefault="00FC1CEB" w:rsidP="00FC1CEB">
      <w:pPr>
        <w:pStyle w:val="ae"/>
      </w:pPr>
    </w:p>
    <w:p w:rsidR="00DA3EAA" w:rsidRDefault="00DA3EAA" w:rsidP="00FC1CEB">
      <w:pPr>
        <w:pStyle w:val="ae"/>
      </w:pPr>
      <w:r w:rsidRPr="00FC1CEB">
        <w:t>Уровень смертности населения наиболее адекватно отражается в показателе ожидаемой продолжительности жизни при рождении. Динамика данного показателя в первой половине XX века отражает череду демографических катастроф, а период после 1965</w:t>
      </w:r>
      <w:r w:rsidR="00FC1CEB">
        <w:t xml:space="preserve"> </w:t>
      </w:r>
      <w:r w:rsidRPr="00FC1CEB">
        <w:t>г. характеризуется стагнацией или его снижением. Однако даже в периоды общего снижения смертности в России основной выигрыш, особенно у мужчин, был получен за счет детских и молодых возрастов. Изменение же смертности в возрастах после 30 лет было ничтожным, она осталась практически на дореволюционном уровне.</w:t>
      </w:r>
    </w:p>
    <w:p w:rsidR="00FC1CEB" w:rsidRPr="00FC1CEB" w:rsidRDefault="00FC1CEB" w:rsidP="00FC1CEB">
      <w:pPr>
        <w:pStyle w:val="ae"/>
      </w:pPr>
    </w:p>
    <w:p w:rsidR="00FC1CEB" w:rsidRPr="00FC1CEB" w:rsidRDefault="004539F6" w:rsidP="00FC1CEB">
      <w:pPr>
        <w:pStyle w:val="ae"/>
      </w:pPr>
      <w:r>
        <w:pict>
          <v:shape id="_x0000_i1026" type="#_x0000_t75" style="width:403.5pt;height:243pt">
            <v:imagedata r:id="rId8" o:title=""/>
          </v:shape>
        </w:pict>
      </w:r>
    </w:p>
    <w:p w:rsidR="00FC1CEB" w:rsidRPr="00FC1CEB" w:rsidRDefault="00FC1CEB" w:rsidP="00FC1CEB">
      <w:pPr>
        <w:pStyle w:val="ae"/>
      </w:pPr>
      <w:r w:rsidRPr="00FC1CEB">
        <w:t>Возрастные коэффициенты смертности</w:t>
      </w:r>
      <w:r>
        <w:t xml:space="preserve"> </w:t>
      </w:r>
      <w:r w:rsidRPr="00FC1CEB">
        <w:t>(число умерших на 1000 населения)</w:t>
      </w:r>
    </w:p>
    <w:p w:rsidR="00DA3EAA" w:rsidRPr="00FC1CEB" w:rsidRDefault="00DA3EAA" w:rsidP="00FC1CEB">
      <w:pPr>
        <w:pStyle w:val="ae"/>
      </w:pPr>
    </w:p>
    <w:p w:rsidR="00DA3EAA" w:rsidRPr="00FC1CEB" w:rsidRDefault="00DA3EAA" w:rsidP="00FC1CEB">
      <w:pPr>
        <w:pStyle w:val="ae"/>
      </w:pPr>
      <w:r w:rsidRPr="00FC1CEB">
        <w:t xml:space="preserve">В 2005 году показатель ожидаемой продолжительности жизни российских мужчин составил 58,8 лет (в западноевропейских странах, США, Японии, Австралии - на 15-20 лет больше). Ровно двукратное увеличение этого показателя по сравнению с 1896-1897 гг. произошло в результате огромного сокращения коэффициента смертности младенцев на первом году жизни - в 26 раз (с 322 на 1000 родившихся в 1896-1897 гг. до 12,5 в </w:t>
      </w:r>
      <w:smartTag w:uri="urn:schemas-microsoft-com:office:smarttags" w:element="metricconverter">
        <w:smartTagPr>
          <w:attr w:name="ProductID" w:val="2005 г"/>
        </w:smartTagPr>
        <w:r w:rsidRPr="00FC1CEB">
          <w:t>2005 г</w:t>
        </w:r>
      </w:smartTag>
      <w:r w:rsidRPr="00FC1CEB">
        <w:t>.). В 80 раз также снизилась смертность детей в возрасте 1-4 года. В то же время, в самых активных рабочих возрастах (25-39 лет) смертность уменьшилась незначительно, а у мужчин в возрастах от 40 лет она даже повысилась.</w:t>
      </w:r>
      <w:r w:rsidR="001E46F7" w:rsidRPr="00FC1CEB">
        <w:t xml:space="preserve"> </w:t>
      </w:r>
      <w:r w:rsidRPr="00FC1CEB">
        <w:t>При сохранении в дальнейшем современного (</w:t>
      </w:r>
      <w:smartTag w:uri="urn:schemas-microsoft-com:office:smarttags" w:element="metricconverter">
        <w:smartTagPr>
          <w:attr w:name="ProductID" w:val="2005 г"/>
        </w:smartTagPr>
        <w:r w:rsidRPr="00FC1CEB">
          <w:t>2005 г</w:t>
        </w:r>
      </w:smartTag>
      <w:r w:rsidRPr="00FC1CEB">
        <w:t>.) повозрастного уровня смертности мужчин России из нынешнего поколения 16-летних юношей до 60 лет не доживет 47%, т.е. около половины, в конце XIX века такая вероятность составляла немногим более половины (55%).</w:t>
      </w:r>
    </w:p>
    <w:p w:rsidR="00DA3EAA" w:rsidRPr="00FC1CEB" w:rsidRDefault="00DA3EAA" w:rsidP="00FC1CEB">
      <w:pPr>
        <w:pStyle w:val="ae"/>
      </w:pPr>
      <w:r w:rsidRPr="00FC1CEB">
        <w:t>Россия в отношении столь неблагополучной динамики смертности ее населения разительно отличается от большинства развитых стран, где продолжительность жизни практически всех возрастных групп населения увеличивалась в течение всего ХХ века и особенно интенсивно - в его последней трети.</w:t>
      </w:r>
    </w:p>
    <w:p w:rsidR="00DA3EAA" w:rsidRPr="00FC1CEB" w:rsidRDefault="00DA3EAA" w:rsidP="00FC1CEB">
      <w:pPr>
        <w:pStyle w:val="ae"/>
      </w:pPr>
    </w:p>
    <w:p w:rsidR="00DA3EAA" w:rsidRPr="00FC1CEB" w:rsidRDefault="004539F6" w:rsidP="00FC1CEB">
      <w:pPr>
        <w:pStyle w:val="ae"/>
      </w:pPr>
      <w:r>
        <w:pict>
          <v:shape id="_x0000_i1027" type="#_x0000_t75" style="width:412.5pt;height:198.75pt">
            <v:imagedata r:id="rId9" o:title=""/>
          </v:shape>
        </w:pict>
      </w:r>
    </w:p>
    <w:p w:rsidR="00FC1CEB" w:rsidRPr="00FC1CEB" w:rsidRDefault="00FC1CEB" w:rsidP="00FC1CEB">
      <w:pPr>
        <w:pStyle w:val="ae"/>
      </w:pPr>
      <w:r w:rsidRPr="00FC1CEB">
        <w:t xml:space="preserve">Возрастно-половая структура населения по переписи </w:t>
      </w:r>
      <w:smartTag w:uri="urn:schemas-microsoft-com:office:smarttags" w:element="metricconverter">
        <w:smartTagPr>
          <w:attr w:name="ProductID" w:val="1897 г"/>
        </w:smartTagPr>
        <w:r w:rsidRPr="00FC1CEB">
          <w:t>1897 г</w:t>
        </w:r>
      </w:smartTag>
      <w:r w:rsidRPr="00FC1CEB">
        <w:t xml:space="preserve">. и на 1 января </w:t>
      </w:r>
      <w:smartTag w:uri="urn:schemas-microsoft-com:office:smarttags" w:element="metricconverter">
        <w:smartTagPr>
          <w:attr w:name="ProductID" w:val="2006 г"/>
        </w:smartTagPr>
        <w:r w:rsidRPr="00FC1CEB">
          <w:t>2006 г</w:t>
        </w:r>
      </w:smartTag>
      <w:r w:rsidRPr="00FC1CEB">
        <w:t>.</w:t>
      </w:r>
    </w:p>
    <w:p w:rsidR="00FC1CEB" w:rsidRPr="00FC1CEB" w:rsidRDefault="00FC1CEB" w:rsidP="00FC1CEB">
      <w:pPr>
        <w:pStyle w:val="ae"/>
      </w:pPr>
    </w:p>
    <w:p w:rsidR="00FC1CEB" w:rsidRPr="00FC1CEB" w:rsidRDefault="004539F6" w:rsidP="00FC1CEB">
      <w:pPr>
        <w:pStyle w:val="ae"/>
      </w:pPr>
      <w:r>
        <w:pict>
          <v:shape id="_x0000_i1028" type="#_x0000_t75" style="width:3in;height:2in">
            <v:imagedata r:id="rId10" o:title=""/>
          </v:shape>
        </w:pict>
      </w:r>
    </w:p>
    <w:p w:rsidR="00FC1CEB" w:rsidRDefault="00FC1CEB" w:rsidP="00FC1CEB">
      <w:pPr>
        <w:pStyle w:val="ae"/>
      </w:pPr>
    </w:p>
    <w:p w:rsidR="00DA3EAA" w:rsidRPr="00FC1CEB" w:rsidRDefault="00DA3EAA" w:rsidP="00FC1CEB">
      <w:pPr>
        <w:pStyle w:val="ae"/>
      </w:pPr>
      <w:r w:rsidRPr="00FC1CEB">
        <w:t xml:space="preserve">Высокая смертность мужского населения привела к ухудшению соотношения полов в структуре населения. Если по переписи </w:t>
      </w:r>
      <w:smartTag w:uri="urn:schemas-microsoft-com:office:smarttags" w:element="metricconverter">
        <w:smartTagPr>
          <w:attr w:name="ProductID" w:val="2006 г"/>
        </w:smartTagPr>
        <w:r w:rsidRPr="00FC1CEB">
          <w:t>1897 г</w:t>
        </w:r>
      </w:smartTag>
      <w:r w:rsidRPr="00FC1CEB">
        <w:t xml:space="preserve">. на 1000 мужчин приходилось 1055 женщин, то на начало </w:t>
      </w:r>
      <w:smartTag w:uri="urn:schemas-microsoft-com:office:smarttags" w:element="metricconverter">
        <w:smartTagPr>
          <w:attr w:name="ProductID" w:val="2006 г"/>
        </w:smartTagPr>
        <w:r w:rsidRPr="00FC1CEB">
          <w:t>2006 г</w:t>
        </w:r>
      </w:smartTag>
      <w:r w:rsidRPr="00FC1CEB">
        <w:t>. 1000 мужчин 1158 женщин.</w:t>
      </w:r>
    </w:p>
    <w:p w:rsidR="00DA3EAA" w:rsidRPr="00FC1CEB" w:rsidRDefault="00DA3EAA" w:rsidP="00FC1CEB">
      <w:pPr>
        <w:pStyle w:val="ae"/>
      </w:pPr>
      <w:r w:rsidRPr="00FC1CEB">
        <w:t xml:space="preserve">В 2006 году отмечено существенное снижение смертности населения. По предварительным оценкам показатель ожидаемой продолжительности жизни мужчин впервые за последние 8 лет превысил пенсионный возраст, увеличившись на 1,5 года (с 58,87 лет в </w:t>
      </w:r>
      <w:smartTag w:uri="urn:schemas-microsoft-com:office:smarttags" w:element="metricconverter">
        <w:smartTagPr>
          <w:attr w:name="ProductID" w:val="2006 г"/>
        </w:smartTagPr>
        <w:r w:rsidRPr="00FC1CEB">
          <w:t>2005 г</w:t>
        </w:r>
      </w:smartTag>
      <w:r w:rsidRPr="00FC1CEB">
        <w:t xml:space="preserve">. до 60,37 лет). У женщин этот показатель поднялся не столь значительно - на 0,8 лет (с 72,4 лет в </w:t>
      </w:r>
      <w:smartTag w:uri="urn:schemas-microsoft-com:office:smarttags" w:element="metricconverter">
        <w:smartTagPr>
          <w:attr w:name="ProductID" w:val="2006 г"/>
        </w:smartTagPr>
        <w:r w:rsidRPr="00FC1CEB">
          <w:t>2005 г</w:t>
        </w:r>
      </w:smartTag>
      <w:r w:rsidRPr="00FC1CEB">
        <w:t xml:space="preserve">. до 73,23 - в </w:t>
      </w:r>
      <w:smartTag w:uri="urn:schemas-microsoft-com:office:smarttags" w:element="metricconverter">
        <w:smartTagPr>
          <w:attr w:name="ProductID" w:val="2006 г"/>
        </w:smartTagPr>
        <w:r w:rsidRPr="00FC1CEB">
          <w:t>2006 г</w:t>
        </w:r>
      </w:smartTag>
      <w:r w:rsidRPr="00FC1CEB">
        <w:t>.). Тем не менее по показателю средней ожидаемой продолжительности жизни при рождении Россия далеко отстает от наиболее передовых в этом отношении стран, занимая в 2002</w:t>
      </w:r>
      <w:r w:rsidR="00BD2580" w:rsidRPr="00FC1CEB">
        <w:t xml:space="preserve"> </w:t>
      </w:r>
      <w:r w:rsidRPr="00FC1CEB">
        <w:t>году среди 162 стран, для которых рассчитывался индекс человеческ</w:t>
      </w:r>
      <w:r w:rsidR="001E46F7" w:rsidRPr="00FC1CEB">
        <w:t>ого развития, 100-е место. Отста</w:t>
      </w:r>
      <w:r w:rsidRPr="00FC1CEB">
        <w:t xml:space="preserve">вание по этому показателю вполне коррелирует с общей социально- экономической отсталостью нашей страны. Показатель средней ожидаемой предстоящей жизни новорожденного является одним </w:t>
      </w:r>
      <w:r w:rsidR="001E46F7" w:rsidRPr="00FC1CEB">
        <w:t>из лучших индикаторов не только</w:t>
      </w:r>
      <w:r w:rsidRPr="00FC1CEB">
        <w:t>, но и уровней социально –</w:t>
      </w:r>
      <w:r w:rsidR="00181839" w:rsidRPr="00FC1CEB">
        <w:t xml:space="preserve"> </w:t>
      </w:r>
      <w:r w:rsidRPr="00FC1CEB">
        <w:t>экономического развития в целом. Совсем не случайно именно эта величина является единственным демографических показателей, которые используются при расчете так называемого индекса человеческого развития, сводного индикатора, дающего обобщающую характеристику общего уровня социально-экономического развития страны.</w:t>
      </w:r>
    </w:p>
    <w:p w:rsidR="00DA3EAA" w:rsidRPr="00FC1CEB" w:rsidRDefault="00DA3EAA" w:rsidP="00FC1CEB">
      <w:pPr>
        <w:pStyle w:val="ae"/>
      </w:pPr>
      <w:r w:rsidRPr="00FC1CEB">
        <w:t>Однако величина этого показателя довольно заметно зависит от возрастной структуры населения. Поэтому,</w:t>
      </w:r>
      <w:r w:rsidR="001E46F7" w:rsidRPr="00FC1CEB">
        <w:t xml:space="preserve"> </w:t>
      </w:r>
      <w:r w:rsidRPr="00FC1CEB">
        <w:t>кроме него, целесообразно рассчитывать так называемый интервальный показатель продолжительности жизни, который показывает, сколько в среднем предстоит прожить человеку в том или ином конкретном интервале возраста, ограниченном сверху и снизу, показатель интервальной продолжительности жизни играет важную роль в экономических приложения демографии, где необходимо знать среднюю ожидаемую продолжительность экономически активной жизни ( жизни в трудоспособном возрасте. Посмотрим, как работает этот показатель для мужчин трудоспособного возраста.</w:t>
      </w:r>
    </w:p>
    <w:p w:rsidR="00C92CFC" w:rsidRDefault="00C92CFC" w:rsidP="00FC1CEB">
      <w:pPr>
        <w:pStyle w:val="ae"/>
      </w:pPr>
    </w:p>
    <w:p w:rsidR="00FC1CEB" w:rsidRDefault="00FC1CEB" w:rsidP="00FC1CEB">
      <w:pPr>
        <w:pStyle w:val="ae"/>
        <w:sectPr w:rsidR="00FC1CEB" w:rsidSect="00FC1CEB">
          <w:footerReference w:type="even" r:id="rId11"/>
          <w:footerReference w:type="default" r:id="rId12"/>
          <w:pgSz w:w="11906" w:h="16838" w:code="9"/>
          <w:pgMar w:top="1134" w:right="851" w:bottom="1134" w:left="1701" w:header="708" w:footer="545" w:gutter="0"/>
          <w:cols w:space="708"/>
          <w:docGrid w:linePitch="360"/>
        </w:sect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51"/>
        <w:gridCol w:w="992"/>
        <w:gridCol w:w="851"/>
        <w:gridCol w:w="1701"/>
        <w:gridCol w:w="1842"/>
        <w:gridCol w:w="1701"/>
      </w:tblGrid>
      <w:tr w:rsidR="00DA3EAA" w:rsidRPr="002B365B" w:rsidTr="002B365B">
        <w:tc>
          <w:tcPr>
            <w:tcW w:w="992" w:type="dxa"/>
            <w:vMerge w:val="restart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Возраст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Для новорожденного</w:t>
            </w:r>
          </w:p>
        </w:tc>
        <w:tc>
          <w:tcPr>
            <w:tcW w:w="5244" w:type="dxa"/>
            <w:gridSpan w:val="3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Для достигшего начала возрастного интервала</w:t>
            </w:r>
          </w:p>
        </w:tc>
      </w:tr>
      <w:tr w:rsidR="00DA3EAA" w:rsidRPr="002B365B" w:rsidTr="002B365B">
        <w:tc>
          <w:tcPr>
            <w:tcW w:w="992" w:type="dxa"/>
            <w:vMerge/>
            <w:shd w:val="clear" w:color="auto" w:fill="auto"/>
          </w:tcPr>
          <w:p w:rsidR="00DA3EAA" w:rsidRPr="00FC1CEB" w:rsidRDefault="00DA3EAA" w:rsidP="00FC1CEB">
            <w:pPr>
              <w:pStyle w:val="af0"/>
            </w:pPr>
          </w:p>
        </w:tc>
        <w:tc>
          <w:tcPr>
            <w:tcW w:w="851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1996</w:t>
            </w:r>
          </w:p>
        </w:tc>
        <w:tc>
          <w:tcPr>
            <w:tcW w:w="992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2000</w:t>
            </w:r>
          </w:p>
        </w:tc>
        <w:tc>
          <w:tcPr>
            <w:tcW w:w="851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2002</w:t>
            </w:r>
          </w:p>
        </w:tc>
        <w:tc>
          <w:tcPr>
            <w:tcW w:w="1701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1996</w:t>
            </w:r>
          </w:p>
        </w:tc>
        <w:tc>
          <w:tcPr>
            <w:tcW w:w="1842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2000</w:t>
            </w:r>
          </w:p>
        </w:tc>
        <w:tc>
          <w:tcPr>
            <w:tcW w:w="1701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2002</w:t>
            </w:r>
          </w:p>
        </w:tc>
      </w:tr>
      <w:tr w:rsidR="00DA3EAA" w:rsidRPr="002B365B" w:rsidTr="002B365B">
        <w:tc>
          <w:tcPr>
            <w:tcW w:w="992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15-19</w:t>
            </w:r>
          </w:p>
        </w:tc>
        <w:tc>
          <w:tcPr>
            <w:tcW w:w="851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39,41</w:t>
            </w:r>
          </w:p>
        </w:tc>
        <w:tc>
          <w:tcPr>
            <w:tcW w:w="992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36,73</w:t>
            </w:r>
          </w:p>
        </w:tc>
        <w:tc>
          <w:tcPr>
            <w:tcW w:w="851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37,23</w:t>
            </w:r>
          </w:p>
        </w:tc>
        <w:tc>
          <w:tcPr>
            <w:tcW w:w="1701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40,63</w:t>
            </w:r>
          </w:p>
        </w:tc>
        <w:tc>
          <w:tcPr>
            <w:tcW w:w="1842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37,91</w:t>
            </w:r>
          </w:p>
        </w:tc>
        <w:tc>
          <w:tcPr>
            <w:tcW w:w="1701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38,28</w:t>
            </w:r>
          </w:p>
        </w:tc>
      </w:tr>
      <w:tr w:rsidR="00DA3EAA" w:rsidRPr="002B365B" w:rsidTr="002B365B">
        <w:tc>
          <w:tcPr>
            <w:tcW w:w="992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20-24</w:t>
            </w:r>
          </w:p>
        </w:tc>
        <w:tc>
          <w:tcPr>
            <w:tcW w:w="851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34,57</w:t>
            </w:r>
          </w:p>
        </w:tc>
        <w:tc>
          <w:tcPr>
            <w:tcW w:w="992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31,91</w:t>
            </w:r>
          </w:p>
        </w:tc>
        <w:tc>
          <w:tcPr>
            <w:tcW w:w="851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32,39</w:t>
            </w:r>
          </w:p>
        </w:tc>
        <w:tc>
          <w:tcPr>
            <w:tcW w:w="1701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35,93</w:t>
            </w:r>
          </w:p>
        </w:tc>
        <w:tc>
          <w:tcPr>
            <w:tcW w:w="1842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33,28</w:t>
            </w:r>
          </w:p>
        </w:tc>
        <w:tc>
          <w:tcPr>
            <w:tcW w:w="1701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33,67</w:t>
            </w:r>
          </w:p>
        </w:tc>
      </w:tr>
      <w:tr w:rsidR="00DA3EAA" w:rsidRPr="002B365B" w:rsidTr="002B365B">
        <w:tc>
          <w:tcPr>
            <w:tcW w:w="992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25-29</w:t>
            </w:r>
          </w:p>
        </w:tc>
        <w:tc>
          <w:tcPr>
            <w:tcW w:w="851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29,79</w:t>
            </w:r>
          </w:p>
        </w:tc>
        <w:tc>
          <w:tcPr>
            <w:tcW w:w="992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27,16</w:t>
            </w:r>
          </w:p>
        </w:tc>
        <w:tc>
          <w:tcPr>
            <w:tcW w:w="851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27,64</w:t>
            </w:r>
          </w:p>
        </w:tc>
        <w:tc>
          <w:tcPr>
            <w:tcW w:w="1701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31,37</w:t>
            </w:r>
          </w:p>
        </w:tc>
        <w:tc>
          <w:tcPr>
            <w:tcW w:w="1842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28,90</w:t>
            </w:r>
          </w:p>
        </w:tc>
        <w:tc>
          <w:tcPr>
            <w:tcW w:w="1701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29,46</w:t>
            </w:r>
          </w:p>
        </w:tc>
      </w:tr>
      <w:tr w:rsidR="00DA3EAA" w:rsidRPr="002B365B" w:rsidTr="002B365B">
        <w:tc>
          <w:tcPr>
            <w:tcW w:w="992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30-34</w:t>
            </w:r>
          </w:p>
        </w:tc>
        <w:tc>
          <w:tcPr>
            <w:tcW w:w="851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25,08</w:t>
            </w:r>
          </w:p>
        </w:tc>
        <w:tc>
          <w:tcPr>
            <w:tcW w:w="992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22,53</w:t>
            </w:r>
          </w:p>
        </w:tc>
        <w:tc>
          <w:tcPr>
            <w:tcW w:w="851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23,02</w:t>
            </w:r>
          </w:p>
        </w:tc>
        <w:tc>
          <w:tcPr>
            <w:tcW w:w="1701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26,85</w:t>
            </w:r>
          </w:p>
        </w:tc>
        <w:tc>
          <w:tcPr>
            <w:tcW w:w="1842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24,64</w:t>
            </w:r>
          </w:p>
        </w:tc>
        <w:tc>
          <w:tcPr>
            <w:tcW w:w="1701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25,28</w:t>
            </w:r>
          </w:p>
        </w:tc>
      </w:tr>
      <w:tr w:rsidR="00DA3EAA" w:rsidRPr="002B365B" w:rsidTr="002B365B">
        <w:tc>
          <w:tcPr>
            <w:tcW w:w="992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35-39</w:t>
            </w:r>
          </w:p>
        </w:tc>
        <w:tc>
          <w:tcPr>
            <w:tcW w:w="851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20,46</w:t>
            </w:r>
          </w:p>
        </w:tc>
        <w:tc>
          <w:tcPr>
            <w:tcW w:w="992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18,04</w:t>
            </w:r>
          </w:p>
        </w:tc>
        <w:tc>
          <w:tcPr>
            <w:tcW w:w="851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18,54</w:t>
            </w:r>
          </w:p>
        </w:tc>
        <w:tc>
          <w:tcPr>
            <w:tcW w:w="1701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22,38</w:t>
            </w:r>
          </w:p>
        </w:tc>
        <w:tc>
          <w:tcPr>
            <w:tcW w:w="1842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20,50</w:t>
            </w:r>
          </w:p>
        </w:tc>
        <w:tc>
          <w:tcPr>
            <w:tcW w:w="1701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21,09</w:t>
            </w:r>
          </w:p>
        </w:tc>
      </w:tr>
      <w:tr w:rsidR="00DA3EAA" w:rsidRPr="002B365B" w:rsidTr="002B365B">
        <w:tc>
          <w:tcPr>
            <w:tcW w:w="992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40-44</w:t>
            </w:r>
          </w:p>
        </w:tc>
        <w:tc>
          <w:tcPr>
            <w:tcW w:w="851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15,95</w:t>
            </w:r>
          </w:p>
        </w:tc>
        <w:tc>
          <w:tcPr>
            <w:tcW w:w="992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13,75</w:t>
            </w:r>
          </w:p>
        </w:tc>
        <w:tc>
          <w:tcPr>
            <w:tcW w:w="851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14,23</w:t>
            </w:r>
          </w:p>
        </w:tc>
        <w:tc>
          <w:tcPr>
            <w:tcW w:w="1701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17,94</w:t>
            </w:r>
          </w:p>
        </w:tc>
        <w:tc>
          <w:tcPr>
            <w:tcW w:w="1842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16,47</w:t>
            </w:r>
          </w:p>
        </w:tc>
        <w:tc>
          <w:tcPr>
            <w:tcW w:w="1701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16,95</w:t>
            </w:r>
          </w:p>
        </w:tc>
      </w:tr>
      <w:tr w:rsidR="00DA3EAA" w:rsidRPr="002B365B" w:rsidTr="002B365B">
        <w:tc>
          <w:tcPr>
            <w:tcW w:w="992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45-49</w:t>
            </w:r>
          </w:p>
        </w:tc>
        <w:tc>
          <w:tcPr>
            <w:tcW w:w="851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11,58</w:t>
            </w:r>
          </w:p>
        </w:tc>
        <w:tc>
          <w:tcPr>
            <w:tcW w:w="992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9,71</w:t>
            </w:r>
          </w:p>
        </w:tc>
        <w:tc>
          <w:tcPr>
            <w:tcW w:w="851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10,15</w:t>
            </w:r>
          </w:p>
        </w:tc>
        <w:tc>
          <w:tcPr>
            <w:tcW w:w="1701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13,53</w:t>
            </w:r>
          </w:p>
        </w:tc>
        <w:tc>
          <w:tcPr>
            <w:tcW w:w="1842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12,57</w:t>
            </w:r>
          </w:p>
        </w:tc>
        <w:tc>
          <w:tcPr>
            <w:tcW w:w="1701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12,88</w:t>
            </w:r>
          </w:p>
        </w:tc>
      </w:tr>
      <w:tr w:rsidR="00DA3EAA" w:rsidRPr="002B365B" w:rsidTr="002B365B">
        <w:tc>
          <w:tcPr>
            <w:tcW w:w="992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50-54</w:t>
            </w:r>
          </w:p>
        </w:tc>
        <w:tc>
          <w:tcPr>
            <w:tcW w:w="851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7,41</w:t>
            </w:r>
          </w:p>
        </w:tc>
        <w:tc>
          <w:tcPr>
            <w:tcW w:w="992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6,03</w:t>
            </w:r>
          </w:p>
        </w:tc>
        <w:tc>
          <w:tcPr>
            <w:tcW w:w="851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6,36</w:t>
            </w:r>
          </w:p>
        </w:tc>
        <w:tc>
          <w:tcPr>
            <w:tcW w:w="1701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9,18</w:t>
            </w:r>
          </w:p>
        </w:tc>
        <w:tc>
          <w:tcPr>
            <w:tcW w:w="1842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8,65</w:t>
            </w:r>
          </w:p>
        </w:tc>
        <w:tc>
          <w:tcPr>
            <w:tcW w:w="1701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8,82</w:t>
            </w:r>
          </w:p>
        </w:tc>
      </w:tr>
      <w:tr w:rsidR="00DA3EAA" w:rsidRPr="002B365B" w:rsidTr="002B365B">
        <w:tc>
          <w:tcPr>
            <w:tcW w:w="992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55-59</w:t>
            </w:r>
          </w:p>
        </w:tc>
        <w:tc>
          <w:tcPr>
            <w:tcW w:w="851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3,52</w:t>
            </w:r>
          </w:p>
        </w:tc>
        <w:tc>
          <w:tcPr>
            <w:tcW w:w="992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2,77</w:t>
            </w:r>
          </w:p>
        </w:tc>
        <w:tc>
          <w:tcPr>
            <w:tcW w:w="851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2,95</w:t>
            </w:r>
          </w:p>
        </w:tc>
        <w:tc>
          <w:tcPr>
            <w:tcW w:w="1701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4,73</w:t>
            </w:r>
          </w:p>
        </w:tc>
        <w:tc>
          <w:tcPr>
            <w:tcW w:w="1842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4,60</w:t>
            </w:r>
          </w:p>
        </w:tc>
        <w:tc>
          <w:tcPr>
            <w:tcW w:w="1701" w:type="dxa"/>
            <w:shd w:val="clear" w:color="auto" w:fill="auto"/>
          </w:tcPr>
          <w:p w:rsidR="00DA3EAA" w:rsidRPr="00FC1CEB" w:rsidRDefault="00DA3EAA" w:rsidP="00FC1CEB">
            <w:pPr>
              <w:pStyle w:val="af0"/>
            </w:pPr>
            <w:r w:rsidRPr="00FC1CEB">
              <w:t>4,63</w:t>
            </w:r>
          </w:p>
        </w:tc>
      </w:tr>
    </w:tbl>
    <w:p w:rsidR="00FC1CEB" w:rsidRDefault="00FC1CEB" w:rsidP="00FC1CEB">
      <w:pPr>
        <w:pStyle w:val="ae"/>
      </w:pPr>
    </w:p>
    <w:p w:rsidR="00DA3EAA" w:rsidRPr="00FC1CEB" w:rsidRDefault="00DA3EAA" w:rsidP="00FC1CEB">
      <w:pPr>
        <w:pStyle w:val="ae"/>
      </w:pPr>
      <w:r w:rsidRPr="00FC1CEB">
        <w:t>Как видно из таблицы, средняя ожидаемая продолжительность жизни в трудоспособном возрасте для новорожденных во всех возрастных группах меньше, чем для достигших начала соответствующего возрастного интервала. Это результат ухудшения ситуации со смертностью в последние годы, ухудшения, охватившего даже самые младшие возрасты. При этом рост смертности не компенсирован до сих пор.</w:t>
      </w:r>
    </w:p>
    <w:p w:rsidR="00DA3EAA" w:rsidRPr="00FC1CEB" w:rsidRDefault="00DA3EAA" w:rsidP="00FC1CEB">
      <w:pPr>
        <w:pStyle w:val="ae"/>
      </w:pPr>
    </w:p>
    <w:p w:rsidR="00DA3EAA" w:rsidRDefault="00DA3EAA" w:rsidP="00FC1CEB">
      <w:pPr>
        <w:pStyle w:val="ae"/>
      </w:pPr>
      <w:r w:rsidRPr="00FC1CEB">
        <w:t>3.Роль осн</w:t>
      </w:r>
      <w:r w:rsidR="00FC1CEB">
        <w:t>овных классов причин смертности</w:t>
      </w:r>
    </w:p>
    <w:p w:rsidR="00FC1CEB" w:rsidRDefault="00FC1CEB" w:rsidP="00FC1CEB">
      <w:pPr>
        <w:pStyle w:val="ae"/>
      </w:pPr>
    </w:p>
    <w:p w:rsidR="00DA3EAA" w:rsidRPr="00FC1CEB" w:rsidRDefault="00DA3EAA" w:rsidP="00FC1CEB">
      <w:pPr>
        <w:pStyle w:val="ae"/>
      </w:pPr>
      <w:r w:rsidRPr="00FC1CEB">
        <w:t>Долговременный характер, устойчивость неблагоприятных тенденций смертности свидетельствуют о глубоком эпидемиологическом кризисе в России. Он проявляется</w:t>
      </w:r>
      <w:r w:rsidR="00FF3C31" w:rsidRPr="00FC1CEB">
        <w:t>,</w:t>
      </w:r>
      <w:r w:rsidRPr="00FC1CEB">
        <w:t xml:space="preserve"> прежде всего в том, что по каждому из основных классов причин смерти сохраняется и увеличивается преждевременная смертность. На протяжении всего периода с 1970 по 2002 годы решающее влияние на изменения ожидаемой продолжительности жизни оказывали два класса причин: несчастные случаи, отравления, травмы (далее для краткости — "несчастные случаи") и болезни системы кровообращения. Кроме того, в начале 80-х годов положительный вклад вносила снижающаяся смертность от болезней органов дыхания.</w:t>
      </w:r>
    </w:p>
    <w:p w:rsidR="00DA3EAA" w:rsidRPr="00FC1CEB" w:rsidRDefault="00DA3EAA" w:rsidP="00FC1CEB">
      <w:pPr>
        <w:pStyle w:val="ae"/>
      </w:pPr>
      <w:r w:rsidRPr="00FC1CEB">
        <w:t>Причина смерти - это болезнь или травма, обстоятельства несчастного случая или насильственной смерти, которые вызвали последовательность патологических процессов, непосредственно приведших к смерти. Источниками</w:t>
      </w:r>
      <w:r w:rsidR="00FC1CEB">
        <w:t xml:space="preserve"> </w:t>
      </w:r>
      <w:r w:rsidRPr="00FC1CEB">
        <w:t>информации о причинах смерти являются записи в медицинских свидетельствах о смерти, составляемых врачом относительно заболевания, несчастного случая, убийства, самоубийства и другого внешнего воздействия( повреждения в результате действий, предусмотренных законом, повреждения без уточнения их случайного или преднамеренного характера, повреждения в результате военных действий), послуживших причиной смерти. Такие записи служат основанием для указания причины смерти в записях актов о смерти. Причина, по которой наступила смерть, устанавливается соответствующим медицинским органом или врачом. При этом современная статистика причин смерти основана на выделении одной, ведущей, или начальной причиной смерти.</w:t>
      </w:r>
      <w:r w:rsidR="00FF3C31" w:rsidRPr="00FC1CEB">
        <w:t xml:space="preserve"> </w:t>
      </w:r>
      <w:r w:rsidRPr="00FC1CEB">
        <w:t>В нашей стране фрагментарная регистрация причин смерти началась в 1902г. В некоторых годах на основе классификации, разработанной Обществом русских врачей им. Пирогова. Регулярная регистрация причин смерти была введена только в 1925г. И тоже только в городах. Лишь с 1958г. Эта регистрация стала сплошной, охватив и сельскую местность. С 1965г. Отечественная статистика стала учитывать причины смерти согласно их номенклатуре, основанной на МКБ 7-го пересмотра. До 1998г. В России кодирование причин смерти производилось в территориальных комитетах статистики, а разработка данных осуществлялась согласно Краткой номенклатуре причин смертности(1981г.), основанной на Международной статистической классификации болезней, травм и причин смерти 9-го пересмотра (1975). Всего номенклатуре 1981г. Содержалось 200 причин смерти, каждая из которых представляет собой объединение нескольких групп. Показателями смертности по причинам являются общие и повозрастные коэффициенты. Общие коэффициенты причин смертности вычисляются как отношения чисел умерших от указанных причин смерти к средне годовой численности наличного населения по текущей оценке.</w:t>
      </w:r>
    </w:p>
    <w:p w:rsidR="00DA3EAA" w:rsidRPr="00FC1CEB" w:rsidRDefault="00DA3EAA" w:rsidP="00FC1CEB">
      <w:pPr>
        <w:pStyle w:val="ae"/>
      </w:pPr>
      <w:r w:rsidRPr="00FC1CEB">
        <w:t>Процесс вымирания поколения зависит от большого числа социальных и биологических факторов смертности с точки зрения демографического анализа смертности наиболее важно деление их на две крупные группы: эндогенные (порождаемые внутренним развитием организма человека) и экзогенные (свя</w:t>
      </w:r>
      <w:r w:rsidR="00FF3C31" w:rsidRPr="00FC1CEB">
        <w:t>занные с действием внешней средой</w:t>
      </w:r>
      <w:r w:rsidRPr="00FC1CEB">
        <w:t>). Смерть всегда есть результат взаимодействия факторов обеих этих групп, но роль каждой из них может быть принципиально различной с точки зрения основных характеристик смертности.</w:t>
      </w:r>
    </w:p>
    <w:p w:rsidR="00FC1CEB" w:rsidRDefault="00DA3EAA" w:rsidP="00FC1CEB">
      <w:pPr>
        <w:pStyle w:val="ae"/>
      </w:pPr>
      <w:r w:rsidRPr="00FC1CEB">
        <w:t>Поток воздействий экзогенных факторов смертности на развитие индивидуального организма неупорядочен, случаен. Вероятность оказаться объектом подобных воздействий, а так же вероятность того, что их сила превысит защитные способности организма и приведет к смерти, в меньшей степени зависит от возраста.</w:t>
      </w:r>
    </w:p>
    <w:p w:rsidR="00DA3EAA" w:rsidRPr="00FC1CEB" w:rsidRDefault="00DA3EAA" w:rsidP="00FC1CEB">
      <w:pPr>
        <w:pStyle w:val="ae"/>
      </w:pPr>
      <w:r w:rsidRPr="00FC1CEB">
        <w:t>Действие эндогенных факторов смертности обусловлено в основном старением организма. Эндогенные процессы в определенном смысле упорядочены, их действие распределяется на протяжении жизни каждого человека не случайным образом, не равномерно, а концентрируется в старших возрастах. Эта упорядоченность относительна, в действии эндогенных факторов также есть случайный компонент. Некоторое количество эндогенно детерминированных смертей, обусловленных наследственными болезнями, врожденными пороками и т. п., наступает в молодых, часто в ранних детских возрастах. Хотя скорость естественного старения - эволюционная характеристика вида, она не абсолютно одинакова у всех людей, имеет индивидуальные особенности; поэтому возраст, к которому жизнеспособность ослабевает настолько, что смерть становится неизбежной, колеблется в некоторых пределах вокруг величины, называемой биологической (видовой) продолжительностью жизни.</w:t>
      </w:r>
    </w:p>
    <w:p w:rsidR="00DA3EAA" w:rsidRPr="00FC1CEB" w:rsidRDefault="00DA3EAA" w:rsidP="00FC1CEB">
      <w:pPr>
        <w:pStyle w:val="ae"/>
      </w:pPr>
      <w:r w:rsidRPr="00FC1CEB">
        <w:t>По-разному сочетаясь между собой, факторы смертности обуславливают непосредственную причину смерти.</w:t>
      </w:r>
    </w:p>
    <w:p w:rsidR="00FC1CEB" w:rsidRDefault="00FC1CEB" w:rsidP="00FC1CEB">
      <w:pPr>
        <w:pStyle w:val="ae"/>
      </w:pPr>
    </w:p>
    <w:p w:rsidR="00DA3EAA" w:rsidRPr="00FC1CEB" w:rsidRDefault="00FC1CEB" w:rsidP="00FC1CEB">
      <w:pPr>
        <w:pStyle w:val="ae"/>
      </w:pPr>
      <w:r>
        <w:br w:type="page"/>
      </w:r>
      <w:r w:rsidR="00FF3C31" w:rsidRPr="00FC1CEB">
        <w:t>Коэффициенты смертности по основным классам причин смерти.</w:t>
      </w:r>
    </w:p>
    <w:tbl>
      <w:tblPr>
        <w:tblW w:w="894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844"/>
        <w:gridCol w:w="776"/>
        <w:gridCol w:w="844"/>
        <w:gridCol w:w="776"/>
        <w:gridCol w:w="891"/>
        <w:gridCol w:w="776"/>
        <w:gridCol w:w="776"/>
      </w:tblGrid>
      <w:tr w:rsidR="00FF3C31" w:rsidRPr="002B365B" w:rsidTr="002B365B">
        <w:tc>
          <w:tcPr>
            <w:tcW w:w="3260" w:type="dxa"/>
            <w:shd w:val="clear" w:color="auto" w:fill="auto"/>
          </w:tcPr>
          <w:p w:rsidR="00FF3C31" w:rsidRPr="00FC1CEB" w:rsidRDefault="00FF3C31" w:rsidP="00FC1CEB">
            <w:pPr>
              <w:pStyle w:val="af0"/>
            </w:pPr>
            <w:r w:rsidRPr="00FC1CEB">
              <w:t>ГОД</w:t>
            </w:r>
          </w:p>
        </w:tc>
        <w:tc>
          <w:tcPr>
            <w:tcW w:w="844" w:type="dxa"/>
            <w:shd w:val="clear" w:color="auto" w:fill="auto"/>
          </w:tcPr>
          <w:p w:rsidR="00FF3C31" w:rsidRPr="00FC1CEB" w:rsidRDefault="00FF3C31" w:rsidP="00FC1CEB">
            <w:pPr>
              <w:pStyle w:val="af0"/>
            </w:pPr>
            <w:r w:rsidRPr="00FC1CEB">
              <w:t>1992</w:t>
            </w:r>
          </w:p>
        </w:tc>
        <w:tc>
          <w:tcPr>
            <w:tcW w:w="776" w:type="dxa"/>
            <w:shd w:val="clear" w:color="auto" w:fill="auto"/>
          </w:tcPr>
          <w:p w:rsidR="00FF3C31" w:rsidRPr="00FC1CEB" w:rsidRDefault="00FF3C31" w:rsidP="00FC1CEB">
            <w:pPr>
              <w:pStyle w:val="af0"/>
            </w:pPr>
            <w:r w:rsidRPr="00FC1CEB">
              <w:t>1995</w:t>
            </w:r>
          </w:p>
        </w:tc>
        <w:tc>
          <w:tcPr>
            <w:tcW w:w="844" w:type="dxa"/>
            <w:shd w:val="clear" w:color="auto" w:fill="auto"/>
          </w:tcPr>
          <w:p w:rsidR="00FF3C31" w:rsidRPr="00FC1CEB" w:rsidRDefault="00FF3C31" w:rsidP="00FC1CEB">
            <w:pPr>
              <w:pStyle w:val="af0"/>
            </w:pPr>
            <w:r w:rsidRPr="00FC1CEB">
              <w:t>2000</w:t>
            </w:r>
          </w:p>
        </w:tc>
        <w:tc>
          <w:tcPr>
            <w:tcW w:w="776" w:type="dxa"/>
            <w:shd w:val="clear" w:color="auto" w:fill="auto"/>
          </w:tcPr>
          <w:p w:rsidR="00FF3C31" w:rsidRPr="00FC1CEB" w:rsidRDefault="00FF3C31" w:rsidP="00FC1CEB">
            <w:pPr>
              <w:pStyle w:val="af0"/>
            </w:pPr>
            <w:r w:rsidRPr="00FC1CEB">
              <w:t>2001</w:t>
            </w:r>
          </w:p>
        </w:tc>
        <w:tc>
          <w:tcPr>
            <w:tcW w:w="891" w:type="dxa"/>
            <w:shd w:val="clear" w:color="auto" w:fill="auto"/>
          </w:tcPr>
          <w:p w:rsidR="00FF3C31" w:rsidRPr="00FC1CEB" w:rsidRDefault="00FF3C31" w:rsidP="00FC1CEB">
            <w:pPr>
              <w:pStyle w:val="af0"/>
            </w:pPr>
            <w:r w:rsidRPr="00FC1CEB">
              <w:t>2002</w:t>
            </w:r>
          </w:p>
        </w:tc>
        <w:tc>
          <w:tcPr>
            <w:tcW w:w="776" w:type="dxa"/>
            <w:shd w:val="clear" w:color="auto" w:fill="auto"/>
          </w:tcPr>
          <w:p w:rsidR="00FF3C31" w:rsidRPr="00FC1CEB" w:rsidRDefault="00FF3C31" w:rsidP="00FC1CEB">
            <w:pPr>
              <w:pStyle w:val="af0"/>
            </w:pPr>
            <w:r w:rsidRPr="00FC1CEB">
              <w:t>2003</w:t>
            </w:r>
          </w:p>
        </w:tc>
        <w:tc>
          <w:tcPr>
            <w:tcW w:w="776" w:type="dxa"/>
            <w:shd w:val="clear" w:color="auto" w:fill="auto"/>
          </w:tcPr>
          <w:p w:rsidR="00FF3C31" w:rsidRPr="00FC1CEB" w:rsidRDefault="00FF3C31" w:rsidP="00FC1CEB">
            <w:pPr>
              <w:pStyle w:val="af0"/>
            </w:pPr>
            <w:r w:rsidRPr="00FC1CEB">
              <w:t>2004</w:t>
            </w:r>
          </w:p>
        </w:tc>
      </w:tr>
      <w:tr w:rsidR="00FF3C31" w:rsidRPr="002B365B" w:rsidTr="002B365B">
        <w:tc>
          <w:tcPr>
            <w:tcW w:w="3260" w:type="dxa"/>
            <w:shd w:val="clear" w:color="auto" w:fill="auto"/>
          </w:tcPr>
          <w:p w:rsidR="00FF3C31" w:rsidRPr="00FC1CEB" w:rsidRDefault="00FF3C31" w:rsidP="00FC1CEB">
            <w:pPr>
              <w:pStyle w:val="af0"/>
            </w:pPr>
            <w:r w:rsidRPr="00FC1CEB">
              <w:t>Умершие от всех причин в том числе:</w:t>
            </w:r>
          </w:p>
        </w:tc>
        <w:tc>
          <w:tcPr>
            <w:tcW w:w="844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1216</w:t>
            </w:r>
          </w:p>
        </w:tc>
        <w:tc>
          <w:tcPr>
            <w:tcW w:w="776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1496</w:t>
            </w:r>
          </w:p>
        </w:tc>
        <w:tc>
          <w:tcPr>
            <w:tcW w:w="844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1535</w:t>
            </w:r>
          </w:p>
        </w:tc>
        <w:tc>
          <w:tcPr>
            <w:tcW w:w="776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1564</w:t>
            </w:r>
          </w:p>
        </w:tc>
        <w:tc>
          <w:tcPr>
            <w:tcW w:w="891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1628</w:t>
            </w:r>
          </w:p>
        </w:tc>
        <w:tc>
          <w:tcPr>
            <w:tcW w:w="776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1637</w:t>
            </w:r>
          </w:p>
        </w:tc>
        <w:tc>
          <w:tcPr>
            <w:tcW w:w="776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1598</w:t>
            </w:r>
          </w:p>
        </w:tc>
      </w:tr>
      <w:tr w:rsidR="00FF3C31" w:rsidRPr="002B365B" w:rsidTr="002B365B">
        <w:tc>
          <w:tcPr>
            <w:tcW w:w="3260" w:type="dxa"/>
            <w:shd w:val="clear" w:color="auto" w:fill="auto"/>
          </w:tcPr>
          <w:p w:rsidR="00FF3C31" w:rsidRPr="00FC1CEB" w:rsidRDefault="00FF3C31" w:rsidP="00FC1CEB">
            <w:pPr>
              <w:pStyle w:val="af0"/>
            </w:pPr>
            <w:r w:rsidRPr="00FC1CEB">
              <w:t>от болезней системы кровообращения</w:t>
            </w:r>
          </w:p>
        </w:tc>
        <w:tc>
          <w:tcPr>
            <w:tcW w:w="844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646</w:t>
            </w:r>
          </w:p>
        </w:tc>
        <w:tc>
          <w:tcPr>
            <w:tcW w:w="776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790</w:t>
            </w:r>
          </w:p>
        </w:tc>
        <w:tc>
          <w:tcPr>
            <w:tcW w:w="844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849</w:t>
            </w:r>
          </w:p>
        </w:tc>
        <w:tc>
          <w:tcPr>
            <w:tcW w:w="776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869</w:t>
            </w:r>
          </w:p>
        </w:tc>
        <w:tc>
          <w:tcPr>
            <w:tcW w:w="891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913</w:t>
            </w:r>
          </w:p>
        </w:tc>
        <w:tc>
          <w:tcPr>
            <w:tcW w:w="776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928</w:t>
            </w:r>
          </w:p>
        </w:tc>
        <w:tc>
          <w:tcPr>
            <w:tcW w:w="776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892</w:t>
            </w:r>
          </w:p>
        </w:tc>
      </w:tr>
      <w:tr w:rsidR="00FF3C31" w:rsidRPr="002B365B" w:rsidTr="002B365B">
        <w:tc>
          <w:tcPr>
            <w:tcW w:w="3260" w:type="dxa"/>
            <w:shd w:val="clear" w:color="auto" w:fill="auto"/>
          </w:tcPr>
          <w:p w:rsidR="00FF3C31" w:rsidRPr="00FC1CEB" w:rsidRDefault="00FF3C31" w:rsidP="00FC1CEB">
            <w:pPr>
              <w:pStyle w:val="af0"/>
            </w:pPr>
            <w:r w:rsidRPr="00FC1CEB">
              <w:t>от новообразований</w:t>
            </w:r>
          </w:p>
        </w:tc>
        <w:tc>
          <w:tcPr>
            <w:tcW w:w="844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202</w:t>
            </w:r>
          </w:p>
        </w:tc>
        <w:tc>
          <w:tcPr>
            <w:tcW w:w="776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203</w:t>
            </w:r>
          </w:p>
        </w:tc>
        <w:tc>
          <w:tcPr>
            <w:tcW w:w="844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206</w:t>
            </w:r>
          </w:p>
        </w:tc>
        <w:tc>
          <w:tcPr>
            <w:tcW w:w="776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204</w:t>
            </w:r>
          </w:p>
        </w:tc>
        <w:tc>
          <w:tcPr>
            <w:tcW w:w="891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204</w:t>
            </w:r>
          </w:p>
        </w:tc>
        <w:tc>
          <w:tcPr>
            <w:tcW w:w="776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202</w:t>
            </w:r>
          </w:p>
        </w:tc>
        <w:tc>
          <w:tcPr>
            <w:tcW w:w="776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201</w:t>
            </w:r>
          </w:p>
        </w:tc>
      </w:tr>
      <w:tr w:rsidR="00FF3C31" w:rsidRPr="002B365B" w:rsidTr="002B365B">
        <w:tc>
          <w:tcPr>
            <w:tcW w:w="3260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от несчастных случаев, отравлений и травм.</w:t>
            </w:r>
          </w:p>
        </w:tc>
        <w:tc>
          <w:tcPr>
            <w:tcW w:w="844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173</w:t>
            </w:r>
          </w:p>
        </w:tc>
        <w:tc>
          <w:tcPr>
            <w:tcW w:w="776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237</w:t>
            </w:r>
          </w:p>
        </w:tc>
        <w:tc>
          <w:tcPr>
            <w:tcW w:w="844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220</w:t>
            </w:r>
          </w:p>
        </w:tc>
        <w:tc>
          <w:tcPr>
            <w:tcW w:w="776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230</w:t>
            </w:r>
          </w:p>
        </w:tc>
        <w:tc>
          <w:tcPr>
            <w:tcW w:w="891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237</w:t>
            </w:r>
          </w:p>
        </w:tc>
        <w:tc>
          <w:tcPr>
            <w:tcW w:w="776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234</w:t>
            </w:r>
          </w:p>
        </w:tc>
        <w:tc>
          <w:tcPr>
            <w:tcW w:w="776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221</w:t>
            </w:r>
          </w:p>
        </w:tc>
      </w:tr>
      <w:tr w:rsidR="00FF3C31" w:rsidRPr="002B365B" w:rsidTr="002B365B">
        <w:tc>
          <w:tcPr>
            <w:tcW w:w="3260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от транспортных травм(всех видов)</w:t>
            </w:r>
          </w:p>
        </w:tc>
        <w:tc>
          <w:tcPr>
            <w:tcW w:w="844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30</w:t>
            </w:r>
          </w:p>
        </w:tc>
        <w:tc>
          <w:tcPr>
            <w:tcW w:w="776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26</w:t>
            </w:r>
          </w:p>
        </w:tc>
        <w:tc>
          <w:tcPr>
            <w:tcW w:w="844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27</w:t>
            </w:r>
          </w:p>
        </w:tc>
        <w:tc>
          <w:tcPr>
            <w:tcW w:w="776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28</w:t>
            </w:r>
          </w:p>
        </w:tc>
        <w:tc>
          <w:tcPr>
            <w:tcW w:w="891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29</w:t>
            </w:r>
          </w:p>
        </w:tc>
        <w:tc>
          <w:tcPr>
            <w:tcW w:w="776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30</w:t>
            </w:r>
          </w:p>
        </w:tc>
        <w:tc>
          <w:tcPr>
            <w:tcW w:w="776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29</w:t>
            </w:r>
          </w:p>
        </w:tc>
      </w:tr>
      <w:tr w:rsidR="00FF3C31" w:rsidRPr="002B365B" w:rsidTr="002B365B">
        <w:tc>
          <w:tcPr>
            <w:tcW w:w="3260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от случайных отравлений алкоголем</w:t>
            </w:r>
          </w:p>
        </w:tc>
        <w:tc>
          <w:tcPr>
            <w:tcW w:w="844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18</w:t>
            </w:r>
          </w:p>
        </w:tc>
        <w:tc>
          <w:tcPr>
            <w:tcW w:w="776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30</w:t>
            </w:r>
          </w:p>
        </w:tc>
        <w:tc>
          <w:tcPr>
            <w:tcW w:w="844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26</w:t>
            </w:r>
          </w:p>
        </w:tc>
        <w:tc>
          <w:tcPr>
            <w:tcW w:w="776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29</w:t>
            </w:r>
          </w:p>
        </w:tc>
        <w:tc>
          <w:tcPr>
            <w:tcW w:w="891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31</w:t>
            </w:r>
          </w:p>
        </w:tc>
        <w:tc>
          <w:tcPr>
            <w:tcW w:w="776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31</w:t>
            </w:r>
          </w:p>
        </w:tc>
        <w:tc>
          <w:tcPr>
            <w:tcW w:w="776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26</w:t>
            </w:r>
          </w:p>
        </w:tc>
      </w:tr>
      <w:tr w:rsidR="00FF3C31" w:rsidRPr="002B365B" w:rsidTr="002B365B">
        <w:tc>
          <w:tcPr>
            <w:tcW w:w="3260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от случайных утоплений</w:t>
            </w:r>
          </w:p>
        </w:tc>
        <w:tc>
          <w:tcPr>
            <w:tcW w:w="844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9</w:t>
            </w:r>
          </w:p>
        </w:tc>
        <w:tc>
          <w:tcPr>
            <w:tcW w:w="776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14</w:t>
            </w:r>
          </w:p>
        </w:tc>
        <w:tc>
          <w:tcPr>
            <w:tcW w:w="844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11</w:t>
            </w:r>
          </w:p>
        </w:tc>
        <w:tc>
          <w:tcPr>
            <w:tcW w:w="776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12</w:t>
            </w:r>
          </w:p>
        </w:tc>
        <w:tc>
          <w:tcPr>
            <w:tcW w:w="891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12</w:t>
            </w:r>
          </w:p>
        </w:tc>
        <w:tc>
          <w:tcPr>
            <w:tcW w:w="776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11</w:t>
            </w:r>
          </w:p>
        </w:tc>
        <w:tc>
          <w:tcPr>
            <w:tcW w:w="776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10</w:t>
            </w:r>
          </w:p>
        </w:tc>
      </w:tr>
      <w:tr w:rsidR="00FF3C31" w:rsidRPr="002B365B" w:rsidTr="002B365B">
        <w:tc>
          <w:tcPr>
            <w:tcW w:w="3260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от самоубийств</w:t>
            </w:r>
          </w:p>
        </w:tc>
        <w:tc>
          <w:tcPr>
            <w:tcW w:w="844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31</w:t>
            </w:r>
          </w:p>
        </w:tc>
        <w:tc>
          <w:tcPr>
            <w:tcW w:w="776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41</w:t>
            </w:r>
          </w:p>
        </w:tc>
        <w:tc>
          <w:tcPr>
            <w:tcW w:w="844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39</w:t>
            </w:r>
          </w:p>
        </w:tc>
        <w:tc>
          <w:tcPr>
            <w:tcW w:w="776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40</w:t>
            </w:r>
          </w:p>
        </w:tc>
        <w:tc>
          <w:tcPr>
            <w:tcW w:w="891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39</w:t>
            </w:r>
          </w:p>
        </w:tc>
        <w:tc>
          <w:tcPr>
            <w:tcW w:w="776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36</w:t>
            </w:r>
          </w:p>
        </w:tc>
        <w:tc>
          <w:tcPr>
            <w:tcW w:w="776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34</w:t>
            </w:r>
          </w:p>
        </w:tc>
      </w:tr>
      <w:tr w:rsidR="00FF3C31" w:rsidRPr="002B365B" w:rsidTr="002B365B">
        <w:tc>
          <w:tcPr>
            <w:tcW w:w="3260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от убийств</w:t>
            </w:r>
          </w:p>
        </w:tc>
        <w:tc>
          <w:tcPr>
            <w:tcW w:w="844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23</w:t>
            </w:r>
          </w:p>
        </w:tc>
        <w:tc>
          <w:tcPr>
            <w:tcW w:w="776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31</w:t>
            </w:r>
          </w:p>
        </w:tc>
        <w:tc>
          <w:tcPr>
            <w:tcW w:w="844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28</w:t>
            </w:r>
          </w:p>
        </w:tc>
        <w:tc>
          <w:tcPr>
            <w:tcW w:w="776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30</w:t>
            </w:r>
          </w:p>
        </w:tc>
        <w:tc>
          <w:tcPr>
            <w:tcW w:w="891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31</w:t>
            </w:r>
          </w:p>
        </w:tc>
        <w:tc>
          <w:tcPr>
            <w:tcW w:w="776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29</w:t>
            </w:r>
          </w:p>
        </w:tc>
        <w:tc>
          <w:tcPr>
            <w:tcW w:w="776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27</w:t>
            </w:r>
          </w:p>
        </w:tc>
      </w:tr>
      <w:tr w:rsidR="00FF3C31" w:rsidRPr="002B365B" w:rsidTr="002B365B">
        <w:tc>
          <w:tcPr>
            <w:tcW w:w="3260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от болезней органов дыхания</w:t>
            </w:r>
          </w:p>
        </w:tc>
        <w:tc>
          <w:tcPr>
            <w:tcW w:w="844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58</w:t>
            </w:r>
          </w:p>
        </w:tc>
        <w:tc>
          <w:tcPr>
            <w:tcW w:w="776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74</w:t>
            </w:r>
          </w:p>
        </w:tc>
        <w:tc>
          <w:tcPr>
            <w:tcW w:w="844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71</w:t>
            </w:r>
          </w:p>
        </w:tc>
        <w:tc>
          <w:tcPr>
            <w:tcW w:w="776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66</w:t>
            </w:r>
          </w:p>
        </w:tc>
        <w:tc>
          <w:tcPr>
            <w:tcW w:w="891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70</w:t>
            </w:r>
          </w:p>
        </w:tc>
        <w:tc>
          <w:tcPr>
            <w:tcW w:w="776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70</w:t>
            </w:r>
          </w:p>
        </w:tc>
        <w:tc>
          <w:tcPr>
            <w:tcW w:w="776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64</w:t>
            </w:r>
          </w:p>
        </w:tc>
      </w:tr>
      <w:tr w:rsidR="00FF3C31" w:rsidRPr="002B365B" w:rsidTr="002B365B">
        <w:tc>
          <w:tcPr>
            <w:tcW w:w="3260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от болезней пищеварения</w:t>
            </w:r>
          </w:p>
        </w:tc>
        <w:tc>
          <w:tcPr>
            <w:tcW w:w="844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33</w:t>
            </w:r>
          </w:p>
        </w:tc>
        <w:tc>
          <w:tcPr>
            <w:tcW w:w="776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46</w:t>
            </w:r>
          </w:p>
        </w:tc>
        <w:tc>
          <w:tcPr>
            <w:tcW w:w="844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45</w:t>
            </w:r>
          </w:p>
        </w:tc>
        <w:tc>
          <w:tcPr>
            <w:tcW w:w="776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48</w:t>
            </w:r>
          </w:p>
        </w:tc>
        <w:tc>
          <w:tcPr>
            <w:tcW w:w="891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53</w:t>
            </w:r>
          </w:p>
        </w:tc>
        <w:tc>
          <w:tcPr>
            <w:tcW w:w="776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57</w:t>
            </w:r>
          </w:p>
        </w:tc>
        <w:tc>
          <w:tcPr>
            <w:tcW w:w="776" w:type="dxa"/>
            <w:shd w:val="clear" w:color="auto" w:fill="auto"/>
          </w:tcPr>
          <w:p w:rsidR="00FF3C31" w:rsidRPr="00FC1CEB" w:rsidRDefault="00636D5D" w:rsidP="00FC1CEB">
            <w:pPr>
              <w:pStyle w:val="af0"/>
            </w:pPr>
            <w:r w:rsidRPr="00FC1CEB">
              <w:t>59</w:t>
            </w:r>
          </w:p>
        </w:tc>
      </w:tr>
      <w:tr w:rsidR="00636D5D" w:rsidRPr="002B365B" w:rsidTr="002B365B">
        <w:tc>
          <w:tcPr>
            <w:tcW w:w="3260" w:type="dxa"/>
            <w:shd w:val="clear" w:color="auto" w:fill="auto"/>
          </w:tcPr>
          <w:p w:rsidR="00636D5D" w:rsidRPr="00FC1CEB" w:rsidRDefault="00636D5D" w:rsidP="00FC1CEB">
            <w:pPr>
              <w:pStyle w:val="af0"/>
            </w:pPr>
            <w:r w:rsidRPr="00FC1CEB">
              <w:t>от инфекционных и паразитарных болезней</w:t>
            </w:r>
          </w:p>
        </w:tc>
        <w:tc>
          <w:tcPr>
            <w:tcW w:w="844" w:type="dxa"/>
            <w:shd w:val="clear" w:color="auto" w:fill="auto"/>
          </w:tcPr>
          <w:p w:rsidR="00636D5D" w:rsidRPr="00FC1CEB" w:rsidRDefault="00636D5D" w:rsidP="00FC1CEB">
            <w:pPr>
              <w:pStyle w:val="af0"/>
            </w:pPr>
            <w:r w:rsidRPr="00FC1CEB">
              <w:t>13</w:t>
            </w:r>
          </w:p>
        </w:tc>
        <w:tc>
          <w:tcPr>
            <w:tcW w:w="776" w:type="dxa"/>
            <w:shd w:val="clear" w:color="auto" w:fill="auto"/>
          </w:tcPr>
          <w:p w:rsidR="00636D5D" w:rsidRPr="00FC1CEB" w:rsidRDefault="00636D5D" w:rsidP="00FC1CEB">
            <w:pPr>
              <w:pStyle w:val="af0"/>
            </w:pPr>
            <w:r w:rsidRPr="00FC1CEB">
              <w:t>21</w:t>
            </w:r>
          </w:p>
        </w:tc>
        <w:tc>
          <w:tcPr>
            <w:tcW w:w="844" w:type="dxa"/>
            <w:shd w:val="clear" w:color="auto" w:fill="auto"/>
          </w:tcPr>
          <w:p w:rsidR="00636D5D" w:rsidRPr="00FC1CEB" w:rsidRDefault="00636D5D" w:rsidP="00FC1CEB">
            <w:pPr>
              <w:pStyle w:val="af0"/>
            </w:pPr>
            <w:r w:rsidRPr="00FC1CEB">
              <w:t>25</w:t>
            </w:r>
          </w:p>
        </w:tc>
        <w:tc>
          <w:tcPr>
            <w:tcW w:w="776" w:type="dxa"/>
            <w:shd w:val="clear" w:color="auto" w:fill="auto"/>
          </w:tcPr>
          <w:p w:rsidR="00636D5D" w:rsidRPr="00FC1CEB" w:rsidRDefault="00636D5D" w:rsidP="00FC1CEB">
            <w:pPr>
              <w:pStyle w:val="af0"/>
            </w:pPr>
            <w:r w:rsidRPr="00FC1CEB">
              <w:t>25</w:t>
            </w:r>
          </w:p>
        </w:tc>
        <w:tc>
          <w:tcPr>
            <w:tcW w:w="891" w:type="dxa"/>
            <w:shd w:val="clear" w:color="auto" w:fill="auto"/>
          </w:tcPr>
          <w:p w:rsidR="00636D5D" w:rsidRPr="00FC1CEB" w:rsidRDefault="00636D5D" w:rsidP="00FC1CEB">
            <w:pPr>
              <w:pStyle w:val="af0"/>
            </w:pPr>
            <w:r w:rsidRPr="00FC1CEB">
              <w:t>26</w:t>
            </w:r>
          </w:p>
        </w:tc>
        <w:tc>
          <w:tcPr>
            <w:tcW w:w="776" w:type="dxa"/>
            <w:shd w:val="clear" w:color="auto" w:fill="auto"/>
          </w:tcPr>
          <w:p w:rsidR="00636D5D" w:rsidRPr="00FC1CEB" w:rsidRDefault="00636D5D" w:rsidP="00FC1CEB">
            <w:pPr>
              <w:pStyle w:val="af0"/>
            </w:pPr>
            <w:r w:rsidRPr="00FC1CEB">
              <w:t>26</w:t>
            </w:r>
          </w:p>
        </w:tc>
        <w:tc>
          <w:tcPr>
            <w:tcW w:w="776" w:type="dxa"/>
            <w:shd w:val="clear" w:color="auto" w:fill="auto"/>
          </w:tcPr>
          <w:p w:rsidR="00636D5D" w:rsidRPr="00FC1CEB" w:rsidRDefault="00636D5D" w:rsidP="00FC1CEB">
            <w:pPr>
              <w:pStyle w:val="af0"/>
            </w:pPr>
            <w:r w:rsidRPr="00FC1CEB">
              <w:t>25</w:t>
            </w:r>
          </w:p>
        </w:tc>
      </w:tr>
    </w:tbl>
    <w:p w:rsidR="00FF3C31" w:rsidRPr="00FC1CEB" w:rsidRDefault="00FF3C31" w:rsidP="00FC1CEB">
      <w:pPr>
        <w:pStyle w:val="ae"/>
      </w:pPr>
    </w:p>
    <w:p w:rsidR="00DA3EAA" w:rsidRPr="00FC1CEB" w:rsidRDefault="00DA3EAA" w:rsidP="00FC1CEB">
      <w:pPr>
        <w:pStyle w:val="ae"/>
      </w:pPr>
      <w:r w:rsidRPr="00FC1CEB">
        <w:t>Смертность от болезней системы кровообращения.</w:t>
      </w:r>
      <w:r w:rsidR="00636D5D" w:rsidRPr="00FC1CEB">
        <w:t xml:space="preserve"> Наиболее ча</w:t>
      </w:r>
      <w:r w:rsidR="00E7545C" w:rsidRPr="00FC1CEB">
        <w:t>стые причины смерти в Росси- болезни системы кровообращения. На них приходится половина мужских смертей и почти две трети - женских.</w:t>
      </w:r>
      <w:r w:rsidRPr="00FC1CEB">
        <w:t xml:space="preserve"> В 2002 году стандартизованный по возрасту коэффициент смертности от болезней системы кровообращения составил на 100 000 мужчин — 915, женщин — 586. Это значительно превышает показатели таких стран, известных высоким уровнем смертности от сердечно-сосудистых заболеваний, как Финляндия и Англия (450-550 на 100 000 у мужчин и около 300 — у женщин в конце 80-х годов).</w:t>
      </w:r>
      <w:r w:rsidR="00FC1CEB">
        <w:t xml:space="preserve"> </w:t>
      </w:r>
      <w:r w:rsidRPr="00FC1CEB">
        <w:t>Долговременная стагнация высокой смертности населения России от каждой из основных причин смерти в классе болезней системы кровообращения (пожалуй, за исключением гипертонии, где все-таки был достигнут некоторый прогресс) резко контрастирует с быстрым снижением смертности от болезней мозгового кровообращения и несколько более медленным снижением смертности от ишемической болезни сердца в других экономически развитых странах.</w:t>
      </w:r>
      <w:r w:rsidR="00E7545C" w:rsidRPr="00FC1CEB">
        <w:t xml:space="preserve"> Россия в абсолютных цифрах лидирует, а в относительных (на 100 тыс. населения) занимает второе место в мире. Ишемическая болезнь сердца сегодня занимает 30%</w:t>
      </w:r>
      <w:r w:rsidR="00FC1CEB">
        <w:t xml:space="preserve"> </w:t>
      </w:r>
      <w:r w:rsidR="00E7545C" w:rsidRPr="00FC1CEB">
        <w:t>в структуре заболеваемости россиян и 36% среди причин смертности. ( сейчас около 16,2 млн. россиян страдают сердечно-сосудистыми заболеваниями.</w:t>
      </w:r>
      <w:r w:rsidR="003E3754" w:rsidRPr="00FC1CEB">
        <w:t xml:space="preserve"> </w:t>
      </w:r>
      <w:r w:rsidRPr="00FC1CEB">
        <w:t>Это существенно влияет на ожидаемую продолжительность жизни, поскольку болезни системы кровообращения — причина более чем половины всех случаев смерти.</w:t>
      </w:r>
    </w:p>
    <w:p w:rsidR="00DA3EAA" w:rsidRPr="00FC1CEB" w:rsidRDefault="00DA3EAA" w:rsidP="00FC1CEB">
      <w:pPr>
        <w:pStyle w:val="ae"/>
      </w:pPr>
      <w:r w:rsidRPr="00FC1CEB">
        <w:t>Смертность от несчастных случаев, отравлений и травм. Тесная связь динамики ожидаемой продолжительности жизни со смертностью от несчастных случаев (измеряемой ее стандартизованным коэффициентом) Зависимость прослеживается как в 70-е годы, когда смертность населения увеличивалась относительно медленно, так и в период драматических взлетов и падений 1984-1992 годов. Любое повышение смертности от несчастных случаев сопровождается синхронным снижением ожидаемой продолжительности жизни, любое снижение — ее соответствующим повышением.</w:t>
      </w:r>
      <w:r w:rsidR="00FC1CEB">
        <w:t xml:space="preserve"> </w:t>
      </w:r>
      <w:r w:rsidRPr="00FC1CEB">
        <w:t>Смертность от несчастных случаев в России по сравнению с другими европейскими странами очень высока. У мужчин стандартизованный по возрасту ее коэффициент в 2002 году был около 300 на 100 000 жителей, что является абсолютным максимумом для Европы конца 80-х годов и почти в 4 раза превышает среднеевропейский показатель; у женщин он составлял примерно 70 на 100 000 (печальное первое место делится с женщинами Венгрии), превышая среднеевропейский уровень более чем вдвое.</w:t>
      </w:r>
      <w:r w:rsidR="0080178D" w:rsidRPr="00FC1CEB">
        <w:t xml:space="preserve"> На долю России приходится почти треть смертей от дорожно- транспортного травматизма.</w:t>
      </w:r>
      <w:r w:rsidR="00FC1CEB">
        <w:t xml:space="preserve"> </w:t>
      </w:r>
      <w:r w:rsidR="0080178D" w:rsidRPr="00FC1CEB">
        <w:t>В 2004 году в России зарегистрировано 200 тыс. ДТП. В них погибло почти 35 тыс. человек, ранено 250 тыс. Для России социально-экономический ущерб от дорожно</w:t>
      </w:r>
      <w:r w:rsidR="00F177DE" w:rsidRPr="00FC1CEB">
        <w:t xml:space="preserve"> </w:t>
      </w:r>
      <w:r w:rsidR="0080178D" w:rsidRPr="00FC1CEB">
        <w:t>- транспортного травматизма эксперты ВОЗ оценивают от 1.5 до 5% ВВП или 300 млрд. рублей в год. Всего в 2004г в России в результате прои</w:t>
      </w:r>
      <w:r w:rsidR="00F177DE" w:rsidRPr="00FC1CEB">
        <w:t>с</w:t>
      </w:r>
      <w:r w:rsidR="0080178D" w:rsidRPr="00FC1CEB">
        <w:t>шествий</w:t>
      </w:r>
      <w:r w:rsidR="00F177DE" w:rsidRPr="00FC1CEB">
        <w:t xml:space="preserve"> на водных бассейнах и чрезвычайных ситуаций природного и техногенного характера пострадали 159313 человек, из них 94432 человека спасено,29458 погибли. На территории России в 2004 году произошло 199678 пожаров, в результате которых погибли 15592 человек. (Примерно половина пожаров имеет криминальные причины) В 2004 году сохранилась тенденция сокращение производственного травматизма практически во всех отраслях экономики. За пять лет абсолютное снижение этого показателя про</w:t>
      </w:r>
      <w:r w:rsidR="00B03F91" w:rsidRPr="00FC1CEB">
        <w:t>изошло на 26%.</w:t>
      </w:r>
      <w:r w:rsidR="00FC1CEB">
        <w:t xml:space="preserve"> </w:t>
      </w:r>
      <w:r w:rsidRPr="00FC1CEB">
        <w:t>В России изменения смертности от несчастных случаев всегда были тесно связаны с уровнем потребления алкогольных напитков. В 70-е годы шел устойчивый рост потребления алкоголя, сопровождавшийся соответствующим повышением смертности . Во время известной антиалкогольной кампании сократились производство и продажа спиртных напитков, их потребление (по официальным источникам) упало более чем вдвое — при этом смертность от несчастных случаев у мужчин снизилась более чем на 30%, у женщин — примерно на 20%. Однако достигнутое принудительное благополучие не могло про</w:t>
      </w:r>
      <w:r w:rsidR="003E3754" w:rsidRPr="00FC1CEB">
        <w:t>должаться долго; уже в 1990-2004</w:t>
      </w:r>
      <w:r w:rsidRPr="00FC1CEB">
        <w:t xml:space="preserve"> годах потребление алкоголя вновь выросло, а смертность от несчастных случаев стала очень быстро увеличиваться. Она затрагивала главным образом людей трудоспособного возраста, и в гораздо большей мере мужчин, чем женщин.</w:t>
      </w:r>
      <w:r w:rsidR="00FC1CEB">
        <w:t xml:space="preserve"> </w:t>
      </w:r>
      <w:r w:rsidRPr="00FC1CEB">
        <w:t>Так, после 1987 года рост смертности от несчастных случаев происходил быстрее, чем можно было ожидать на основании официальных данных о росте потребления алкоголя в эти же годы. Возможно, это объясняется (по крайней мере, отчасти) ухудшением статистического учета производства, реализации и потребления алкоголя в последние годы. Кроме того, снизилось качество продаваемых спиртных напитков. В 2002 году стандартизованный коэффициент смертности от отравлений в России превышал соответствующий показатель для Франции почти в 15 раз, при том, что уровень потребления алкоголя в этих двух странах — примерно одинаков.</w:t>
      </w:r>
      <w:r w:rsidR="00B03F91" w:rsidRPr="00FC1CEB">
        <w:t xml:space="preserve"> </w:t>
      </w:r>
      <w:r w:rsidRPr="00FC1CEB">
        <w:t>В то же время нельзя исключить и появления факторов повышенной смертности от некоторых причин рассматриваемого класса, не связанных или в меньшей степени связанных с обычным бытовым пьянством. Во всяком случае, наблюдается определенная асимметрия падения и роста смертности от отдельных видов несчастных случаев — смертность от убийств и в меньшей степени от дорожно-транспортных прои</w:t>
      </w:r>
      <w:r w:rsidR="003E3754" w:rsidRPr="00FC1CEB">
        <w:t>сшествий увеличилась в 1990-2004</w:t>
      </w:r>
      <w:r w:rsidRPr="00FC1CEB">
        <w:t xml:space="preserve"> годах на большую величину, чем снизилась в 1985-1987г.</w:t>
      </w:r>
      <w:r w:rsidR="00F177DE" w:rsidRPr="00FC1CEB">
        <w:t xml:space="preserve"> </w:t>
      </w:r>
      <w:r w:rsidRPr="00FC1CEB">
        <w:t>Особенно значительным выглядит увеличение смертности от убийств, несомненно, связанное с кризисными явлениями в российском обществе, ослаблением правопорядка, межнациональными конфликтами с участием граждан России и распространением огнестрельного оружия среди населения. Нельзя, однако, забывать, что уровень смертности от убийств многократно превышал смертность от этой причины в других развитых странах еще в начале 70-х годов. Следовательно, мы имеем дело с ухудшением ситуации, которая и до того была достаточно плохой.</w:t>
      </w:r>
    </w:p>
    <w:p w:rsidR="00FC1CEB" w:rsidRDefault="00DA3EAA" w:rsidP="00FC1CEB">
      <w:pPr>
        <w:pStyle w:val="ae"/>
      </w:pPr>
      <w:r w:rsidRPr="00FC1CEB">
        <w:t>Смертность от болезней органов дыхания, инфекционных заболеваний и болезн</w:t>
      </w:r>
      <w:r w:rsidR="0080178D" w:rsidRPr="00FC1CEB">
        <w:t>ей органов пищеварения в детских</w:t>
      </w:r>
      <w:r w:rsidRPr="00FC1CEB">
        <w:t xml:space="preserve"> и молодых возрастах.</w:t>
      </w:r>
    </w:p>
    <w:p w:rsidR="00FC1CEB" w:rsidRDefault="00DA3EAA" w:rsidP="00FC1CEB">
      <w:pPr>
        <w:pStyle w:val="ae"/>
      </w:pPr>
      <w:r w:rsidRPr="00FC1CEB">
        <w:t>Несмотря на длительное снижение, стандартизованный коэффициент смертности мужчин от инфекционны</w:t>
      </w:r>
      <w:r w:rsidR="00CC1B4C" w:rsidRPr="00FC1CEB">
        <w:t>х и паразитарных болезней в 2004</w:t>
      </w:r>
      <w:r w:rsidRPr="00FC1CEB">
        <w:t xml:space="preserve"> году был выше среднеевропейского уровня в 2,8 раза, женщин — в 1,7 раза. Стандартизованные коэффициенты смертности населения России от болезней органов дыхания и пищеварения находились примерно на среднеевропейском уровне. Однако эти коэффициенты относительно детских</w:t>
      </w:r>
      <w:r w:rsidR="00367BCF" w:rsidRPr="00FC1CEB">
        <w:t xml:space="preserve"> и молодых возрастов в 1990-2004</w:t>
      </w:r>
      <w:r w:rsidRPr="00FC1CEB">
        <w:t xml:space="preserve"> годах были намного выше, чем в западных странах.</w:t>
      </w:r>
      <w:r w:rsidR="00FC1CEB">
        <w:t xml:space="preserve"> </w:t>
      </w:r>
      <w:r w:rsidRPr="00FC1CEB">
        <w:t>Несмотря на снижение смертности от этой группы причин у детей в возрасте до 15 лет, разрыв между Россией и другими экономически р</w:t>
      </w:r>
      <w:r w:rsidR="003E3754" w:rsidRPr="00FC1CEB">
        <w:t>азвитыми странами остался в 2004</w:t>
      </w:r>
      <w:r w:rsidRPr="00FC1CEB">
        <w:t xml:space="preserve"> году примерно на 2-х кратном уровне.</w:t>
      </w:r>
    </w:p>
    <w:p w:rsidR="00FC1CEB" w:rsidRDefault="00CC1B4C" w:rsidP="00FC1CEB">
      <w:pPr>
        <w:pStyle w:val="ae"/>
      </w:pPr>
      <w:r w:rsidRPr="00FC1CEB">
        <w:t>Первый случай заражения ВИЧ- инфекцией был зарегистрирован в России в 1987 году.</w:t>
      </w:r>
      <w:r w:rsidR="00224A2C" w:rsidRPr="00FC1CEB">
        <w:t xml:space="preserve"> </w:t>
      </w:r>
      <w:r w:rsidRPr="00FC1CEB">
        <w:t>В течение 10 лет Россия относилась к числу стран с низким уровнем распространения ВИЧ- инфе</w:t>
      </w:r>
      <w:r w:rsidR="00224A2C" w:rsidRPr="00FC1CEB">
        <w:t>кции, к 1996 году было зарегистрировано всего 1090 случаев. Новый этап распространения ВИЧ начался примерно с середины 1996года, когда в ряде городов была отмечена вспышка ВИЧ- инфекции среди потребителей внутривенных наркотиков. Впоследствии число вновь выявляемых случаев быстро растет.</w:t>
      </w:r>
    </w:p>
    <w:p w:rsidR="00DA3EAA" w:rsidRPr="00FC1CEB" w:rsidRDefault="00DA3EAA" w:rsidP="00FC1CEB">
      <w:pPr>
        <w:pStyle w:val="ae"/>
      </w:pPr>
      <w:r w:rsidRPr="00FC1CEB">
        <w:t>Смертность от новообразований. До конца 70-х годов она находилась примерно на одном уровне и даже несколько снижалась, однако в 80-е наметился ее рост. Такая динамика объясняется тем, что внутри класса причин компенсировали друг друга две противоположные тенденции. Как и в других развитых странах, происходило значительное снижение смертности от рака желудка; у женщин несколько снижалась смертность от рака матки. В противовес этому увеличивалась смертность от рака легкого (особенно у мужчин), кишечника и прямой кишки, а также от рака груди у женщин. Постепенно общая тенденция изменения смертности от новообразований повернулась в сторону роста.</w:t>
      </w:r>
      <w:r w:rsidR="00FC1CEB">
        <w:t xml:space="preserve"> </w:t>
      </w:r>
      <w:r w:rsidRPr="00FC1CEB">
        <w:t>В 2002 году стандартизованный коэффициент смертности от новообразований составил в России 325,3 на 100 000 у мужчин и 147,1 —у женщин. Уровень смертности мужчин весьма высок по сравнению с другими странами, причем стандартизованный коэффициент смертности от этой причины является одним из самых высоких в Европе — 104,8 на 100 000. К сожалению, смертность от большинства локализаций рака растет у нас быстрее и в перспективе может стать одним из главных факторов расширяющегося разрыва между Россией и другими экономически развитыми странами по уровню ожидаемой продолжительности жизни.</w:t>
      </w:r>
      <w:r w:rsidR="00FC1CEB">
        <w:t xml:space="preserve"> </w:t>
      </w:r>
      <w:r w:rsidRPr="00FC1CEB">
        <w:t>Но несмотря на все эти цифры в настоящее время происходит сокращение младенческой смерти (на 7,2%). В 2006 году ее показатель составил 10,2 умерших детей в возрасте до 1 года на 1000 родившихся живыми, против 11,0 в 2005 году. Снизилась материнская смертность - 23,8 умерших на 100 тыс. родившихся живыми против 25,4 в 2005 году (на 6,3%)Остается надеяться, что наблюдаемое улучшение ситуации является началом долговременной положительной тенденции. Это тем более актуально в условиях начавшегося снижения численности населения в трудоспособном возрасте. Как и прогнозировалось</w:t>
      </w:r>
      <w:r w:rsidR="003E3754" w:rsidRPr="00FC1CEB">
        <w:t>,</w:t>
      </w:r>
      <w:r w:rsidRPr="00FC1CEB">
        <w:t xml:space="preserve"> ранее Росстатом согласно предварительной оценке возрастного состава населения число лиц рабочих возрастов на начало 2007 года сократилось по сравнению с соответствующим периодом прошлого года на 176 тыс. человек и этот процесс будет нарастать.</w:t>
      </w:r>
    </w:p>
    <w:p w:rsidR="00FC1CEB" w:rsidRDefault="00FC1CEB" w:rsidP="00FC1CEB">
      <w:pPr>
        <w:pStyle w:val="ae"/>
      </w:pPr>
    </w:p>
    <w:p w:rsidR="00B22178" w:rsidRDefault="00B22178" w:rsidP="00FC1CEB">
      <w:pPr>
        <w:pStyle w:val="ae"/>
      </w:pPr>
      <w:r w:rsidRPr="00FC1CEB">
        <w:t xml:space="preserve">4. </w:t>
      </w:r>
      <w:r w:rsidR="00685A16" w:rsidRPr="00FC1CEB">
        <w:t>Соци</w:t>
      </w:r>
      <w:r w:rsidR="00FC1CEB">
        <w:t>альная составляющая депопуляции</w:t>
      </w:r>
    </w:p>
    <w:p w:rsidR="00FC1CEB" w:rsidRPr="00FC1CEB" w:rsidRDefault="00FC1CEB" w:rsidP="00FC1CEB">
      <w:pPr>
        <w:pStyle w:val="ae"/>
      </w:pPr>
    </w:p>
    <w:p w:rsidR="00FC1CEB" w:rsidRDefault="00B22178" w:rsidP="00FC1CEB">
      <w:pPr>
        <w:pStyle w:val="ae"/>
      </w:pPr>
      <w:r w:rsidRPr="00FC1CEB">
        <w:t>В современной России, как было отмечено в ноябре 2004год. Всероссийском форуме, усиливается и так называемая социальная дифференциация смертности, то есть вымирают в первую очередь бедные и маргинальные слои населения, причем именно среди них</w:t>
      </w:r>
      <w:r w:rsidR="00E77CD8" w:rsidRPr="00FC1CEB">
        <w:t xml:space="preserve"> женская смертность особенно высока.</w:t>
      </w:r>
      <w:r w:rsidR="00181839" w:rsidRPr="00FC1CEB">
        <w:t xml:space="preserve"> В России сформировалось два типа смертности: люди высших и низших слоев общества умирают от разных причин.</w:t>
      </w:r>
    </w:p>
    <w:p w:rsidR="00DA3EAA" w:rsidRPr="00FC1CEB" w:rsidRDefault="00181839" w:rsidP="00FC1CEB">
      <w:pPr>
        <w:pStyle w:val="ae"/>
      </w:pPr>
      <w:r w:rsidRPr="00FC1CEB">
        <w:t>. Но как доказано люди с высшим образованием не умирают от алкогольных напитков</w:t>
      </w:r>
      <w:r w:rsidR="00423107" w:rsidRPr="00FC1CEB">
        <w:t>, но поскольку « народа» значительно больше, чем « чистой публики», - страна имеет показатели продолжительности жизни, сравнимые с показателями африканских стран. По средней продолжительности жизни в 2004 году наши женщины(72 года) занимали 100-е место в мире, а мужчины (58,8года) – 134-е место. ( Масштаб отставания</w:t>
      </w:r>
      <w:r w:rsidR="00FC1CEB">
        <w:t xml:space="preserve"> </w:t>
      </w:r>
      <w:r w:rsidR="00423107" w:rsidRPr="00FC1CEB">
        <w:t>России от передовых стран виде</w:t>
      </w:r>
      <w:r w:rsidR="00393B6F" w:rsidRPr="00FC1CEB">
        <w:t>н из того, что продолжительность жизни мужчин России в 2003 году были ниже, чем в США –</w:t>
      </w:r>
      <w:r w:rsidR="006B1607" w:rsidRPr="00FC1CEB">
        <w:t xml:space="preserve"> </w:t>
      </w:r>
      <w:r w:rsidR="00393B6F" w:rsidRPr="00FC1CEB">
        <w:t>на 15,4 года, чем во Франции – на 17 лет , в Швеции –на 19,1 года, в Японии – на 19,6 года. По</w:t>
      </w:r>
      <w:r w:rsidR="00FC1CEB">
        <w:t xml:space="preserve"> </w:t>
      </w:r>
      <w:r w:rsidR="00393B6F" w:rsidRPr="00FC1CEB">
        <w:t>женской смертности отставание, России несколь</w:t>
      </w:r>
      <w:r w:rsidR="006B1607" w:rsidRPr="00FC1CEB">
        <w:t>ко меньше, но тоже значительно.</w:t>
      </w:r>
      <w:r w:rsidR="00C92CFC" w:rsidRPr="00FC1CEB">
        <w:t xml:space="preserve"> Ожидается, что с 2009</w:t>
      </w:r>
      <w:r w:rsidR="00393B6F" w:rsidRPr="00FC1CEB">
        <w:t xml:space="preserve"> года средняя продолжительность жизни россиянина составит 66,2 года, что обеспечивает России 130- 140-е места в мире, далеко позади всех</w:t>
      </w:r>
      <w:r w:rsidR="00FC1CEB">
        <w:t xml:space="preserve"> </w:t>
      </w:r>
      <w:r w:rsidR="00393B6F" w:rsidRPr="00FC1CEB">
        <w:t>азиатских</w:t>
      </w:r>
      <w:r w:rsidR="00FC1CEB">
        <w:t xml:space="preserve"> </w:t>
      </w:r>
      <w:r w:rsidR="00393B6F" w:rsidRPr="00FC1CEB">
        <w:t>и латиноамериканских стран, но зато впереди африканских. Конечной целью Минздрав соцразвития</w:t>
      </w:r>
      <w:r w:rsidR="00FC1CEB">
        <w:t xml:space="preserve"> </w:t>
      </w:r>
      <w:r w:rsidR="00393B6F" w:rsidRPr="00FC1CEB">
        <w:t>является увеличение пр</w:t>
      </w:r>
      <w:r w:rsidR="00DA3B2B" w:rsidRPr="00FC1CEB">
        <w:t>о</w:t>
      </w:r>
      <w:r w:rsidR="00393B6F" w:rsidRPr="00FC1CEB">
        <w:t>должительности жизни россиян до 70 лет, при этом</w:t>
      </w:r>
      <w:r w:rsidR="00DA3B2B" w:rsidRPr="00FC1CEB">
        <w:t xml:space="preserve"> Минздравсоцразвития продолжает настаивать на увеличении пенсионного возраста до 65 лет. </w:t>
      </w:r>
      <w:r w:rsidR="0040436B" w:rsidRPr="00FC1CEB">
        <w:t>Получается, что средний россиянин после выхода на пенсию проживет чуть более года сейчас и пяти при наступлении светлого будущего. Возникает резонный вопрос: зачем работодателю не одно десятилетие платить двадцать процентов отчислений в пенсионный фонд? К примеру, на конец сентября 2005 года в Японии насчитывалось 25606 граждан в возрасте 100 лет и старше. Из них 85% женщины. Больше всего долгожителей в Токио-2387. С 2000-2005 год</w:t>
      </w:r>
      <w:r w:rsidR="006B1607" w:rsidRPr="00FC1CEB">
        <w:t>ы количество столетних японцев увеличилось вдвое, и ожидают, что к 2050 году их будет миллион.</w:t>
      </w:r>
      <w:r w:rsidR="00B218C1" w:rsidRPr="00FC1CEB">
        <w:t xml:space="preserve"> В начале прошлого века продолжительность жизни среднего россиянина также была была на 15-20 лет ниже, чем в передовых странах. К шестидесятым годам прошлого века России удалось значительно сократить этот разрыв. Это был результат</w:t>
      </w:r>
      <w:r w:rsidR="00C92170" w:rsidRPr="00FC1CEB">
        <w:t xml:space="preserve"> успехов мировой медицинской науки ( включая открытие антибиотиков), развития системы бесплатного здравоохранения, роста культурного уровня населения.В 1965 году средняя продолжительность жизни достигла 69,5 года. С тех пор</w:t>
      </w:r>
      <w:r w:rsidR="00FC1CEB">
        <w:t xml:space="preserve"> </w:t>
      </w:r>
      <w:r w:rsidR="00C92170" w:rsidRPr="00FC1CEB">
        <w:t xml:space="preserve">в СССР она постоянно снижалась и в 1986-1987 годах была самой большой за всю историю России- 70,1 года. </w:t>
      </w:r>
      <w:r w:rsidR="00F377B7" w:rsidRPr="00FC1CEB">
        <w:t>Однако с началом перест</w:t>
      </w:r>
      <w:r w:rsidR="00C92170" w:rsidRPr="00FC1CEB">
        <w:t>ройки она быстро увеличилась.</w:t>
      </w:r>
      <w:r w:rsidR="00F377B7" w:rsidRPr="00FC1CEB">
        <w:t xml:space="preserve"> Если тридцативосьмилетний период (1965-2003) разделить на две равные части, то оказывается, что потери продолжительности жизни в застойный период (1965-1984) и в последующий, перестройки и постперестройки, - очень близки. В первый из них длительность мужской жизни сократилась на 2,74 года, во второй- на 3,25. К тому же между переписями 1989 года и 2002 года из страны уехали 5,4 млн. человек, что больше, чем в революцию и Гражданскую войну.</w:t>
      </w:r>
    </w:p>
    <w:p w:rsidR="00F377B7" w:rsidRPr="00FC1CEB" w:rsidRDefault="00F377B7" w:rsidP="00FC1CEB">
      <w:pPr>
        <w:pStyle w:val="ae"/>
      </w:pPr>
      <w:r w:rsidRPr="00FC1CEB">
        <w:t>Доказано,</w:t>
      </w:r>
      <w:r w:rsidR="00685A16" w:rsidRPr="00FC1CEB">
        <w:t xml:space="preserve"> </w:t>
      </w:r>
      <w:r w:rsidRPr="00FC1CEB">
        <w:t>что продо</w:t>
      </w:r>
      <w:r w:rsidR="00685A16" w:rsidRPr="00FC1CEB">
        <w:t>лжительность жизни тесно связана</w:t>
      </w:r>
      <w:r w:rsidR="00FC1CEB">
        <w:t xml:space="preserve"> </w:t>
      </w:r>
      <w:r w:rsidR="00685A16" w:rsidRPr="00FC1CEB">
        <w:t>с материальным уровнем жизни, то есть уровнем потребления. При росте уровня жизни растет и ее продолжительность. Стагнация продолжительности жизни россиян на очень низком для нынешнего времени уровне</w:t>
      </w:r>
      <w:r w:rsidR="006E005F" w:rsidRPr="00FC1CEB">
        <w:t xml:space="preserve"> </w:t>
      </w:r>
      <w:r w:rsidR="00685A16" w:rsidRPr="00FC1CEB">
        <w:t>- веское свидетельство того, что средний уровень жизни в России не растет, несмотря на миллиарды нефтедолларов и заметный экономический рост России в целом в последние годы. Дело, видимо, в поляризации населения России – быстром росте уровня жизни меньшинства и « обнищании» большинства.</w:t>
      </w:r>
    </w:p>
    <w:p w:rsidR="00FC1CEB" w:rsidRDefault="00FC1CEB" w:rsidP="00FC1CEB">
      <w:pPr>
        <w:pStyle w:val="ae"/>
      </w:pPr>
    </w:p>
    <w:p w:rsidR="00685A16" w:rsidRDefault="00FC1CEB" w:rsidP="00FC1CEB">
      <w:pPr>
        <w:pStyle w:val="ae"/>
      </w:pPr>
      <w:r>
        <w:br w:type="page"/>
      </w:r>
      <w:r w:rsidR="00685A16" w:rsidRPr="00FC1CEB">
        <w:t>5.Тен</w:t>
      </w:r>
      <w:r>
        <w:t>денции и перспективы смертности</w:t>
      </w:r>
    </w:p>
    <w:p w:rsidR="00FC1CEB" w:rsidRPr="00FC1CEB" w:rsidRDefault="00FC1CEB" w:rsidP="00FC1CEB">
      <w:pPr>
        <w:pStyle w:val="ae"/>
      </w:pPr>
    </w:p>
    <w:p w:rsidR="006E005F" w:rsidRPr="00FC1CEB" w:rsidRDefault="006E005F" w:rsidP="00FC1CEB">
      <w:pPr>
        <w:pStyle w:val="ae"/>
      </w:pPr>
      <w:r w:rsidRPr="00FC1CEB">
        <w:t>По прогнозам ученых, к концу XXI</w:t>
      </w:r>
      <w:r w:rsidR="00F114CF" w:rsidRPr="00FC1CEB">
        <w:t xml:space="preserve"> в</w:t>
      </w:r>
      <w:r w:rsidRPr="00FC1CEB">
        <w:t>ека население Земли вырастет в два раза, однако в России, численность которой на 1 января 2005 года составляла 143474,2 тыс. человек, при сохранении существующих демографических тенденций, через 70 лет останется 100 миллионов человек.</w:t>
      </w:r>
      <w:r w:rsidR="00D62D1B" w:rsidRPr="00FC1CEB">
        <w:t xml:space="preserve"> В настоящее время у нас зарегистрирована самая высокая смертность в Европе. На протяжении многих лет общие тенденции в смертности населения нашей страны определяет ситуация со смертностью людей рабочих возрастов. После 2005 года начинает значительно сокращаться трудоресурсное население страны и, возможно, к 2010г. Мы окажемся в так называемой демографической яме, т.е. совокупное количество лиц пенсионного возраста и детей существенно превысит число трудоспособных граждан.</w:t>
      </w:r>
      <w:r w:rsidR="00DB4FF2" w:rsidRPr="00FC1CEB">
        <w:t xml:space="preserve"> </w:t>
      </w:r>
      <w:r w:rsidR="00D62D1B" w:rsidRPr="00FC1CEB">
        <w:t>В настоящее время 60% россиян- старики, дети и инвалиды.</w:t>
      </w:r>
      <w:r w:rsidR="00DB4FF2" w:rsidRPr="00FC1CEB">
        <w:t xml:space="preserve"> При сохранение этих тенденций к 2025 году на одного работающего гражданина будет приходиться 4 иждивенца. Сегодня на содержании государства находится 36,6 млн. пенсионеров, т.е. 25% населения. В результате, лет через десять самым дефицитным ,а значит и дорогим ресурсом станет не нефть и газ,а обычный человеческий труд. По прогнозам экспертов ООН, к 2015 году в России будут проживать около 133 млн. человек, в 2025 году- 126млн. человек, а в 2050 году -104 млн. Из Советского союза Россия вышла с населением в 147 с половиной миллионов человек.</w:t>
      </w:r>
      <w:r w:rsidR="00137F97" w:rsidRPr="00FC1CEB">
        <w:t xml:space="preserve"> Однако, по мнению</w:t>
      </w:r>
      <w:r w:rsidR="005B7FB7" w:rsidRPr="00FC1CEB">
        <w:t xml:space="preserve"> А. Вишневского, доктора экономических наук, руководителя Центра демографии и экологии человека Института народнохозяйственного прогнозирования РАН, -к 2050 году в нашей стране будет жить всего около 100 млн. человек, и мы по численности населения скатимся к уровню Египта, Вьетнама и Уганды. Уже сейчас по структуре смерти Россия соответствует</w:t>
      </w:r>
      <w:r w:rsidR="00FC1CEB">
        <w:t xml:space="preserve"> </w:t>
      </w:r>
      <w:r w:rsidR="005B7FB7" w:rsidRPr="00FC1CEB">
        <w:t>стране в состояние затяжной войны, поскольку потери здоровых мужчин сопоставимы с потерями СССР в Отечественной войне, и вернуться к естественному приросту населения она уже не может.</w:t>
      </w:r>
      <w:r w:rsidR="00F851C5" w:rsidRPr="00FC1CEB">
        <w:t xml:space="preserve"> </w:t>
      </w:r>
      <w:r w:rsidR="005B7FB7" w:rsidRPr="00FC1CEB">
        <w:t>Современному мужчине 34 года, а женщине- 40. И женщин на 10 млн. больше. Мужская смертность в России в четыре раза превышает женскую. Тем не менее, темпы сокращения пр</w:t>
      </w:r>
      <w:r w:rsidR="00F851C5" w:rsidRPr="00FC1CEB">
        <w:t>о</w:t>
      </w:r>
      <w:r w:rsidR="005B7FB7" w:rsidRPr="00FC1CEB">
        <w:t>должительности жизни в 1985-2004 годах у молодых женщин были заметно выше, чем у их сверстников.</w:t>
      </w:r>
      <w:r w:rsidR="00137F97" w:rsidRPr="00FC1CEB">
        <w:t xml:space="preserve"> </w:t>
      </w:r>
      <w:r w:rsidR="00F851C5" w:rsidRPr="00FC1CEB">
        <w:t>Поэтому в ближайшей перспективе велика вероятность сокращения разрыва в средней продолжительности жизни между мужчинами и женщинами, но не за счет сокращения мужской смертности, а за счет роста смертности женской. Быстрый рост молодых женщин свидетельствует об их маргинализации, а значит и о возможной маргинализации их детей, поскольку социальный статус детей определяется матерью. Россияне стремительно стареют.</w:t>
      </w:r>
      <w:r w:rsidR="004C134B" w:rsidRPr="00FC1CEB">
        <w:t xml:space="preserve"> Парадокс в том, что смертность больше всего коснулась молодых людей от 20 до 45 лет. Младенческая смертность у нас в полтора-два раза выше, чем в развитых странах. На 40% выросла смертность среди 15-19 летних. В возрасте от 20-25 лет смертность подскочила на 80%</w:t>
      </w:r>
      <w:r w:rsidR="00E56C96" w:rsidRPr="00FC1CEB">
        <w:t xml:space="preserve"> от25-35 – на 70%. По подсчетам ООН, к 2025 году в России останется не более 6 млн. человек в возрасте от 15-24 года. Средства массовой информации обычно показывают нашу демографическую ситуацию в искаженном виде. Пример типичного утверждения </w:t>
      </w:r>
      <w:r w:rsidR="00CA1B72">
        <w:t>что</w:t>
      </w:r>
      <w:r w:rsidR="00E56C96" w:rsidRPr="00FC1CEB">
        <w:t xml:space="preserve"> в стране в год умирает по миллиону человек. На самом деле умирает по 2,3 миллиона. А примерно на миллион ежегодно смертей больше, чем рождений. А примерно ежегодно мы теряем две деревни, а в год- небольшую область. Население России в 2005 году уменьшалось на 100 человек в час, или 2,4 тыс. в день. В целом, население России за 2005 год сократилось на 680 тыс. человек и теперь оно составляет окол</w:t>
      </w:r>
      <w:r w:rsidR="00D25C9B" w:rsidRPr="00FC1CEB">
        <w:t>о</w:t>
      </w:r>
      <w:r w:rsidR="00E56C96" w:rsidRPr="00FC1CEB">
        <w:t xml:space="preserve"> 142 млн. Но на языке статистиков все равно это положительная динамика. </w:t>
      </w:r>
      <w:r w:rsidR="00D25C9B" w:rsidRPr="00FC1CEB">
        <w:t>Среднестатистический россиянин – это человек 37 лет, который, скорее всего живет в гражданском браке и зарабатывает 10 с половиной тысяч рублей в месяц. Лишь 54% нынешних 16- летних юношей доживут до пенсии.</w:t>
      </w:r>
    </w:p>
    <w:p w:rsidR="00FC1CEB" w:rsidRDefault="00FC1CEB" w:rsidP="00FC1CEB">
      <w:pPr>
        <w:pStyle w:val="ae"/>
      </w:pPr>
    </w:p>
    <w:p w:rsidR="00A52DB5" w:rsidRPr="00FC1CEB" w:rsidRDefault="00FC1CEB" w:rsidP="00FC1CEB">
      <w:pPr>
        <w:pStyle w:val="ae"/>
      </w:pPr>
      <w:r>
        <w:br w:type="page"/>
      </w:r>
      <w:r w:rsidR="00A52DB5" w:rsidRPr="00FC1CEB">
        <w:t>Заключение</w:t>
      </w:r>
    </w:p>
    <w:p w:rsidR="00FC1CEB" w:rsidRDefault="00FC1CEB" w:rsidP="00FC1CEB">
      <w:pPr>
        <w:pStyle w:val="ae"/>
      </w:pPr>
    </w:p>
    <w:p w:rsidR="00FC1CEB" w:rsidRDefault="00A52DB5" w:rsidP="00FC1CEB">
      <w:pPr>
        <w:pStyle w:val="ae"/>
      </w:pPr>
      <w:r w:rsidRPr="00FC1CEB">
        <w:t>И в заключении хотелось бы сказать, что в краткосрочной перспективе, то есть до конца нашего века, будет продолжаться активный процесс снижения интенсивности рождаемости по регионам страны. В дальнейшем ускоряющимися темпами будет наблюдаться процесс снижения интенсивности рождаемости, особенно в сельском населении. Здесь, по всей вероятности, произойдет переход от многодетной к среднедетной, а позже и малодетной семье. В этих условиях важно активизировать демографическую политику с тем, чтобы не допустить перехода основной части населения к малодетной семье.</w:t>
      </w:r>
    </w:p>
    <w:p w:rsidR="00FC1CEB" w:rsidRDefault="00CA1B72" w:rsidP="00FC1CEB">
      <w:pPr>
        <w:pStyle w:val="ae"/>
      </w:pPr>
      <w:r w:rsidRPr="00FC1CEB">
        <w:t>Тенденции</w:t>
      </w:r>
      <w:r w:rsidR="00A52DB5" w:rsidRPr="00FC1CEB">
        <w:t xml:space="preserve"> заболеваемости и смертности во многом будут зависеть от успехов развития науки и эффективности функционирования органов здравоохранения. Можно полагать, что и в этой сфере сохранится прогрессивная тенденция к снижению продолжительности жизни за счет возможного дальнейшего увеличения младенческой смертности, смертности от различных болезней, травматизма, несчастных случаев в быту и на производстве у лиц средних возрастов.</w:t>
      </w:r>
      <w:r w:rsidR="00FC1CEB">
        <w:t xml:space="preserve"> </w:t>
      </w:r>
      <w:r w:rsidR="00A52DB5" w:rsidRPr="00FC1CEB">
        <w:t>В перспективе будут расти территориальная подвижность населения, особенно в восточные районы страны. В то же время в районах с низким уровнем рождаемости интенсивность перемещения населения по направлению село-город может снизиться, тем более что потенциальные резервы мигрантов в этих районах незначительны.</w:t>
      </w:r>
      <w:r w:rsidR="00FC1CEB">
        <w:t xml:space="preserve"> </w:t>
      </w:r>
      <w:r w:rsidR="00A52DB5" w:rsidRPr="00FC1CEB">
        <w:t>В целом демографическая ситуация в нашей стране достаточно разнообразна.</w:t>
      </w:r>
    </w:p>
    <w:p w:rsidR="00FE7C5C" w:rsidRPr="00FC1CEB" w:rsidRDefault="00FE7C5C" w:rsidP="00FC1CEB">
      <w:pPr>
        <w:pStyle w:val="ae"/>
      </w:pPr>
    </w:p>
    <w:p w:rsidR="00A52DB5" w:rsidRPr="00FC1CEB" w:rsidRDefault="00FC1CEB" w:rsidP="00FC1CEB">
      <w:pPr>
        <w:pStyle w:val="ae"/>
      </w:pPr>
      <w:r>
        <w:br w:type="page"/>
      </w:r>
      <w:r w:rsidR="00C072CB" w:rsidRPr="00FC1CEB">
        <w:t>Список использованной литературы</w:t>
      </w:r>
    </w:p>
    <w:p w:rsidR="00C072CB" w:rsidRPr="00FC1CEB" w:rsidRDefault="00C072CB" w:rsidP="00FC1CEB">
      <w:pPr>
        <w:pStyle w:val="ae"/>
      </w:pPr>
    </w:p>
    <w:p w:rsidR="00FC1CEB" w:rsidRDefault="00B03F91" w:rsidP="00FC1CEB">
      <w:pPr>
        <w:pStyle w:val="af"/>
      </w:pPr>
      <w:r w:rsidRPr="00FC1CEB">
        <w:t>1.</w:t>
      </w:r>
      <w:r w:rsidR="00A52DB5" w:rsidRPr="00FC1CEB">
        <w:t>Кваша А. “Что такое демография” Издат</w:t>
      </w:r>
      <w:r w:rsidRPr="00FC1CEB">
        <w:t>ельство “Москва-мысль” 1993 год.</w:t>
      </w:r>
    </w:p>
    <w:p w:rsidR="00FC1CEB" w:rsidRDefault="00B03F91" w:rsidP="00FC1CEB">
      <w:pPr>
        <w:pStyle w:val="af"/>
      </w:pPr>
      <w:r w:rsidRPr="00FC1CEB">
        <w:t>2.</w:t>
      </w:r>
      <w:r w:rsidR="00A52DB5" w:rsidRPr="00FC1CEB">
        <w:t>Ткаченко А. “Выходит ли Росси</w:t>
      </w:r>
      <w:r w:rsidRPr="00FC1CEB">
        <w:t>я из демографического кризиса?”</w:t>
      </w:r>
      <w:r w:rsidR="00FC1CEB">
        <w:t xml:space="preserve"> </w:t>
      </w:r>
      <w:r w:rsidR="00A52DB5" w:rsidRPr="00FC1CEB">
        <w:t>“Социально-политическиий журнал” 5’96</w:t>
      </w:r>
    </w:p>
    <w:p w:rsidR="00FC1CEB" w:rsidRDefault="00B03F91" w:rsidP="00FC1CEB">
      <w:pPr>
        <w:pStyle w:val="af"/>
      </w:pPr>
      <w:r w:rsidRPr="00FC1CEB">
        <w:t>3.Рунова Т.Г. Демография</w:t>
      </w:r>
      <w:r w:rsidR="00FC1CEB">
        <w:t xml:space="preserve"> </w:t>
      </w:r>
      <w:r w:rsidRPr="00FC1CEB">
        <w:t>Учебное пособие 2-ое издание Москва 2006 года.</w:t>
      </w:r>
    </w:p>
    <w:p w:rsidR="00896B7B" w:rsidRPr="00FC1CEB" w:rsidRDefault="00FE7C5C" w:rsidP="00FC1CEB">
      <w:pPr>
        <w:pStyle w:val="af"/>
      </w:pPr>
      <w:r w:rsidRPr="00FC1CEB">
        <w:t>4. В.М. Медков «Демография» Учебное пособие Москва 2005 год.</w:t>
      </w:r>
    </w:p>
    <w:p w:rsidR="00C072CB" w:rsidRPr="00FC1CEB" w:rsidRDefault="00C072CB" w:rsidP="00FC1CEB">
      <w:pPr>
        <w:pStyle w:val="af"/>
      </w:pPr>
      <w:bookmarkStart w:id="0" w:name="_GoBack"/>
      <w:bookmarkEnd w:id="0"/>
    </w:p>
    <w:sectPr w:rsidR="00C072CB" w:rsidRPr="00FC1CEB" w:rsidSect="00FC1CEB">
      <w:pgSz w:w="11906" w:h="16838" w:code="9"/>
      <w:pgMar w:top="1134" w:right="851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65B" w:rsidRDefault="002B365B">
      <w:r>
        <w:separator/>
      </w:r>
    </w:p>
  </w:endnote>
  <w:endnote w:type="continuationSeparator" w:id="0">
    <w:p w:rsidR="002B365B" w:rsidRDefault="002B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34B" w:rsidRDefault="004C134B" w:rsidP="00402B4C">
    <w:pPr>
      <w:pStyle w:val="a9"/>
      <w:framePr w:wrap="around" w:vAnchor="text" w:hAnchor="margin" w:xAlign="right" w:y="1"/>
      <w:rPr>
        <w:rStyle w:val="ab"/>
      </w:rPr>
    </w:pPr>
  </w:p>
  <w:p w:rsidR="004C134B" w:rsidRDefault="004C134B" w:rsidP="003E375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34B" w:rsidRDefault="00EA18B1" w:rsidP="00402B4C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1</w:t>
    </w:r>
  </w:p>
  <w:p w:rsidR="004C134B" w:rsidRDefault="004C134B" w:rsidP="003E375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65B" w:rsidRDefault="002B365B">
      <w:r>
        <w:separator/>
      </w:r>
    </w:p>
  </w:footnote>
  <w:footnote w:type="continuationSeparator" w:id="0">
    <w:p w:rsidR="002B365B" w:rsidRDefault="002B3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36FA0"/>
    <w:multiLevelType w:val="hybridMultilevel"/>
    <w:tmpl w:val="3782E44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5DB8"/>
    <w:rsid w:val="000C5110"/>
    <w:rsid w:val="00137F97"/>
    <w:rsid w:val="0015056D"/>
    <w:rsid w:val="00181839"/>
    <w:rsid w:val="001E46F7"/>
    <w:rsid w:val="00202D54"/>
    <w:rsid w:val="00224A2C"/>
    <w:rsid w:val="00252F62"/>
    <w:rsid w:val="002B365B"/>
    <w:rsid w:val="002C24D7"/>
    <w:rsid w:val="00367BCF"/>
    <w:rsid w:val="00393B6F"/>
    <w:rsid w:val="003D1A6D"/>
    <w:rsid w:val="003E3754"/>
    <w:rsid w:val="00402B4C"/>
    <w:rsid w:val="0040436B"/>
    <w:rsid w:val="00423107"/>
    <w:rsid w:val="004539F6"/>
    <w:rsid w:val="00470C4D"/>
    <w:rsid w:val="00473BD5"/>
    <w:rsid w:val="004871D4"/>
    <w:rsid w:val="004A2B17"/>
    <w:rsid w:val="004B54F8"/>
    <w:rsid w:val="004C134B"/>
    <w:rsid w:val="0055450D"/>
    <w:rsid w:val="00573FC2"/>
    <w:rsid w:val="005B7FB7"/>
    <w:rsid w:val="005D0018"/>
    <w:rsid w:val="005D4342"/>
    <w:rsid w:val="00603165"/>
    <w:rsid w:val="00604821"/>
    <w:rsid w:val="00634650"/>
    <w:rsid w:val="00636D5D"/>
    <w:rsid w:val="00685A16"/>
    <w:rsid w:val="006B1607"/>
    <w:rsid w:val="006C3C1C"/>
    <w:rsid w:val="006E005F"/>
    <w:rsid w:val="0079582D"/>
    <w:rsid w:val="0080178D"/>
    <w:rsid w:val="00874BAD"/>
    <w:rsid w:val="00896B7B"/>
    <w:rsid w:val="008B5DB8"/>
    <w:rsid w:val="00A35387"/>
    <w:rsid w:val="00A52DB5"/>
    <w:rsid w:val="00AA1D0C"/>
    <w:rsid w:val="00B03F91"/>
    <w:rsid w:val="00B218C1"/>
    <w:rsid w:val="00B22178"/>
    <w:rsid w:val="00B240B1"/>
    <w:rsid w:val="00B824DB"/>
    <w:rsid w:val="00BD2580"/>
    <w:rsid w:val="00C072CB"/>
    <w:rsid w:val="00C430E9"/>
    <w:rsid w:val="00C92170"/>
    <w:rsid w:val="00C92CFC"/>
    <w:rsid w:val="00C95BBA"/>
    <w:rsid w:val="00CA1B72"/>
    <w:rsid w:val="00CC1B4C"/>
    <w:rsid w:val="00CE079A"/>
    <w:rsid w:val="00D25C9B"/>
    <w:rsid w:val="00D62D1B"/>
    <w:rsid w:val="00DA3B2B"/>
    <w:rsid w:val="00DA3EAA"/>
    <w:rsid w:val="00DB4FF2"/>
    <w:rsid w:val="00DE46D7"/>
    <w:rsid w:val="00E04934"/>
    <w:rsid w:val="00E23428"/>
    <w:rsid w:val="00E56C96"/>
    <w:rsid w:val="00E7545C"/>
    <w:rsid w:val="00E77CD8"/>
    <w:rsid w:val="00EA18B1"/>
    <w:rsid w:val="00F114CF"/>
    <w:rsid w:val="00F177DE"/>
    <w:rsid w:val="00F377B7"/>
    <w:rsid w:val="00F851C5"/>
    <w:rsid w:val="00FC1CEB"/>
    <w:rsid w:val="00FE7C5C"/>
    <w:rsid w:val="00FF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D39CAF48-3354-4395-B1A8-8E42B4D4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EAA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DA3EA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DA3EAA"/>
    <w:pPr>
      <w:spacing w:before="100" w:beforeAutospacing="1" w:after="100" w:afterAutospacing="1"/>
    </w:pPr>
  </w:style>
  <w:style w:type="character" w:customStyle="1" w:styleId="a4">
    <w:name w:val="знак сноски"/>
    <w:rsid w:val="00DA3EAA"/>
    <w:rPr>
      <w:rFonts w:cs="Times New Roman"/>
      <w:vertAlign w:val="superscript"/>
    </w:rPr>
  </w:style>
  <w:style w:type="paragraph" w:customStyle="1" w:styleId="a5">
    <w:name w:val="текст сноски"/>
    <w:basedOn w:val="a"/>
    <w:rsid w:val="00DA3EAA"/>
    <w:pPr>
      <w:autoSpaceDE w:val="0"/>
      <w:autoSpaceDN w:val="0"/>
    </w:pPr>
    <w:rPr>
      <w:spacing w:val="20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6C3C1C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F3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3E3754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sid w:val="003E3754"/>
    <w:rPr>
      <w:rFonts w:cs="Times New Roman"/>
    </w:rPr>
  </w:style>
  <w:style w:type="paragraph" w:styleId="ac">
    <w:name w:val="header"/>
    <w:basedOn w:val="a"/>
    <w:link w:val="ad"/>
    <w:uiPriority w:val="99"/>
    <w:rsid w:val="00FE7C5C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semiHidden/>
    <w:locked/>
    <w:rPr>
      <w:rFonts w:cs="Times New Roman"/>
      <w:sz w:val="24"/>
      <w:szCs w:val="24"/>
    </w:rPr>
  </w:style>
  <w:style w:type="paragraph" w:customStyle="1" w:styleId="ae">
    <w:name w:val="А"/>
    <w:basedOn w:val="a"/>
    <w:qFormat/>
    <w:rsid w:val="00FC1CEB"/>
    <w:pPr>
      <w:widowControl w:val="0"/>
      <w:overflowPunct w:val="0"/>
      <w:adjustRightInd w:val="0"/>
      <w:spacing w:line="360" w:lineRule="auto"/>
      <w:ind w:firstLine="720"/>
      <w:contextualSpacing/>
      <w:jc w:val="both"/>
    </w:pPr>
    <w:rPr>
      <w:kern w:val="28"/>
      <w:sz w:val="28"/>
      <w:szCs w:val="20"/>
    </w:rPr>
  </w:style>
  <w:style w:type="paragraph" w:customStyle="1" w:styleId="af">
    <w:name w:val="ааПЛАН"/>
    <w:basedOn w:val="ae"/>
    <w:qFormat/>
    <w:rsid w:val="00FC1CEB"/>
    <w:pPr>
      <w:tabs>
        <w:tab w:val="left" w:leader="dot" w:pos="9072"/>
      </w:tabs>
      <w:ind w:firstLine="0"/>
      <w:jc w:val="left"/>
    </w:pPr>
  </w:style>
  <w:style w:type="paragraph" w:customStyle="1" w:styleId="af0">
    <w:name w:val="Б"/>
    <w:basedOn w:val="ae"/>
    <w:qFormat/>
    <w:rsid w:val="00FC1CEB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5726</Words>
  <Characters>32643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 по предмету Димография</vt:lpstr>
    </vt:vector>
  </TitlesOfParts>
  <Company>1</Company>
  <LinksUpToDate>false</LinksUpToDate>
  <CharactersWithSpaces>38293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 по предмету Димография</dc:title>
  <dc:subject/>
  <dc:creator>User</dc:creator>
  <cp:keywords/>
  <dc:description/>
  <cp:lastModifiedBy>Irina</cp:lastModifiedBy>
  <cp:revision>2</cp:revision>
  <cp:lastPrinted>2008-04-21T17:41:00Z</cp:lastPrinted>
  <dcterms:created xsi:type="dcterms:W3CDTF">2014-08-10T14:37:00Z</dcterms:created>
  <dcterms:modified xsi:type="dcterms:W3CDTF">2014-08-10T14:37:00Z</dcterms:modified>
</cp:coreProperties>
</file>