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i/>
          <w:sz w:val="28"/>
          <w:szCs w:val="28"/>
        </w:rPr>
        <w:t xml:space="preserve">Финансы </w:t>
      </w:r>
      <w:r w:rsidRPr="00DF110F">
        <w:rPr>
          <w:rFonts w:ascii="Times New Roman" w:hAnsi="Times New Roman"/>
          <w:sz w:val="28"/>
          <w:szCs w:val="28"/>
        </w:rPr>
        <w:t>- экономический инструмент, орудие контроля за образованием и использованием фондов денежных средств. Совокупность финансовых отношений национальной экономики образует финансовую систему государства.</w:t>
      </w:r>
    </w:p>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sz w:val="28"/>
          <w:szCs w:val="28"/>
        </w:rPr>
        <w:t xml:space="preserve">Централизованные финансы - это государственная бюджетная система, государственный кредит, специальные внебюджетные фонды, фонды имущественного и личного страхования. Они используются в качестве инструмента регулирования национальной экономики в целом. </w:t>
      </w:r>
    </w:p>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sz w:val="28"/>
          <w:szCs w:val="28"/>
        </w:rPr>
        <w:t>В рамках централизованных финансов рассмотрим государственную бюджетную систему РФ. Прежде всего,  бюджет это роспись доходов и расходов государства на определенный срок, иными словами, это финансовый план государства, сопоставляющий ожидаемые расходы и доходы.</w:t>
      </w:r>
    </w:p>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sz w:val="28"/>
          <w:szCs w:val="28"/>
        </w:rPr>
        <w:t xml:space="preserve">Ведущим звеном государственной бюджетной системы является </w:t>
      </w:r>
      <w:r w:rsidRPr="00DF110F">
        <w:rPr>
          <w:rFonts w:ascii="Times New Roman" w:hAnsi="Times New Roman"/>
          <w:i/>
          <w:sz w:val="28"/>
          <w:szCs w:val="28"/>
        </w:rPr>
        <w:t>государственный (федеральный) бюджет</w:t>
      </w:r>
      <w:r w:rsidRPr="00DF110F">
        <w:rPr>
          <w:rFonts w:ascii="Times New Roman" w:hAnsi="Times New Roman"/>
          <w:sz w:val="28"/>
          <w:szCs w:val="28"/>
        </w:rPr>
        <w:t xml:space="preserve"> – </w:t>
      </w:r>
      <w:r w:rsidRPr="00DF110F">
        <w:rPr>
          <w:rFonts w:ascii="Times New Roman" w:hAnsi="Times New Roman"/>
          <w:i/>
          <w:sz w:val="28"/>
          <w:szCs w:val="28"/>
        </w:rPr>
        <w:t>основной финансовый план формирования и использования централизованного денежного фонда государства</w:t>
      </w:r>
      <w:r w:rsidRPr="00DF110F">
        <w:rPr>
          <w:rFonts w:ascii="Times New Roman" w:hAnsi="Times New Roman"/>
          <w:sz w:val="28"/>
          <w:szCs w:val="28"/>
        </w:rPr>
        <w:t>. Именно с его помощью государство осуществляет в основном территориальное и межотраслевое распределение и перераспределение валового национального продукта (до 40 процентов национального дохода).</w:t>
      </w:r>
    </w:p>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sz w:val="28"/>
          <w:szCs w:val="28"/>
        </w:rPr>
        <w:t xml:space="preserve">Под </w:t>
      </w:r>
      <w:r w:rsidRPr="00BE693A">
        <w:rPr>
          <w:rFonts w:ascii="Times New Roman" w:hAnsi="Times New Roman"/>
          <w:bCs/>
          <w:i/>
          <w:sz w:val="28"/>
          <w:szCs w:val="28"/>
        </w:rPr>
        <w:t>бюджетным дефицитом</w:t>
      </w:r>
      <w:r w:rsidRPr="00DF110F">
        <w:rPr>
          <w:rFonts w:ascii="Times New Roman" w:hAnsi="Times New Roman"/>
          <w:sz w:val="28"/>
          <w:szCs w:val="28"/>
        </w:rPr>
        <w:t xml:space="preserve"> понимается </w:t>
      </w:r>
      <w:r w:rsidRPr="00DF110F">
        <w:rPr>
          <w:rFonts w:ascii="Times New Roman" w:hAnsi="Times New Roman"/>
          <w:i/>
          <w:sz w:val="28"/>
          <w:szCs w:val="28"/>
        </w:rPr>
        <w:t xml:space="preserve">превышение </w:t>
      </w:r>
      <w:r w:rsidRPr="00BE693A">
        <w:rPr>
          <w:rFonts w:ascii="Times New Roman" w:hAnsi="Times New Roman"/>
          <w:bCs/>
          <w:i/>
          <w:sz w:val="28"/>
          <w:szCs w:val="28"/>
        </w:rPr>
        <w:t>расходов государственного</w:t>
      </w:r>
      <w:r w:rsidRPr="00DF110F">
        <w:rPr>
          <w:rFonts w:ascii="Times New Roman" w:hAnsi="Times New Roman"/>
          <w:i/>
          <w:sz w:val="28"/>
          <w:szCs w:val="28"/>
        </w:rPr>
        <w:t xml:space="preserve"> </w:t>
      </w:r>
      <w:r w:rsidRPr="00BE693A">
        <w:rPr>
          <w:rFonts w:ascii="Times New Roman" w:hAnsi="Times New Roman"/>
          <w:bCs/>
          <w:sz w:val="28"/>
          <w:szCs w:val="28"/>
        </w:rPr>
        <w:t>бюджета</w:t>
      </w:r>
      <w:r w:rsidRPr="00DF110F">
        <w:rPr>
          <w:rFonts w:ascii="Times New Roman" w:hAnsi="Times New Roman"/>
          <w:sz w:val="28"/>
          <w:szCs w:val="28"/>
        </w:rPr>
        <w:t xml:space="preserve"> над его доходами. Обратное явление - </w:t>
      </w:r>
      <w:r w:rsidRPr="00DF110F">
        <w:rPr>
          <w:rFonts w:ascii="Times New Roman" w:hAnsi="Times New Roman"/>
          <w:i/>
          <w:sz w:val="28"/>
          <w:szCs w:val="28"/>
        </w:rPr>
        <w:t xml:space="preserve">профицит </w:t>
      </w:r>
      <w:r w:rsidRPr="00BE693A">
        <w:rPr>
          <w:rFonts w:ascii="Times New Roman" w:hAnsi="Times New Roman"/>
          <w:bCs/>
          <w:i/>
          <w:sz w:val="28"/>
          <w:szCs w:val="28"/>
        </w:rPr>
        <w:t>бюджета</w:t>
      </w:r>
      <w:r w:rsidRPr="00DF110F">
        <w:rPr>
          <w:rFonts w:ascii="Times New Roman" w:hAnsi="Times New Roman"/>
          <w:sz w:val="28"/>
          <w:szCs w:val="28"/>
        </w:rPr>
        <w:t xml:space="preserve"> - означает превышение </w:t>
      </w:r>
      <w:r w:rsidRPr="00BE693A">
        <w:rPr>
          <w:rFonts w:ascii="Times New Roman" w:hAnsi="Times New Roman"/>
          <w:bCs/>
          <w:sz w:val="28"/>
          <w:szCs w:val="28"/>
        </w:rPr>
        <w:t>доходов бюджета</w:t>
      </w:r>
      <w:r w:rsidRPr="00DF110F">
        <w:rPr>
          <w:rFonts w:ascii="Times New Roman" w:hAnsi="Times New Roman"/>
          <w:sz w:val="28"/>
          <w:szCs w:val="28"/>
        </w:rPr>
        <w:t xml:space="preserve"> над расходами. </w:t>
      </w:r>
    </w:p>
    <w:p w:rsidR="00E942B8" w:rsidRPr="00DF110F" w:rsidRDefault="00E942B8" w:rsidP="00DF110F">
      <w:pPr>
        <w:spacing w:after="0" w:line="360" w:lineRule="auto"/>
        <w:ind w:right="-2" w:firstLine="709"/>
        <w:jc w:val="both"/>
        <w:outlineLvl w:val="4"/>
        <w:rPr>
          <w:rFonts w:ascii="Times New Roman" w:hAnsi="Times New Roman"/>
          <w:sz w:val="28"/>
          <w:szCs w:val="28"/>
        </w:rPr>
      </w:pPr>
      <w:r w:rsidRPr="00DF110F">
        <w:rPr>
          <w:rFonts w:ascii="Times New Roman" w:hAnsi="Times New Roman"/>
          <w:sz w:val="28"/>
          <w:szCs w:val="28"/>
        </w:rPr>
        <w:t xml:space="preserve"> Долговое финансирование дефицита в мире распространено очень широко. Под </w:t>
      </w:r>
      <w:r w:rsidRPr="00BE693A">
        <w:rPr>
          <w:rFonts w:ascii="Times New Roman" w:hAnsi="Times New Roman"/>
          <w:bCs/>
          <w:sz w:val="28"/>
          <w:szCs w:val="28"/>
        </w:rPr>
        <w:t>государственным долгом</w:t>
      </w:r>
      <w:r w:rsidRPr="00DF110F">
        <w:rPr>
          <w:rFonts w:ascii="Times New Roman" w:hAnsi="Times New Roman"/>
          <w:sz w:val="28"/>
          <w:szCs w:val="28"/>
        </w:rPr>
        <w:t xml:space="preserve"> в общем случае понимается величина накопленного </w:t>
      </w:r>
      <w:r w:rsidRPr="00BE693A">
        <w:rPr>
          <w:rFonts w:ascii="Times New Roman" w:hAnsi="Times New Roman"/>
          <w:bCs/>
          <w:sz w:val="28"/>
          <w:szCs w:val="28"/>
        </w:rPr>
        <w:t>бюджетного дефицита</w:t>
      </w:r>
      <w:r w:rsidRPr="00DF110F">
        <w:rPr>
          <w:rFonts w:ascii="Times New Roman" w:hAnsi="Times New Roman"/>
          <w:sz w:val="28"/>
          <w:szCs w:val="28"/>
        </w:rPr>
        <w:t xml:space="preserve">, которая была покрыта путем выпуска и размещения долговых обязательств. Таким образом, </w:t>
      </w:r>
      <w:r w:rsidRPr="00BE693A">
        <w:rPr>
          <w:rFonts w:ascii="Times New Roman" w:hAnsi="Times New Roman"/>
          <w:bCs/>
          <w:i/>
          <w:sz w:val="28"/>
          <w:szCs w:val="28"/>
        </w:rPr>
        <w:t>государственный долг</w:t>
      </w:r>
      <w:r w:rsidRPr="00DF110F">
        <w:rPr>
          <w:rFonts w:ascii="Times New Roman" w:hAnsi="Times New Roman"/>
          <w:i/>
          <w:sz w:val="28"/>
          <w:szCs w:val="28"/>
        </w:rPr>
        <w:t xml:space="preserve"> представляет собой совокупность долговых обязательств исполнительных органов власти перед физическими и юридическими лицами, иностранными государствами, международными организациями и иными субъектами международного права. </w:t>
      </w:r>
    </w:p>
    <w:p w:rsidR="00E942B8" w:rsidRPr="00DF110F" w:rsidRDefault="00E942B8" w:rsidP="00DF110F">
      <w:pPr>
        <w:pStyle w:val="a6"/>
        <w:spacing w:before="0" w:beforeAutospacing="0" w:after="0" w:afterAutospacing="0" w:line="360" w:lineRule="auto"/>
        <w:ind w:right="-2" w:firstLine="709"/>
        <w:jc w:val="both"/>
        <w:rPr>
          <w:sz w:val="28"/>
          <w:szCs w:val="28"/>
        </w:rPr>
      </w:pPr>
      <w:bookmarkStart w:id="0" w:name="_Toc102278003"/>
      <w:r w:rsidRPr="00DF110F">
        <w:rPr>
          <w:sz w:val="28"/>
          <w:szCs w:val="28"/>
        </w:rPr>
        <w:t>1. Динамика трансформации дефицита  федерального бюджета в профицит</w:t>
      </w:r>
      <w:bookmarkEnd w:id="0"/>
      <w:r w:rsidRPr="00DF110F">
        <w:rPr>
          <w:sz w:val="28"/>
          <w:szCs w:val="28"/>
        </w:rPr>
        <w:t>.</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Рассмотрим динамику с 1997 по 2007г.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Таблица 1</w:t>
      </w:r>
      <w:r w:rsidRPr="00DF110F">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51"/>
        <w:gridCol w:w="750"/>
        <w:gridCol w:w="751"/>
        <w:gridCol w:w="751"/>
        <w:gridCol w:w="751"/>
        <w:gridCol w:w="751"/>
        <w:gridCol w:w="751"/>
        <w:gridCol w:w="752"/>
        <w:gridCol w:w="752"/>
        <w:gridCol w:w="752"/>
        <w:gridCol w:w="752"/>
      </w:tblGrid>
      <w:tr w:rsidR="00E942B8" w:rsidRPr="00BE693A" w:rsidTr="00E942B8">
        <w:tc>
          <w:tcPr>
            <w:tcW w:w="107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год</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1997</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1998</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1999</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2000</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2001</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2002</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2003</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2004</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2005</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2006</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2007</w:t>
            </w:r>
          </w:p>
        </w:tc>
      </w:tr>
      <w:tr w:rsidR="00E942B8" w:rsidRPr="00BE693A" w:rsidTr="00E942B8">
        <w:tc>
          <w:tcPr>
            <w:tcW w:w="107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 xml:space="preserve">доходы                </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3,43</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3,26</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6,15</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11,3</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15,9</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22,0</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24,2</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34,2</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51,2</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62,7</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76,8</w:t>
            </w:r>
          </w:p>
        </w:tc>
      </w:tr>
      <w:tr w:rsidR="00E942B8" w:rsidRPr="00BE693A" w:rsidTr="00E942B8">
        <w:tc>
          <w:tcPr>
            <w:tcW w:w="107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расходы</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4,36</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4,72</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6,69</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10,3</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13,2</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20.5</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23,5</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27,4</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35,0</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42,8</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59,8</w:t>
            </w:r>
          </w:p>
        </w:tc>
      </w:tr>
      <w:tr w:rsidR="00E942B8" w:rsidRPr="00BE693A" w:rsidTr="00E942B8">
        <w:tc>
          <w:tcPr>
            <w:tcW w:w="107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дефицит(-)</w:t>
            </w:r>
          </w:p>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профицит(+)</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-0,9</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-1.5</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-0,5</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1,0</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2,7</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1,5</w:t>
            </w:r>
          </w:p>
        </w:tc>
        <w:tc>
          <w:tcPr>
            <w:tcW w:w="828"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0,7</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6,9</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16,2</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w:t>
            </w:r>
          </w:p>
        </w:tc>
        <w:tc>
          <w:tcPr>
            <w:tcW w:w="829" w:type="dxa"/>
            <w:hideMark/>
          </w:tcPr>
          <w:p w:rsidR="00E942B8" w:rsidRPr="00BE693A" w:rsidRDefault="00E942B8" w:rsidP="00DF110F">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17,0</w:t>
            </w:r>
          </w:p>
        </w:tc>
      </w:tr>
    </w:tbl>
    <w:p w:rsidR="00E942B8" w:rsidRPr="00DF110F" w:rsidRDefault="00E942B8" w:rsidP="00DF110F">
      <w:pPr>
        <w:spacing w:after="0" w:line="360" w:lineRule="auto"/>
        <w:ind w:right="-2" w:firstLine="709"/>
        <w:jc w:val="both"/>
        <w:rPr>
          <w:rFonts w:ascii="Times New Roman" w:hAnsi="Times New Roman"/>
          <w:sz w:val="28"/>
          <w:szCs w:val="28"/>
        </w:rPr>
      </w:pP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На основании таблицы 1. построим диаграмму 1.</w:t>
      </w:r>
    </w:p>
    <w:p w:rsidR="00E942B8" w:rsidRPr="00DF110F" w:rsidRDefault="00E942B8" w:rsidP="00DF110F">
      <w:pPr>
        <w:spacing w:after="0" w:line="360" w:lineRule="auto"/>
        <w:ind w:right="-2" w:firstLine="709"/>
        <w:jc w:val="both"/>
        <w:rPr>
          <w:rFonts w:ascii="Times New Roman" w:hAnsi="Times New Roman"/>
          <w:i/>
          <w:sz w:val="28"/>
          <w:szCs w:val="28"/>
        </w:rPr>
      </w:pPr>
      <w:r w:rsidRPr="00DF110F">
        <w:rPr>
          <w:rFonts w:ascii="Times New Roman" w:hAnsi="Times New Roman"/>
          <w:i/>
          <w:sz w:val="28"/>
          <w:szCs w:val="28"/>
        </w:rPr>
        <w:t>Диаграмма 1.</w:t>
      </w:r>
    </w:p>
    <w:p w:rsidR="00E942B8" w:rsidRPr="00DF110F" w:rsidRDefault="00BE693A" w:rsidP="00DF110F">
      <w:pPr>
        <w:spacing w:after="0" w:line="360" w:lineRule="auto"/>
        <w:ind w:right="-2" w:firstLine="709"/>
        <w:jc w:val="both"/>
        <w:rPr>
          <w:rFonts w:ascii="Times New Roman" w:hAnsi="Times New Roman"/>
          <w:sz w:val="28"/>
          <w:szCs w:val="28"/>
        </w:rPr>
      </w:pPr>
      <w:r w:rsidRPr="00BE693A">
        <w:rPr>
          <w:rFonts w:ascii="Times New Roman" w:hAnsi="Times New Roman"/>
          <w:noProof/>
          <w:sz w:val="28"/>
          <w:szCs w:val="28"/>
        </w:rPr>
        <w:object w:dxaOrig="8746" w:dyaOrig="5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7.25pt;height:255.75pt;visibility:visible" o:ole="">
            <v:imagedata r:id="rId7" o:title=""/>
            <o:lock v:ext="edit" aspectratio="f"/>
          </v:shape>
          <o:OLEObject Type="Embed" ProgID="Excel.Sheet.8" ShapeID="Диаграмма 1" DrawAspect="Content" ObjectID="_1468991595" r:id="rId8">
            <o:FieldCodes>\s</o:FieldCodes>
          </o:OLEObject>
        </w:objec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Источник: Росстат.</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Вывод:</w:t>
      </w:r>
      <w:r w:rsidRPr="00DF110F">
        <w:rPr>
          <w:rFonts w:ascii="Times New Roman" w:hAnsi="Times New Roman"/>
          <w:sz w:val="28"/>
          <w:szCs w:val="28"/>
        </w:rPr>
        <w:t xml:space="preserve">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На основании выше приведенных таблицы  и графика можно сделать следующий вывод: дефицит бюджета наблюдался до 1999г, начиная с 2000г дефицит постепенно трансформировался в профицит. Этому способствовали следующие причины.</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Во-первых, рост налоговых доходов</w:t>
      </w:r>
      <w:r w:rsidRPr="00DF110F">
        <w:rPr>
          <w:rFonts w:ascii="Times New Roman" w:hAnsi="Times New Roman"/>
          <w:sz w:val="28"/>
          <w:szCs w:val="28"/>
        </w:rPr>
        <w:t xml:space="preserve"> (см. таблица 2, диаграмма 2).</w:t>
      </w:r>
    </w:p>
    <w:p w:rsidR="00E942B8" w:rsidRPr="00DF110F" w:rsidRDefault="00E942B8" w:rsidP="00DF110F">
      <w:pPr>
        <w:pStyle w:val="2"/>
        <w:numPr>
          <w:ilvl w:val="0"/>
          <w:numId w:val="0"/>
        </w:numPr>
        <w:tabs>
          <w:tab w:val="left" w:pos="708"/>
        </w:tabs>
        <w:spacing w:before="0" w:after="0"/>
        <w:ind w:right="-2" w:firstLine="709"/>
        <w:jc w:val="both"/>
        <w:rPr>
          <w:rFonts w:cs="Times New Roman"/>
          <w:b w:val="0"/>
        </w:rPr>
      </w:pPr>
      <w:r w:rsidRPr="00DF110F">
        <w:rPr>
          <w:rFonts w:cs="Times New Roman"/>
          <w:b w:val="0"/>
        </w:rPr>
        <w:t xml:space="preserve">Динамика исполнения федерального бюджета по доходам </w:t>
      </w:r>
    </w:p>
    <w:p w:rsidR="00E942B8" w:rsidRPr="00DF110F" w:rsidRDefault="00E942B8" w:rsidP="00F07C89">
      <w:pPr>
        <w:spacing w:after="0" w:line="360" w:lineRule="auto"/>
        <w:ind w:right="-2"/>
        <w:jc w:val="both"/>
        <w:rPr>
          <w:rFonts w:ascii="Times New Roman" w:hAnsi="Times New Roman"/>
          <w:sz w:val="28"/>
          <w:szCs w:val="28"/>
        </w:rPr>
      </w:pPr>
      <w:r w:rsidRPr="00DF110F">
        <w:rPr>
          <w:rFonts w:ascii="Times New Roman" w:hAnsi="Times New Roman"/>
          <w:sz w:val="28"/>
          <w:szCs w:val="28"/>
        </w:rPr>
        <w:t xml:space="preserve">Рассмотрим динамику доходов и ее исполнение за период с 1997 по 2007г.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таблица 2.</w:t>
      </w:r>
    </w:p>
    <w:tbl>
      <w:tblPr>
        <w:tblW w:w="9660" w:type="dxa"/>
        <w:tblInd w:w="93" w:type="dxa"/>
        <w:tblLayout w:type="fixed"/>
        <w:tblLook w:val="04A0" w:firstRow="1" w:lastRow="0" w:firstColumn="1" w:lastColumn="0" w:noHBand="0" w:noVBand="1"/>
      </w:tblPr>
      <w:tblGrid>
        <w:gridCol w:w="1242"/>
        <w:gridCol w:w="2104"/>
        <w:gridCol w:w="2105"/>
        <w:gridCol w:w="2104"/>
        <w:gridCol w:w="2105"/>
      </w:tblGrid>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 xml:space="preserve">             год</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налоговые доходы</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неналоговые доходы</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доходы целевых бюджетных фондов</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ЕСН</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1997</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82,2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5,6</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12,2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sz w:val="20"/>
                <w:szCs w:val="20"/>
              </w:rPr>
            </w:pP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1998</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84,6</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6,6</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8,8</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sz w:val="20"/>
                <w:szCs w:val="20"/>
              </w:rPr>
            </w:pP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1999</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82,8</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9,2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sz w:val="20"/>
                <w:szCs w:val="20"/>
              </w:rPr>
            </w:pP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2000</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85,2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6,6</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sz w:val="20"/>
                <w:szCs w:val="20"/>
              </w:rPr>
            </w:pP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2001</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91,6</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7,5</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0,9</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sz w:val="20"/>
                <w:szCs w:val="20"/>
              </w:rPr>
            </w:pP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2002</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79,6</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0,7</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15,4</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2003</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78,5</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6,8</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0,6</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14,1</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2004</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65,9</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4,7</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9,3</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20,1</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2005</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74,4</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5,1</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6,4</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21,7</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2006</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83,5</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6,4</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8,2</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23,6</w:t>
            </w:r>
          </w:p>
        </w:tc>
      </w:tr>
      <w:tr w:rsidR="00E942B8" w:rsidRPr="00BE693A" w:rsidTr="00E942B8">
        <w:trPr>
          <w:trHeight w:val="300"/>
        </w:trPr>
        <w:tc>
          <w:tcPr>
            <w:tcW w:w="1240"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2007</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81,6</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5,2</w:t>
            </w:r>
          </w:p>
        </w:tc>
        <w:tc>
          <w:tcPr>
            <w:tcW w:w="2103"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7,8</w:t>
            </w:r>
          </w:p>
        </w:tc>
        <w:tc>
          <w:tcPr>
            <w:tcW w:w="2104" w:type="dxa"/>
            <w:noWrap/>
            <w:vAlign w:val="bottom"/>
            <w:hideMark/>
          </w:tcPr>
          <w:p w:rsidR="00E942B8" w:rsidRPr="00BE693A" w:rsidRDefault="00E942B8" w:rsidP="00F07C89">
            <w:pPr>
              <w:spacing w:after="0" w:line="360" w:lineRule="auto"/>
              <w:ind w:right="-2"/>
              <w:jc w:val="both"/>
              <w:rPr>
                <w:rFonts w:ascii="Times New Roman" w:hAnsi="Times New Roman"/>
                <w:color w:val="000000"/>
                <w:sz w:val="20"/>
                <w:szCs w:val="20"/>
              </w:rPr>
            </w:pPr>
            <w:r w:rsidRPr="00BE693A">
              <w:rPr>
                <w:rFonts w:ascii="Times New Roman" w:hAnsi="Times New Roman"/>
                <w:color w:val="000000"/>
                <w:sz w:val="20"/>
                <w:szCs w:val="20"/>
              </w:rPr>
              <w:t>23,1</w:t>
            </w:r>
          </w:p>
        </w:tc>
      </w:tr>
    </w:tbl>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диаграмма 2.</w:t>
      </w:r>
      <w:r w:rsidRPr="00DF110F">
        <w:rPr>
          <w:rFonts w:ascii="Times New Roman" w:hAnsi="Times New Roman"/>
          <w:noProof/>
          <w:sz w:val="28"/>
          <w:szCs w:val="28"/>
        </w:rPr>
        <w:t xml:space="preserve"> </w:t>
      </w:r>
      <w:r w:rsidR="00BE693A" w:rsidRPr="00BE693A">
        <w:rPr>
          <w:rFonts w:ascii="Times New Roman" w:hAnsi="Times New Roman"/>
          <w:noProof/>
          <w:sz w:val="28"/>
          <w:szCs w:val="28"/>
        </w:rPr>
        <w:object w:dxaOrig="8746" w:dyaOrig="5108">
          <v:shape id="Диаграмма 2" o:spid="_x0000_i1026" type="#_x0000_t75" style="width:437.25pt;height:255.75pt;visibility:visible" o:ole="">
            <v:imagedata r:id="rId9" o:title=""/>
            <o:lock v:ext="edit" aspectratio="f"/>
          </v:shape>
          <o:OLEObject Type="Embed" ProgID="Excel.Sheet.8" ShapeID="Диаграмма 2" DrawAspect="Content" ObjectID="_1468991596" r:id="rId10">
            <o:FieldCodes>\s</o:FieldCodes>
          </o:OLEObject>
        </w:objec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Источник: Росстат.</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Анализ динамики исполнения федерального бюджета по доходам показывает, что основную часть федерального бюджета составляют налоговые доходы за период с 1997г. по 2007г. при этом наблюдается неравномерная динамика от незначительного роста к спаду и наоборот. Так анализируя период с 1997 по 1999г, можно увидеть, что в 1997г. налоговые доходы составили 82,2% от общего объема доходов, в 1998г. произошел рост и доходы составили 84,6% от общего числа доходов, что в процентом соотношении увеличение составило 2,4%. В 1999г произошел спад налоговых доходов федерального бюджета и составил 82,8 %, что на 1,8 % меньше по сравнению с предыдущим годом. Анализируя период с 1999г. по 2001г., можно увидеть значительный рост налоговой части доходов в федеральный бюджет. Так в 2000г. налоговые доходы в процентом соотношении к общему объему составил 85,2%. Рост составил  2,4% по сравнению с 1999г. В 2001г. налоговые доходы составили  91,6% по сравнению с 2000г рост составил 6,4%. Этого удалось достичь благодаря не только сверхплановому росту ВВП, но и</w:t>
      </w:r>
      <w:r w:rsidRPr="00DF110F">
        <w:rPr>
          <w:rFonts w:ascii="Times New Roman" w:hAnsi="Times New Roman"/>
          <w:bCs/>
          <w:sz w:val="28"/>
          <w:szCs w:val="28"/>
        </w:rPr>
        <w:t xml:space="preserve"> росту собираемости налогов (16,0% ВВП против 14,4% ВВП, заложенных в бюджет 2001г.). </w:t>
      </w:r>
      <w:r w:rsidRPr="00DF110F">
        <w:rPr>
          <w:rFonts w:ascii="Times New Roman" w:hAnsi="Times New Roman"/>
          <w:sz w:val="28"/>
          <w:szCs w:val="28"/>
        </w:rPr>
        <w:t xml:space="preserve">Правда, связано это в основном с налогами на внешнюю торговлю и отражало благоприятную конъюнктуру мировых рынков.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Анализируя период с 2002г. по 2004г., можно наблюдать снижение налоговой части доходов бюджета. Так в 2002г. они составили 76,9%, что по сравнению с 2001г снижение составило -14,7%. В 2003 происходит  рост % доли налоговых доходов в федеральный бюджет и составляет 78,5, что по отношению к 2002г рост составляет 1,6%. В 2004г. происходит снижение налоговых доходов в процентом соотношении к общей доли и составляет 65,9% по отношению к 2003г. снижение составило 12,6%. Это связано, прежде всего, с внесением изменений в Налоговое законодательство РФ с 2004г. уменьшались налоговые доходы федерального бюджета РФ на 102,2 млрд. руб. или на 0,66% ВВП. Изменения, произошедшие в части бюджетного законодательства, снизили налоговые доходы федерального бюджета на 23 млрд. руб. или на 0,15% ВВП. За период с 1997г. по 2004г. снижение поступлений налоговых доходов в процентном соотношении составило 16,3%.</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Анализ доходов с2004-2007 показывает рост, что после спада в 2004г. налоговые доходы опять выросли на 17,6% в 2006г. по сравнению с 2004г., а в 2007г. снизились на 1,9% по сравнению с 2006г,что было связано с кризисом в мировой экономике.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Анализируя неналоговые доходы можно также сделать вывод о неравномерностях поступления неналоговых доходов в федеральный бюджет. Самый значительный рост неналоговых доходов был в 1999г и составил 8% от общего объема неналоговых доходов федерального бюджета в процентом соотношении. Это связано с ростом продаж  государственного имущества,  но  следует   упомянуть,   что   данный   источник   доходов   – невозобновляемый, и его использование в  одном  году  сокращает  поступление данных доходов в другом. С 2000г наблюдается спад неналоговых доходов и по 2004г. и составляет 6,6%, затем в 2001г. -7,5%, в 2002г.- 7%, в 2003г.- 6,8%, и,  наконец, в 2004г.- 4,7%.Значительное снижение доли неналоговых доходов в федеральный бюджет произошло также из-за изменений в налоговом и бюджетном законодательстве.</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Далее рассматривая доходы целевых бюджетных фондов можно сказать, что наибольший рост пришелся на 1997г.- 12,2% от общего объема  доходов федерального бюджета. В 1998г. произошло снижение на 3,4% и составило 8,8%. В 1999г. -9,2 % что на 0,4 % больше по сравнению с 1998г. В 2000г.- соответственно 8,2%. Особое внимание нужно обратить на период с 2001 по 2003г. здесь наблюдается значительное снижение доходов целевых бюджетных фондов, это связано, прежде всего,  повлияли изменения ставок налогов и отмена отдельных отчислений.</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Особенно хочется отметить появление нового ЕСН зачисление, которого началось с 2002г. Сбор в 2002г. составил 15,4%, в 2003г. 14,1% снижение на 1,3%. Соответственно в 2004г – поступления от ЕСН увеличилось и составило - 20,1%, в 2006г.- 23,6%.</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На основании выше проведенного анализа можно сделать вывод, о том, что динамика поступлений доходов в федеральный бюджет обладает завидной неравномерной динамикой, как правило, это связано с различными факторами воздействиями в области законодательства, социально-экономического развития, мирового хозяйства.</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Во-вторых, рост ВВП</w:t>
      </w:r>
      <w:r w:rsidRPr="00DF110F">
        <w:rPr>
          <w:rFonts w:ascii="Times New Roman" w:hAnsi="Times New Roman"/>
          <w:sz w:val="28"/>
          <w:szCs w:val="28"/>
        </w:rPr>
        <w:t xml:space="preserve">. Экономический рост в России начался в 1997 году после преодоления постсоциалистической рецессии, связанной с крахом советской экономики, перестройкой важнейших экономических институтов. В 1998 году он был прерван резким ухудшением мировой экономической конъюнктуры, оттоком капитала с многих развивающихся рынков (включая российский), падением цен на нефть (в реальном исчислении) до беспрецедентно низкого за </w:t>
      </w:r>
      <w:r w:rsidRPr="00DF110F">
        <w:rPr>
          <w:rFonts w:ascii="Times New Roman" w:hAnsi="Times New Roman"/>
          <w:bCs/>
          <w:sz w:val="28"/>
          <w:szCs w:val="28"/>
        </w:rPr>
        <w:t xml:space="preserve">последние 30 лет уровня. Рост восстановился в 1999 году и с тех пор продолжается уже 9 лет. Его средние темпы за этот период – 6,9% в год (см. рис. 1). </w:t>
      </w:r>
    </w:p>
    <w:p w:rsidR="00E942B8" w:rsidRPr="00DF110F" w:rsidRDefault="00F07C89" w:rsidP="00DF110F">
      <w:pPr>
        <w:spacing w:after="0" w:line="360" w:lineRule="auto"/>
        <w:ind w:right="-2" w:firstLine="709"/>
        <w:jc w:val="both"/>
        <w:rPr>
          <w:rFonts w:ascii="Times New Roman" w:hAnsi="Times New Roman"/>
          <w:bCs/>
          <w:sz w:val="28"/>
          <w:szCs w:val="28"/>
        </w:rPr>
      </w:pPr>
      <w:r>
        <w:rPr>
          <w:rFonts w:ascii="Times New Roman" w:hAnsi="Times New Roman"/>
          <w:bCs/>
          <w:sz w:val="28"/>
          <w:szCs w:val="28"/>
        </w:rPr>
        <w:t xml:space="preserve">Рисунок 1. </w:t>
      </w:r>
      <w:r w:rsidR="00E942B8" w:rsidRPr="00DF110F">
        <w:rPr>
          <w:rFonts w:ascii="Times New Roman" w:hAnsi="Times New Roman"/>
          <w:bCs/>
          <w:sz w:val="28"/>
          <w:szCs w:val="28"/>
        </w:rPr>
        <w:t>Темпы прироста ВВП России, 1997–2007 гг. (в % к предыдущему году) .</w:t>
      </w:r>
    </w:p>
    <w:p w:rsidR="00E942B8" w:rsidRPr="00DF110F" w:rsidRDefault="00D03E79" w:rsidP="00DF110F">
      <w:pPr>
        <w:spacing w:after="0" w:line="360" w:lineRule="auto"/>
        <w:ind w:right="-2" w:firstLine="709"/>
        <w:jc w:val="both"/>
        <w:rPr>
          <w:rFonts w:ascii="Times New Roman" w:hAnsi="Times New Roman"/>
          <w:sz w:val="28"/>
          <w:szCs w:val="28"/>
        </w:rPr>
      </w:pPr>
      <w:r>
        <w:rPr>
          <w:rFonts w:ascii="Times New Roman" w:hAnsi="Times New Roman"/>
          <w:noProof/>
          <w:sz w:val="28"/>
          <w:szCs w:val="28"/>
        </w:rPr>
        <w:pict>
          <v:shape id="Рисунок 3" o:spid="_x0000_i1027" type="#_x0000_t75" alt="Описание: http://sps.ru/userfiles/1(20).jpg" style="width:454.5pt;height:230.25pt;visibility:visible">
            <v:imagedata r:id="rId11" o:title="1(20)" grayscale="t"/>
          </v:shape>
        </w:pic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Источник: Росстат.</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В начале рост носил восстановительный характер. Его основным источником было использование производственных мощностей, созданных в советское время. Начиная с 2003–2004 годов, он все в большей степени приобретает инвестиционный характер. Темпы прироста инвестиций в основной капитал находятся на устойчиво высоком уровне. В 2007 году они превысили 20%.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 третьих, рост машиностроительного экспорта</w:t>
      </w:r>
      <w:r w:rsidRPr="00DF110F">
        <w:rPr>
          <w:rFonts w:ascii="Times New Roman" w:hAnsi="Times New Roman"/>
          <w:sz w:val="28"/>
          <w:szCs w:val="28"/>
        </w:rPr>
        <w:t>. Принято считать, что нынешние высокие темпы российского экономического роста лишь результат благоприятной конъюнктуры на рынке нефти. Происходящее на этом рынке действительно серьезно влияет на состояние российского платежного баланса, бюджета. Однако начало постсоциалистического экономического роста в России отнюдь не было связано с благоприятной динамикой цен на нефть. В 1997 году эти цены (в реальном исчислении) были близки к средним многолетним, то же относится и к 1999 году, когда экономический рост восстановился после кризиса. В 2000–2003 годах цены также были близки к средним многолетним (в 1998 году – значительно ниже). Лишь в 2004 году, после 5 лет динамичного развития российской экономики, на фоне благоприятной экономической конъюнктуры, они стали приближаться к уровню цен 1970 – начала 1980-х годов. Но наиболее динамично растущие отрасли российской промышленности, отнюдь, не нефть и газ, а производство машин и электрооборудования (среднегодовые темпы роста за последние 8 лет – соответственно примерно 11 и 15%). Разумеется, можно сформулировать гипотезу, суть которой в том, что высокие цены на нефть и обеспечивают быстрый спрос на российскую машиностроительную продукцию, рост ее выпуска. Но принять такое предположение не позволяют данные о быстром росте машиностроительного экспорта, темпы прироста которого в 2006–2007 годах приблизились к 15%(см. рис.2).</w:t>
      </w:r>
    </w:p>
    <w:p w:rsidR="00F07C89" w:rsidRDefault="00F07C89">
      <w:pPr>
        <w:rPr>
          <w:rFonts w:ascii="Times New Roman" w:hAnsi="Times New Roman"/>
          <w:bCs/>
          <w:sz w:val="28"/>
          <w:szCs w:val="28"/>
        </w:rPr>
      </w:pPr>
      <w:r>
        <w:rPr>
          <w:rFonts w:ascii="Times New Roman" w:hAnsi="Times New Roman"/>
          <w:bCs/>
          <w:sz w:val="28"/>
          <w:szCs w:val="28"/>
        </w:rPr>
        <w:br w:type="page"/>
      </w:r>
    </w:p>
    <w:p w:rsidR="00E942B8" w:rsidRPr="00DF110F" w:rsidRDefault="00F07C89" w:rsidP="00DF110F">
      <w:pPr>
        <w:spacing w:after="0" w:line="360" w:lineRule="auto"/>
        <w:ind w:right="-2" w:firstLine="709"/>
        <w:jc w:val="both"/>
        <w:rPr>
          <w:rFonts w:ascii="Times New Roman" w:hAnsi="Times New Roman"/>
          <w:sz w:val="28"/>
          <w:szCs w:val="28"/>
        </w:rPr>
      </w:pPr>
      <w:r>
        <w:rPr>
          <w:rFonts w:ascii="Times New Roman" w:hAnsi="Times New Roman"/>
          <w:bCs/>
          <w:sz w:val="28"/>
          <w:szCs w:val="28"/>
        </w:rPr>
        <w:t xml:space="preserve">Рисунок 2. </w:t>
      </w:r>
      <w:r w:rsidR="00E942B8" w:rsidRPr="00DF110F">
        <w:rPr>
          <w:rFonts w:ascii="Times New Roman" w:hAnsi="Times New Roman"/>
          <w:bCs/>
          <w:sz w:val="28"/>
          <w:szCs w:val="28"/>
        </w:rPr>
        <w:t xml:space="preserve">Динамика экспорта машин и оборудования из России </w:t>
      </w:r>
      <w:r w:rsidR="00E942B8" w:rsidRPr="00DF110F">
        <w:rPr>
          <w:rFonts w:ascii="Times New Roman" w:hAnsi="Times New Roman"/>
          <w:bCs/>
          <w:sz w:val="28"/>
          <w:szCs w:val="28"/>
        </w:rPr>
        <w:br/>
        <w:t xml:space="preserve">(в % к предыдущему году) </w:t>
      </w:r>
    </w:p>
    <w:p w:rsidR="00E942B8" w:rsidRPr="00DF110F" w:rsidRDefault="00D03E79" w:rsidP="00DF110F">
      <w:pPr>
        <w:spacing w:after="0" w:line="360" w:lineRule="auto"/>
        <w:ind w:right="-2" w:firstLine="709"/>
        <w:jc w:val="both"/>
        <w:rPr>
          <w:rFonts w:ascii="Times New Roman" w:hAnsi="Times New Roman"/>
          <w:i/>
          <w:sz w:val="28"/>
          <w:szCs w:val="28"/>
          <w:lang w:val="en-US"/>
        </w:rPr>
      </w:pPr>
      <w:r>
        <w:rPr>
          <w:rFonts w:ascii="Times New Roman" w:hAnsi="Times New Roman"/>
          <w:noProof/>
          <w:sz w:val="28"/>
          <w:szCs w:val="28"/>
        </w:rPr>
        <w:pict>
          <v:shape id="Рисунок 1" o:spid="_x0000_i1028" type="#_x0000_t75" alt="Описание: http://sps.ru/userfiles/5(15).jpg" style="width:467.25pt;height:226.5pt;visibility:visible">
            <v:imagedata r:id="rId12" o:title="5(15)"/>
          </v:shape>
        </w:pict>
      </w:r>
      <w:r w:rsidR="00F07C89">
        <w:rPr>
          <w:rFonts w:ascii="Times New Roman" w:hAnsi="Times New Roman"/>
          <w:sz w:val="28"/>
          <w:szCs w:val="28"/>
          <w:lang w:val="en-US"/>
        </w:rPr>
        <w:t xml:space="preserve"> </w:t>
      </w:r>
      <w:r w:rsidR="00E942B8" w:rsidRPr="00DF110F">
        <w:rPr>
          <w:rFonts w:ascii="Times New Roman" w:hAnsi="Times New Roman"/>
          <w:sz w:val="28"/>
          <w:szCs w:val="28"/>
        </w:rPr>
        <w:t>Источник</w:t>
      </w:r>
      <w:r w:rsidR="00E942B8" w:rsidRPr="00DF110F">
        <w:rPr>
          <w:rFonts w:ascii="Times New Roman" w:hAnsi="Times New Roman"/>
          <w:sz w:val="28"/>
          <w:szCs w:val="28"/>
          <w:lang w:val="en-US"/>
        </w:rPr>
        <w:t xml:space="preserve">: </w:t>
      </w:r>
      <w:r w:rsidR="00E942B8" w:rsidRPr="00DF110F">
        <w:rPr>
          <w:rFonts w:ascii="Times New Roman" w:hAnsi="Times New Roman"/>
          <w:sz w:val="28"/>
          <w:szCs w:val="28"/>
        </w:rPr>
        <w:t>Росстат</w:t>
      </w:r>
      <w:r w:rsidR="00E942B8" w:rsidRPr="00DF110F">
        <w:rPr>
          <w:rFonts w:ascii="Times New Roman" w:hAnsi="Times New Roman"/>
          <w:sz w:val="28"/>
          <w:szCs w:val="28"/>
          <w:lang w:val="en-US"/>
        </w:rPr>
        <w:t xml:space="preserve">; IMF IFS 2007; WDI online, World Bank. </w:t>
      </w:r>
    </w:p>
    <w:p w:rsidR="00F07C89" w:rsidRPr="00F07C89" w:rsidRDefault="00F07C89" w:rsidP="00DF110F">
      <w:pPr>
        <w:spacing w:after="0" w:line="360" w:lineRule="auto"/>
        <w:ind w:right="-2" w:firstLine="709"/>
        <w:jc w:val="both"/>
        <w:rPr>
          <w:rFonts w:ascii="Times New Roman" w:hAnsi="Times New Roman"/>
          <w:i/>
          <w:sz w:val="28"/>
          <w:szCs w:val="28"/>
          <w:lang w:val="en-US"/>
        </w:rPr>
      </w:pPr>
    </w:p>
    <w:p w:rsidR="00F07C89"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 четвертых, влияние мировой экономики</w:t>
      </w:r>
      <w:r w:rsidRPr="00DF110F">
        <w:rPr>
          <w:rFonts w:ascii="Times New Roman" w:hAnsi="Times New Roman"/>
          <w:sz w:val="28"/>
          <w:szCs w:val="28"/>
        </w:rPr>
        <w:t>. Америка и Китай в последние годы вносят наиболее весомый вклад в обеспечение высоких темпов экономического роста в мире: США – в силу масштаба экономики, Китай – высоких темпов развития. Когда их экономики замедляются, с этим приходится счита</w:t>
      </w:r>
      <w:r w:rsidR="00F07C89">
        <w:rPr>
          <w:rFonts w:ascii="Times New Roman" w:hAnsi="Times New Roman"/>
          <w:sz w:val="28"/>
          <w:szCs w:val="28"/>
        </w:rPr>
        <w:t xml:space="preserve">ться всему миру. </w:t>
      </w:r>
    </w:p>
    <w:p w:rsidR="00F07C89"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Не слишком благоприятно обстоят дела и в других крупнейших мировых экономиках. В январе широко обсуждается вопрос о том, окажется ли в 2008 году в состоянии рецессии Япония. В странах Евросоюза возможности продолжать экономический рост темпами, превышающими 3%, характерными для 2006–2007 годов, ограничиваются влиянием укрепления курса евро по отношению к доллару, осложняющим экспорт из еврозоны, и высокой (по европейским стандартам) инфляцией, не позволяющей снизить базовую процентную ставку для ускорения роста экономики. Индия в меньшей степени, чем Китай и Евросоюз, зависит от мировой конъюнктуры. Но и здесь прогнозируется замедление темпов экономического роста (в 2008 году по отношению к 2006 году – на 1%).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Российская экономика сильнее, чем экономики других стран СНГ, зависит от мировой конъюнктуры (см. рис. 3). Когда в 1997–1998 годах страна столкнулась с кризисом на развивающихся рынках, начавшийся в 1997 году экономический рост сменился падением. В 2001 году американская экономика оказалась в состоянии рецессии. Российская отреагировала на это сильно: темпы роста ВВП в 2001 году упали по сравнению с 2000 годом на 4,9 п.п., а в 2002 году – более чем на 5 п.п. Понять причины, почему колебания мировой конъюнктуры влияют на Россию сильнее, чем на мир в целом, нетрудно. 80% экспорта нашей страны – это нефть, нефтепродукты, газ и металлы (см. рис. 3). Цены на эти товары чувствительны к изменениям темпов роста глобальной экономики. </w:t>
      </w:r>
    </w:p>
    <w:p w:rsidR="00E942B8" w:rsidRPr="00DF110F" w:rsidRDefault="00F07C89" w:rsidP="00DF110F">
      <w:pPr>
        <w:spacing w:after="0" w:line="360" w:lineRule="auto"/>
        <w:ind w:right="-2" w:firstLine="709"/>
        <w:jc w:val="both"/>
        <w:rPr>
          <w:rFonts w:ascii="Times New Roman" w:hAnsi="Times New Roman"/>
          <w:sz w:val="28"/>
          <w:szCs w:val="28"/>
        </w:rPr>
      </w:pPr>
      <w:r>
        <w:rPr>
          <w:rFonts w:ascii="Times New Roman" w:hAnsi="Times New Roman"/>
          <w:bCs/>
          <w:sz w:val="28"/>
          <w:szCs w:val="28"/>
        </w:rPr>
        <w:t xml:space="preserve">Рисунок 3. </w:t>
      </w:r>
      <w:r w:rsidR="00E942B8" w:rsidRPr="00DF110F">
        <w:rPr>
          <w:rFonts w:ascii="Times New Roman" w:hAnsi="Times New Roman"/>
          <w:bCs/>
          <w:sz w:val="28"/>
          <w:szCs w:val="28"/>
        </w:rPr>
        <w:t xml:space="preserve">Темпы прироста мирового ВВП, ВВП России и стран СНГ без России, 1996–2007 гг. (в % к предыдущему году) </w:t>
      </w:r>
    </w:p>
    <w:p w:rsidR="00E942B8" w:rsidRPr="00DF110F" w:rsidRDefault="00D03E79" w:rsidP="00DF110F">
      <w:pPr>
        <w:spacing w:after="0" w:line="360" w:lineRule="auto"/>
        <w:ind w:right="-2" w:firstLine="709"/>
        <w:jc w:val="both"/>
        <w:rPr>
          <w:rFonts w:ascii="Times New Roman" w:hAnsi="Times New Roman"/>
          <w:sz w:val="28"/>
          <w:szCs w:val="28"/>
          <w:u w:val="single"/>
        </w:rPr>
      </w:pPr>
      <w:r>
        <w:rPr>
          <w:rFonts w:ascii="Times New Roman" w:hAnsi="Times New Roman"/>
          <w:noProof/>
          <w:sz w:val="28"/>
          <w:szCs w:val="28"/>
        </w:rPr>
        <w:pict>
          <v:shape id="Рисунок 6" o:spid="_x0000_i1029" type="#_x0000_t75" alt="Описание: http://sps.ru/userfiles/13(1).png" style="width:453.75pt;height:210pt;visibility:visible">
            <v:imagedata r:id="rId13" o:title="13(1)" grayscale="t"/>
          </v:shape>
        </w:pic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Источник: Росстат.</w:t>
      </w:r>
    </w:p>
    <w:p w:rsidR="00E942B8" w:rsidRPr="00DF110F" w:rsidRDefault="00E942B8" w:rsidP="00DF110F">
      <w:pPr>
        <w:spacing w:after="0" w:line="360" w:lineRule="auto"/>
        <w:ind w:right="-2" w:firstLine="709"/>
        <w:jc w:val="both"/>
        <w:rPr>
          <w:rFonts w:ascii="Times New Roman" w:hAnsi="Times New Roman"/>
          <w:i/>
          <w:sz w:val="28"/>
          <w:szCs w:val="28"/>
        </w:rPr>
      </w:pPr>
      <w:bookmarkStart w:id="1" w:name="_Toc102278004"/>
      <w:r w:rsidRPr="00DF110F">
        <w:rPr>
          <w:rFonts w:ascii="Times New Roman" w:hAnsi="Times New Roman"/>
          <w:sz w:val="28"/>
          <w:szCs w:val="28"/>
        </w:rPr>
        <w:t xml:space="preserve"> </w:t>
      </w:r>
      <w:r w:rsidRPr="00DF110F">
        <w:rPr>
          <w:rFonts w:ascii="Times New Roman" w:hAnsi="Times New Roman"/>
          <w:i/>
          <w:sz w:val="28"/>
          <w:szCs w:val="28"/>
        </w:rPr>
        <w:t>В пятых, снижение государственного долга.</w:t>
      </w:r>
    </w:p>
    <w:bookmarkEnd w:id="1"/>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bCs/>
          <w:iCs/>
          <w:sz w:val="28"/>
          <w:szCs w:val="28"/>
        </w:rPr>
        <w:t xml:space="preserve">  </w:t>
      </w:r>
      <w:r w:rsidRPr="00DF110F">
        <w:rPr>
          <w:rFonts w:ascii="Times New Roman" w:hAnsi="Times New Roman"/>
          <w:sz w:val="28"/>
          <w:szCs w:val="28"/>
        </w:rPr>
        <w:t xml:space="preserve">Проведем анализ долга. Пристальное внимание именно к этой статье государственных расходов федерального бюджета связано, прежде всего, с тем, что именно упразднение данной статьи повлияло на переход от дефицита к профициту федерального бюджета РФ.В связи с этим рассмотрим динамику расходов на обслуживание государственного долга за период с 1997 по 2004гг. </w:t>
      </w:r>
    </w:p>
    <w:p w:rsidR="00E942B8" w:rsidRPr="00DF110F" w:rsidRDefault="00E942B8" w:rsidP="00DF110F">
      <w:pPr>
        <w:spacing w:after="0" w:line="360" w:lineRule="auto"/>
        <w:ind w:right="-2" w:firstLine="709"/>
        <w:jc w:val="both"/>
        <w:rPr>
          <w:rFonts w:ascii="Times New Roman" w:hAnsi="Times New Roman"/>
          <w:i/>
          <w:sz w:val="28"/>
          <w:szCs w:val="28"/>
        </w:rPr>
      </w:pPr>
      <w:r w:rsidRPr="00DF110F">
        <w:rPr>
          <w:rFonts w:ascii="Times New Roman" w:hAnsi="Times New Roman"/>
          <w:i/>
          <w:sz w:val="28"/>
          <w:szCs w:val="28"/>
        </w:rPr>
        <w:t>таблица 3.</w:t>
      </w:r>
    </w:p>
    <w:p w:rsidR="00E942B8" w:rsidRPr="00DF110F" w:rsidRDefault="00E942B8" w:rsidP="00DF110F">
      <w:pPr>
        <w:spacing w:after="0" w:line="360" w:lineRule="auto"/>
        <w:ind w:right="-2" w:firstLine="709"/>
        <w:jc w:val="both"/>
        <w:rPr>
          <w:rFonts w:ascii="Times New Roman" w:hAnsi="Times New Roman"/>
          <w:i/>
          <w:sz w:val="28"/>
          <w:szCs w:val="28"/>
        </w:rPr>
      </w:pPr>
      <w:r w:rsidRPr="00DF110F">
        <w:rPr>
          <w:rFonts w:ascii="Times New Roman" w:hAnsi="Times New Roman"/>
          <w:i/>
          <w:sz w:val="28"/>
          <w:szCs w:val="28"/>
        </w:rPr>
        <w:t>Динамика расходов на обслуживание государственного долга за период с 1997 по 2004гг</w:t>
      </w:r>
    </w:p>
    <w:tbl>
      <w:tblPr>
        <w:tblW w:w="102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063"/>
        <w:gridCol w:w="1062"/>
        <w:gridCol w:w="1062"/>
        <w:gridCol w:w="1063"/>
        <w:gridCol w:w="1062"/>
        <w:gridCol w:w="1062"/>
        <w:gridCol w:w="1062"/>
        <w:gridCol w:w="1063"/>
      </w:tblGrid>
      <w:tr w:rsidR="00E942B8" w:rsidRPr="00BE693A" w:rsidTr="00E942B8">
        <w:tc>
          <w:tcPr>
            <w:tcW w:w="1701"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показатели</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1997</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1998</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1999</w:t>
            </w:r>
          </w:p>
        </w:tc>
        <w:tc>
          <w:tcPr>
            <w:tcW w:w="1064"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2000</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2001</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2002</w:t>
            </w:r>
          </w:p>
        </w:tc>
        <w:tc>
          <w:tcPr>
            <w:tcW w:w="1063"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2003</w:t>
            </w:r>
          </w:p>
        </w:tc>
        <w:tc>
          <w:tcPr>
            <w:tcW w:w="1064"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2004</w:t>
            </w:r>
          </w:p>
        </w:tc>
      </w:tr>
      <w:tr w:rsidR="00E942B8" w:rsidRPr="00BE693A" w:rsidTr="00E942B8">
        <w:tc>
          <w:tcPr>
            <w:tcW w:w="1701"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Расходы на обслуживание гос. долга в млрд. руб.</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41,4</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148,7</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162,9</w:t>
            </w:r>
          </w:p>
        </w:tc>
        <w:tc>
          <w:tcPr>
            <w:tcW w:w="1064"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257,9</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231,1</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229,6</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220,9</w:t>
            </w:r>
          </w:p>
        </w:tc>
        <w:tc>
          <w:tcPr>
            <w:tcW w:w="1064"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301,2</w:t>
            </w:r>
          </w:p>
        </w:tc>
      </w:tr>
      <w:tr w:rsidR="00E942B8" w:rsidRPr="00BE693A" w:rsidTr="00E942B8">
        <w:tc>
          <w:tcPr>
            <w:tcW w:w="1701" w:type="dxa"/>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Расходы на обслуживание гос. долга в %</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1,8</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5,7</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3,4</w:t>
            </w:r>
          </w:p>
        </w:tc>
        <w:tc>
          <w:tcPr>
            <w:tcW w:w="1064"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3,5</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2,6</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2,1</w:t>
            </w:r>
          </w:p>
        </w:tc>
        <w:tc>
          <w:tcPr>
            <w:tcW w:w="1063"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1,7</w:t>
            </w:r>
          </w:p>
        </w:tc>
        <w:tc>
          <w:tcPr>
            <w:tcW w:w="1064" w:type="dxa"/>
            <w:vAlign w:val="center"/>
            <w:hideMark/>
          </w:tcPr>
          <w:p w:rsidR="00E942B8" w:rsidRPr="00BE693A" w:rsidRDefault="00E942B8" w:rsidP="00F07C89">
            <w:pPr>
              <w:keepNext/>
              <w:spacing w:after="0" w:line="360" w:lineRule="auto"/>
              <w:ind w:right="-2"/>
              <w:jc w:val="both"/>
              <w:rPr>
                <w:rFonts w:ascii="Times New Roman" w:hAnsi="Times New Roman"/>
                <w:sz w:val="20"/>
                <w:szCs w:val="20"/>
              </w:rPr>
            </w:pPr>
            <w:r w:rsidRPr="00BE693A">
              <w:rPr>
                <w:rFonts w:ascii="Times New Roman" w:hAnsi="Times New Roman"/>
                <w:sz w:val="20"/>
                <w:szCs w:val="20"/>
              </w:rPr>
              <w:t>2</w:t>
            </w:r>
          </w:p>
        </w:tc>
      </w:tr>
    </w:tbl>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Источник: Росстат.</w:t>
      </w:r>
    </w:p>
    <w:p w:rsidR="00E942B8" w:rsidRPr="00DF110F" w:rsidRDefault="00E942B8" w:rsidP="00DF110F">
      <w:pPr>
        <w:spacing w:after="0" w:line="360" w:lineRule="auto"/>
        <w:ind w:right="-2" w:firstLine="709"/>
        <w:jc w:val="both"/>
        <w:rPr>
          <w:rFonts w:ascii="Times New Roman" w:hAnsi="Times New Roman"/>
          <w:sz w:val="28"/>
          <w:szCs w:val="28"/>
        </w:rPr>
      </w:pP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На основании данных таблицы 3, построим диаграмму 3.  </w:t>
      </w:r>
    </w:p>
    <w:p w:rsidR="00E942B8" w:rsidRPr="00DF110F" w:rsidRDefault="00E942B8" w:rsidP="00DF110F">
      <w:pPr>
        <w:spacing w:after="0" w:line="360" w:lineRule="auto"/>
        <w:ind w:right="-2" w:firstLine="709"/>
        <w:jc w:val="both"/>
        <w:rPr>
          <w:rFonts w:ascii="Times New Roman" w:hAnsi="Times New Roman"/>
          <w:i/>
          <w:sz w:val="28"/>
          <w:szCs w:val="28"/>
        </w:rPr>
      </w:pPr>
      <w:r w:rsidRPr="00DF110F">
        <w:rPr>
          <w:rFonts w:ascii="Times New Roman" w:hAnsi="Times New Roman"/>
          <w:i/>
          <w:sz w:val="28"/>
          <w:szCs w:val="28"/>
        </w:rPr>
        <w:t>диаграмма 3.</w:t>
      </w:r>
    </w:p>
    <w:p w:rsidR="00E942B8" w:rsidRPr="00DF110F" w:rsidRDefault="00BE693A" w:rsidP="00DF110F">
      <w:pPr>
        <w:spacing w:after="0" w:line="360" w:lineRule="auto"/>
        <w:ind w:right="-2" w:firstLine="709"/>
        <w:jc w:val="both"/>
        <w:rPr>
          <w:rFonts w:ascii="Times New Roman" w:hAnsi="Times New Roman"/>
          <w:sz w:val="28"/>
          <w:szCs w:val="28"/>
        </w:rPr>
      </w:pPr>
      <w:r w:rsidRPr="00BE693A">
        <w:rPr>
          <w:rFonts w:ascii="Times New Roman" w:hAnsi="Times New Roman"/>
          <w:noProof/>
          <w:sz w:val="28"/>
          <w:szCs w:val="28"/>
        </w:rPr>
        <w:object w:dxaOrig="7316" w:dyaOrig="3187">
          <v:shape id="Объект 5" o:spid="_x0000_i1030" type="#_x0000_t75" style="width:366pt;height:159pt;visibility:visible" o:ole="">
            <v:imagedata r:id="rId14" o:title=""/>
            <o:lock v:ext="edit" aspectratio="f"/>
          </v:shape>
          <o:OLEObject Type="Embed" ProgID="Excel.Sheet.8" ShapeID="Объект 5" DrawAspect="Content" ObjectID="_1468991597" r:id="rId15">
            <o:FieldCodes>\s</o:FieldCodes>
          </o:OLEObject>
        </w:object>
      </w:r>
    </w:p>
    <w:p w:rsidR="00F07C89" w:rsidRDefault="00F07C89" w:rsidP="00DF110F">
      <w:pPr>
        <w:spacing w:after="0" w:line="360" w:lineRule="auto"/>
        <w:ind w:right="-2" w:firstLine="709"/>
        <w:jc w:val="both"/>
        <w:rPr>
          <w:rFonts w:ascii="Times New Roman" w:hAnsi="Times New Roman"/>
          <w:i/>
          <w:sz w:val="28"/>
          <w:szCs w:val="28"/>
        </w:rPr>
      </w:pP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Выводы:</w:t>
      </w:r>
      <w:r w:rsidRPr="00DF110F">
        <w:rPr>
          <w:rFonts w:ascii="Times New Roman" w:hAnsi="Times New Roman"/>
          <w:sz w:val="28"/>
          <w:szCs w:val="28"/>
        </w:rPr>
        <w:t xml:space="preserve"> На основании данных таблицы 3 и диаграммы 3, проанализируем динамику расходов на обслуживание государственного долга за период с 1997г по 2004г.</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Анализ расходов федерального бюджета  на обслуживание государственного долга и дефицит (профицит) за период, показал, что наибольшие затраты по государственному долгу были в 2000г. – 257,9 млрд. руб., в 2004г. – 301,17 млрд. руб. В 2000г. увеличение затрат по гос. долгу связано с выплатой внешнего долга на сумму 13 млрд. руб.</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Увеличение расходов в 2004г. по государственному  долгу связано с увеличением объема внутреннего долга. Объем государственного внутреннего долга на 1 апреля 2004 г. составил 723457,6 млн. руб. Увеличение его за I квартал 2004 г. составило 41440,1 млн. руб. и сложилось по следующим видам государственных долговых обязательств: облигации федеральных займов с амортизацией долга (ОФЗ-АД) +48379,2 млн. руб., целевые вклады и чеки на автомобили -137,3 млн. руб., государственный внутренний выигрышный заем 1992 г. -1,8 млн. руб.,  задолженность по централизованным кредитам и начисленным процентам организаций АПК и организаций, осуществляющих завоз продукции в районы Крайнего Севера, переоформленная в казначейский вексель, -2,1 млн. руб., государственные краткосрочные облигации (ГКО) +3960,0 млн. руб., облигации федеральных займов с постоянным купонным доходом (ОФЗ-ПД) -265,2 млн. руб., облигации федеральных займов с фиксированным купонным доходом (ОФЗ-ФК) -10492,7 млн. руб.</w:t>
      </w:r>
    </w:p>
    <w:p w:rsidR="00E942B8" w:rsidRPr="00DF110F" w:rsidRDefault="00E942B8" w:rsidP="00DF110F">
      <w:pPr>
        <w:spacing w:after="0" w:line="360" w:lineRule="auto"/>
        <w:ind w:right="-2" w:firstLine="709"/>
        <w:jc w:val="both"/>
        <w:rPr>
          <w:rFonts w:ascii="Times New Roman" w:hAnsi="Times New Roman"/>
          <w:i/>
          <w:sz w:val="28"/>
          <w:szCs w:val="28"/>
        </w:rPr>
      </w:pPr>
    </w:p>
    <w:p w:rsidR="00E942B8" w:rsidRPr="00DF110F" w:rsidRDefault="00E942B8" w:rsidP="00F07C89">
      <w:pPr>
        <w:rPr>
          <w:rFonts w:ascii="Times New Roman" w:hAnsi="Times New Roman"/>
          <w:i/>
          <w:sz w:val="28"/>
          <w:szCs w:val="28"/>
        </w:rPr>
      </w:pPr>
      <w:r w:rsidRPr="00DF110F">
        <w:rPr>
          <w:rFonts w:ascii="Times New Roman" w:hAnsi="Times New Roman"/>
          <w:i/>
          <w:sz w:val="28"/>
          <w:szCs w:val="28"/>
        </w:rPr>
        <w:t>таблица 4.</w:t>
      </w:r>
    </w:p>
    <w:p w:rsidR="00E942B8" w:rsidRPr="00DF110F" w:rsidRDefault="00E942B8" w:rsidP="00DF110F">
      <w:pPr>
        <w:spacing w:after="0" w:line="360" w:lineRule="auto"/>
        <w:ind w:right="-2" w:firstLine="709"/>
        <w:jc w:val="both"/>
        <w:rPr>
          <w:rFonts w:ascii="Times New Roman" w:hAnsi="Times New Roman"/>
          <w:i/>
          <w:sz w:val="28"/>
          <w:szCs w:val="28"/>
        </w:rPr>
      </w:pPr>
      <w:r w:rsidRPr="00DF110F">
        <w:rPr>
          <w:rFonts w:ascii="Times New Roman" w:hAnsi="Times New Roman"/>
          <w:i/>
          <w:sz w:val="28"/>
          <w:szCs w:val="28"/>
        </w:rPr>
        <w:t>Взаимосвязь расходов на обслуживание государственного долга за период с 1997 по 2004гг. и трансформации дефицита федерального бюджета в профицит</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2520"/>
      </w:tblGrid>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годы</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Расходы на обслуживание гос. долга в %</w:t>
            </w:r>
          </w:p>
        </w:tc>
        <w:tc>
          <w:tcPr>
            <w:tcW w:w="2520" w:type="dxa"/>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 xml:space="preserve">Динамика процентного отношения дефицита / профицита  к объему ВВП </w:t>
            </w:r>
          </w:p>
          <w:p w:rsidR="00E942B8" w:rsidRPr="00BE693A" w:rsidRDefault="00E942B8" w:rsidP="00F07C89">
            <w:pPr>
              <w:keepNext/>
              <w:spacing w:after="0" w:line="360" w:lineRule="auto"/>
              <w:ind w:right="-2" w:firstLine="43"/>
              <w:jc w:val="both"/>
              <w:rPr>
                <w:rFonts w:ascii="Times New Roman" w:hAnsi="Times New Roman"/>
                <w:sz w:val="20"/>
                <w:szCs w:val="20"/>
              </w:rPr>
            </w:pP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1997</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1,8</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4,0</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1998</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5,7</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5,6</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1999</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3,4</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1,3</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2000</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3,5</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1,1</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2001</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2,6</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2,7</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2002</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2,1</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1,3</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2003</w:t>
            </w:r>
          </w:p>
        </w:tc>
        <w:tc>
          <w:tcPr>
            <w:tcW w:w="1980" w:type="dxa"/>
            <w:hideMark/>
          </w:tcPr>
          <w:p w:rsidR="00E942B8" w:rsidRPr="00BE693A" w:rsidRDefault="00E942B8" w:rsidP="00F07C89">
            <w:pPr>
              <w:keepNext/>
              <w:tabs>
                <w:tab w:val="left" w:pos="1360"/>
                <w:tab w:val="center" w:pos="1534"/>
              </w:tabs>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1,7</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1,6</w:t>
            </w:r>
          </w:p>
        </w:tc>
      </w:tr>
      <w:tr w:rsidR="00E942B8" w:rsidRPr="00BE693A" w:rsidTr="00E942B8">
        <w:tc>
          <w:tcPr>
            <w:tcW w:w="1908"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2004</w:t>
            </w:r>
          </w:p>
        </w:tc>
        <w:tc>
          <w:tcPr>
            <w:tcW w:w="198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2</w:t>
            </w:r>
          </w:p>
        </w:tc>
        <w:tc>
          <w:tcPr>
            <w:tcW w:w="2520" w:type="dxa"/>
            <w:hideMark/>
          </w:tcPr>
          <w:p w:rsidR="00E942B8" w:rsidRPr="00BE693A" w:rsidRDefault="00E942B8" w:rsidP="00F07C89">
            <w:pPr>
              <w:keepNext/>
              <w:spacing w:after="0" w:line="360" w:lineRule="auto"/>
              <w:ind w:right="-2" w:firstLine="43"/>
              <w:jc w:val="both"/>
              <w:rPr>
                <w:rFonts w:ascii="Times New Roman" w:hAnsi="Times New Roman"/>
                <w:sz w:val="20"/>
                <w:szCs w:val="20"/>
              </w:rPr>
            </w:pPr>
            <w:r w:rsidRPr="00BE693A">
              <w:rPr>
                <w:rFonts w:ascii="Times New Roman" w:hAnsi="Times New Roman"/>
                <w:sz w:val="20"/>
                <w:szCs w:val="20"/>
              </w:rPr>
              <w:t>3,9</w:t>
            </w:r>
          </w:p>
        </w:tc>
      </w:tr>
    </w:tbl>
    <w:p w:rsidR="00E942B8" w:rsidRPr="00DF110F" w:rsidRDefault="00E942B8" w:rsidP="00DF110F">
      <w:pPr>
        <w:spacing w:after="0" w:line="360" w:lineRule="auto"/>
        <w:ind w:right="-2" w:firstLine="709"/>
        <w:jc w:val="both"/>
        <w:rPr>
          <w:rFonts w:ascii="Times New Roman" w:hAnsi="Times New Roman"/>
          <w:sz w:val="28"/>
          <w:szCs w:val="28"/>
        </w:rPr>
      </w:pP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На основании таблицы 4 построим диаграмму 4.</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sz w:val="28"/>
          <w:szCs w:val="28"/>
        </w:rPr>
        <w:t>диаграмма 4.</w:t>
      </w:r>
    </w:p>
    <w:p w:rsidR="00E942B8" w:rsidRPr="00DF110F" w:rsidRDefault="00BE693A" w:rsidP="00DF110F">
      <w:pPr>
        <w:spacing w:after="0" w:line="360" w:lineRule="auto"/>
        <w:ind w:right="-2" w:firstLine="709"/>
        <w:jc w:val="both"/>
        <w:rPr>
          <w:rFonts w:ascii="Times New Roman" w:hAnsi="Times New Roman"/>
          <w:sz w:val="28"/>
          <w:szCs w:val="28"/>
        </w:rPr>
      </w:pPr>
      <w:r w:rsidRPr="00BE693A">
        <w:rPr>
          <w:rFonts w:ascii="Times New Roman" w:hAnsi="Times New Roman"/>
          <w:noProof/>
          <w:sz w:val="28"/>
          <w:szCs w:val="28"/>
        </w:rPr>
        <w:object w:dxaOrig="6711" w:dyaOrig="3984">
          <v:shape id="Объект 7" o:spid="_x0000_i1031" type="#_x0000_t75" style="width:335.25pt;height:199.5pt;visibility:visible" o:ole="">
            <v:imagedata r:id="rId16" o:title=""/>
            <o:lock v:ext="edit" aspectratio="f"/>
          </v:shape>
          <o:OLEObject Type="Embed" ProgID="Excel.Sheet.8" ShapeID="Объект 7" DrawAspect="Content" ObjectID="_1468991598" r:id="rId17">
            <o:FieldCodes>\s</o:FieldCodes>
          </o:OLEObject>
        </w:objec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 xml:space="preserve"> </w:t>
      </w:r>
      <w:r w:rsidRPr="00DF110F">
        <w:rPr>
          <w:rFonts w:ascii="Times New Roman" w:hAnsi="Times New Roman"/>
          <w:i/>
          <w:sz w:val="28"/>
          <w:szCs w:val="28"/>
        </w:rPr>
        <w:t>Вывод</w:t>
      </w:r>
      <w:r w:rsidRPr="00DF110F">
        <w:rPr>
          <w:rFonts w:ascii="Times New Roman" w:hAnsi="Times New Roman"/>
          <w:sz w:val="28"/>
          <w:szCs w:val="28"/>
        </w:rPr>
        <w:t>: анализируя данные  диаграммы 4. можно сделать вывод, что  повышение объема расходов на государственный долг влечет повышение динамики процентного отношения дефицита к профициту к объему ВВП и, следовательно, наоборот, при снижении расходов по государственному долгу происходит снижение динамики процентного отношения дефицита к профициту к объему ВВП.</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Тем самым если выплата основной части государственного долга (его погашение) относится не к категории “расходов” (в отличие от выплаты процентов), а к платежам из “источников покрытия дефицита”. То  наличие профицита, показывает лишь то, что необходимые суммы займов меньше сумм погашения долга.</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В связи с проведенным анализом  динамики расходов на обслуживание государственного долга за период с 1997 по 2004гг. и трансформации дефицита федерального бюджета в профицит, можно сделать вывод о том, что появление профицита федерального бюджета в полной мере зависит от динамики расходов на обслуживание государственного долга.</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Таким образом, можно сделать вывод о том, что повышение объема расходов на государственный долг влечет повышение динамики процентного отношения дефицита к профициту к объему ВВП и, следовательно, наоборот, при снижении расходов по гос. долгу происходит снижение динамики процентного отношения дефицита к профициту к объему ВВП.</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sz w:val="28"/>
          <w:szCs w:val="28"/>
        </w:rPr>
        <w:t>Основными направлениями повышения эффективности бюджетной политики в области дефицита (профицита) станет:</w:t>
      </w:r>
    </w:p>
    <w:p w:rsidR="00E942B8" w:rsidRPr="00DF110F" w:rsidRDefault="00E942B8" w:rsidP="00DF110F">
      <w:pPr>
        <w:pStyle w:val="3"/>
        <w:spacing w:after="0" w:line="360" w:lineRule="auto"/>
        <w:ind w:left="0" w:right="-2" w:firstLine="709"/>
        <w:jc w:val="both"/>
        <w:rPr>
          <w:rFonts w:ascii="Times New Roman" w:hAnsi="Times New Roman"/>
          <w:sz w:val="28"/>
          <w:szCs w:val="28"/>
        </w:rPr>
      </w:pPr>
      <w:r w:rsidRPr="00DF110F">
        <w:rPr>
          <w:rFonts w:ascii="Times New Roman" w:hAnsi="Times New Roman"/>
          <w:sz w:val="28"/>
          <w:szCs w:val="28"/>
        </w:rPr>
        <w:t>-в первую очередь снижение долговой нагрузки, которая позволила существенно сократить долю государственного долга в ВВП;</w:t>
      </w:r>
    </w:p>
    <w:p w:rsidR="00E942B8" w:rsidRPr="00DF110F" w:rsidRDefault="00E942B8" w:rsidP="00DF110F">
      <w:pPr>
        <w:pStyle w:val="3"/>
        <w:spacing w:after="0" w:line="360" w:lineRule="auto"/>
        <w:ind w:left="0" w:right="-2" w:firstLine="709"/>
        <w:jc w:val="both"/>
        <w:rPr>
          <w:rFonts w:ascii="Times New Roman" w:hAnsi="Times New Roman"/>
          <w:sz w:val="28"/>
          <w:szCs w:val="28"/>
        </w:rPr>
      </w:pPr>
      <w:r w:rsidRPr="00DF110F">
        <w:rPr>
          <w:rFonts w:ascii="Times New Roman" w:hAnsi="Times New Roman"/>
          <w:sz w:val="28"/>
          <w:szCs w:val="28"/>
        </w:rPr>
        <w:t>-во-вторых, дальнейший рост профицита, который  привел к формированию значительного финансового резерва, что дает возможность проведения активной инвестиционной политики и позволит в будущем увеличить непроцентные расходы.</w:t>
      </w:r>
    </w:p>
    <w:p w:rsidR="00E942B8" w:rsidRPr="00DF110F" w:rsidRDefault="00E942B8" w:rsidP="00DF110F">
      <w:pPr>
        <w:spacing w:after="0" w:line="360" w:lineRule="auto"/>
        <w:ind w:right="-2" w:firstLine="709"/>
        <w:jc w:val="both"/>
        <w:rPr>
          <w:rFonts w:ascii="Times New Roman" w:hAnsi="Times New Roman"/>
          <w:sz w:val="28"/>
          <w:szCs w:val="28"/>
        </w:rPr>
      </w:pPr>
      <w:r w:rsidRPr="00DF110F">
        <w:rPr>
          <w:rFonts w:ascii="Times New Roman" w:hAnsi="Times New Roman"/>
          <w:i/>
          <w:iCs/>
          <w:sz w:val="28"/>
          <w:szCs w:val="28"/>
        </w:rPr>
        <w:t>В связи с этим, основными задачами правительства</w:t>
      </w:r>
      <w:r w:rsidRPr="00DF110F">
        <w:rPr>
          <w:rFonts w:ascii="Times New Roman" w:hAnsi="Times New Roman"/>
          <w:sz w:val="28"/>
          <w:szCs w:val="28"/>
        </w:rPr>
        <w:t xml:space="preserve"> будут поддержание высоких темпов экономического роста и борьба с бедностью. Именно бюджетная политика государства, как наиболее значительная составляющая экономической политики правительства, должна быть направлена на выполнение данных задач.В свете поставленных задач  приоритетными направлениями по дальнейшему совершенствованию останутся следующие направления бюджетно-налоговой политики: политика государственных расходов, налоговая политика, профицит бюджета, фискальный федерализм.</w:t>
      </w:r>
    </w:p>
    <w:p w:rsidR="00F07C89" w:rsidRDefault="00F07C89">
      <w:pPr>
        <w:rPr>
          <w:rFonts w:ascii="Times New Roman" w:hAnsi="Times New Roman"/>
          <w:bCs/>
          <w:sz w:val="28"/>
          <w:szCs w:val="28"/>
        </w:rPr>
      </w:pPr>
      <w:r>
        <w:rPr>
          <w:rFonts w:ascii="Times New Roman" w:hAnsi="Times New Roman"/>
          <w:bCs/>
          <w:sz w:val="28"/>
          <w:szCs w:val="28"/>
        </w:rPr>
        <w:br w:type="page"/>
      </w:r>
    </w:p>
    <w:p w:rsidR="00E942B8" w:rsidRPr="00DF110F" w:rsidRDefault="00E942B8" w:rsidP="00DF110F">
      <w:pPr>
        <w:spacing w:after="0" w:line="360" w:lineRule="auto"/>
        <w:ind w:right="-2" w:firstLine="709"/>
        <w:jc w:val="both"/>
        <w:outlineLvl w:val="4"/>
        <w:rPr>
          <w:rFonts w:ascii="Times New Roman" w:hAnsi="Times New Roman"/>
          <w:bCs/>
          <w:sz w:val="28"/>
          <w:szCs w:val="28"/>
        </w:rPr>
      </w:pPr>
      <w:r w:rsidRPr="00DF110F">
        <w:rPr>
          <w:rFonts w:ascii="Times New Roman" w:hAnsi="Times New Roman"/>
          <w:bCs/>
          <w:sz w:val="28"/>
          <w:szCs w:val="28"/>
        </w:rPr>
        <w:t>Список литературы:</w:t>
      </w:r>
    </w:p>
    <w:p w:rsidR="00E942B8" w:rsidRPr="00DF110F" w:rsidRDefault="00E942B8" w:rsidP="00DF110F">
      <w:pPr>
        <w:spacing w:after="0" w:line="360" w:lineRule="auto"/>
        <w:ind w:right="-2" w:firstLine="709"/>
        <w:jc w:val="both"/>
        <w:outlineLvl w:val="4"/>
        <w:rPr>
          <w:rFonts w:ascii="Times New Roman" w:hAnsi="Times New Roman"/>
          <w:bCs/>
          <w:sz w:val="28"/>
          <w:szCs w:val="28"/>
        </w:rPr>
      </w:pPr>
    </w:p>
    <w:p w:rsidR="00E942B8" w:rsidRPr="00DF110F" w:rsidRDefault="00E942B8" w:rsidP="00F07C89">
      <w:pPr>
        <w:keepNext/>
        <w:spacing w:after="0" w:line="360" w:lineRule="auto"/>
        <w:ind w:right="-2"/>
        <w:jc w:val="both"/>
        <w:rPr>
          <w:rFonts w:ascii="Times New Roman" w:hAnsi="Times New Roman"/>
          <w:sz w:val="28"/>
          <w:szCs w:val="28"/>
        </w:rPr>
      </w:pPr>
      <w:r w:rsidRPr="00DF110F">
        <w:rPr>
          <w:rFonts w:ascii="Times New Roman" w:hAnsi="Times New Roman"/>
          <w:sz w:val="28"/>
          <w:szCs w:val="28"/>
        </w:rPr>
        <w:t xml:space="preserve">  1. Бюджетный кодекс Российской Федерации. - М.: ТК  Велби. Издательство Проспект, 2005г. 208с. Раздел </w:t>
      </w:r>
      <w:r w:rsidRPr="00DF110F">
        <w:rPr>
          <w:rFonts w:ascii="Times New Roman" w:hAnsi="Times New Roman"/>
          <w:sz w:val="28"/>
          <w:szCs w:val="28"/>
          <w:lang w:val="en-US"/>
        </w:rPr>
        <w:t>IV</w:t>
      </w:r>
      <w:r w:rsidRPr="00DF110F">
        <w:rPr>
          <w:rFonts w:ascii="Times New Roman" w:hAnsi="Times New Roman"/>
          <w:sz w:val="28"/>
          <w:szCs w:val="28"/>
        </w:rPr>
        <w:t>, Гл. 13ст.92-94.</w:t>
      </w:r>
    </w:p>
    <w:p w:rsidR="00F07C89" w:rsidRDefault="00E942B8" w:rsidP="00F07C89">
      <w:pPr>
        <w:spacing w:after="0" w:line="360" w:lineRule="auto"/>
        <w:ind w:right="-2"/>
        <w:jc w:val="both"/>
        <w:outlineLvl w:val="4"/>
        <w:rPr>
          <w:rFonts w:ascii="Times New Roman" w:hAnsi="Times New Roman"/>
          <w:sz w:val="28"/>
          <w:szCs w:val="28"/>
        </w:rPr>
      </w:pPr>
      <w:r w:rsidRPr="00DF110F">
        <w:rPr>
          <w:rFonts w:ascii="Times New Roman" w:hAnsi="Times New Roman"/>
          <w:sz w:val="28"/>
          <w:szCs w:val="28"/>
        </w:rPr>
        <w:t>2. Бюджетная система России / Под ред</w:t>
      </w:r>
      <w:r w:rsidR="00F07C89">
        <w:rPr>
          <w:rFonts w:ascii="Times New Roman" w:hAnsi="Times New Roman"/>
          <w:sz w:val="28"/>
          <w:szCs w:val="28"/>
        </w:rPr>
        <w:t>. Г.Б.Поляка. – М.: ЮНИТИ-ДАНА, 2000.</w:t>
      </w:r>
    </w:p>
    <w:p w:rsidR="00F07C89" w:rsidRDefault="00E942B8" w:rsidP="00F07C89">
      <w:pPr>
        <w:spacing w:after="0" w:line="360" w:lineRule="auto"/>
        <w:ind w:right="-2"/>
        <w:jc w:val="both"/>
        <w:outlineLvl w:val="4"/>
        <w:rPr>
          <w:rFonts w:ascii="Times New Roman" w:hAnsi="Times New Roman"/>
          <w:sz w:val="28"/>
          <w:szCs w:val="28"/>
        </w:rPr>
      </w:pPr>
      <w:r w:rsidRPr="00DF110F">
        <w:rPr>
          <w:rFonts w:ascii="Times New Roman" w:hAnsi="Times New Roman"/>
          <w:sz w:val="28"/>
          <w:szCs w:val="28"/>
        </w:rPr>
        <w:t>3. Финансы, денежное обращение и к</w:t>
      </w:r>
      <w:r w:rsidR="00F07C89">
        <w:rPr>
          <w:rFonts w:ascii="Times New Roman" w:hAnsi="Times New Roman"/>
          <w:sz w:val="28"/>
          <w:szCs w:val="28"/>
        </w:rPr>
        <w:t xml:space="preserve">редит / Под ред. В.К.Сенчагова, </w:t>
      </w:r>
      <w:r w:rsidRPr="00DF110F">
        <w:rPr>
          <w:rFonts w:ascii="Times New Roman" w:hAnsi="Times New Roman"/>
          <w:sz w:val="28"/>
          <w:szCs w:val="28"/>
        </w:rPr>
        <w:t>А.И.Ар</w:t>
      </w:r>
      <w:r w:rsidR="00F07C89">
        <w:rPr>
          <w:rFonts w:ascii="Times New Roman" w:hAnsi="Times New Roman"/>
          <w:sz w:val="28"/>
          <w:szCs w:val="28"/>
        </w:rPr>
        <w:t>хипова. – М.: «Проспект», 1999.</w:t>
      </w:r>
    </w:p>
    <w:p w:rsidR="00E942B8" w:rsidRPr="00DF110F" w:rsidRDefault="00E942B8" w:rsidP="00F07C89">
      <w:pPr>
        <w:spacing w:after="0" w:line="360" w:lineRule="auto"/>
        <w:ind w:right="-2"/>
        <w:jc w:val="both"/>
        <w:outlineLvl w:val="4"/>
        <w:rPr>
          <w:rFonts w:ascii="Times New Roman" w:hAnsi="Times New Roman"/>
          <w:bCs/>
          <w:sz w:val="28"/>
          <w:szCs w:val="28"/>
        </w:rPr>
      </w:pPr>
      <w:r w:rsidRPr="00DF110F">
        <w:rPr>
          <w:rFonts w:ascii="Times New Roman" w:hAnsi="Times New Roman"/>
          <w:bCs/>
          <w:sz w:val="28"/>
          <w:szCs w:val="28"/>
        </w:rPr>
        <w:t>4.</w:t>
      </w:r>
      <w:r w:rsidRPr="00DF110F">
        <w:rPr>
          <w:rFonts w:ascii="Times New Roman" w:hAnsi="Times New Roman"/>
          <w:sz w:val="28"/>
          <w:szCs w:val="28"/>
        </w:rPr>
        <w:t xml:space="preserve"> Закон РФ “О валютном регулировании и валютном контроле”</w:t>
      </w:r>
    </w:p>
    <w:p w:rsidR="00E942B8" w:rsidRPr="00DF110F" w:rsidRDefault="00E942B8" w:rsidP="00F07C89">
      <w:pPr>
        <w:autoSpaceDE w:val="0"/>
        <w:autoSpaceDN w:val="0"/>
        <w:adjustRightInd w:val="0"/>
        <w:spacing w:after="0" w:line="360" w:lineRule="auto"/>
        <w:ind w:right="-2"/>
        <w:jc w:val="both"/>
        <w:rPr>
          <w:rFonts w:ascii="Times New Roman" w:hAnsi="Times New Roman"/>
          <w:sz w:val="28"/>
          <w:szCs w:val="28"/>
        </w:rPr>
      </w:pPr>
      <w:r w:rsidRPr="00DF110F">
        <w:rPr>
          <w:rFonts w:ascii="Times New Roman" w:hAnsi="Times New Roman"/>
          <w:sz w:val="28"/>
          <w:szCs w:val="28"/>
        </w:rPr>
        <w:t>5.“Финансовое право” Учебное пособие. Е.Ю. Грачева, Э.Д. Соколова, Изд. “Новый юрист”, Москва, 1998 г.</w:t>
      </w:r>
    </w:p>
    <w:p w:rsidR="00E942B8" w:rsidRPr="00DF110F" w:rsidRDefault="00E942B8" w:rsidP="00F07C89">
      <w:pPr>
        <w:autoSpaceDE w:val="0"/>
        <w:autoSpaceDN w:val="0"/>
        <w:adjustRightInd w:val="0"/>
        <w:spacing w:after="0" w:line="360" w:lineRule="auto"/>
        <w:ind w:right="-2"/>
        <w:jc w:val="both"/>
        <w:rPr>
          <w:rFonts w:ascii="Times New Roman" w:hAnsi="Times New Roman"/>
          <w:sz w:val="28"/>
          <w:szCs w:val="28"/>
        </w:rPr>
      </w:pPr>
      <w:r w:rsidRPr="00DF110F">
        <w:rPr>
          <w:rFonts w:ascii="Times New Roman" w:hAnsi="Times New Roman"/>
          <w:sz w:val="28"/>
          <w:szCs w:val="28"/>
        </w:rPr>
        <w:t>6.“Финансовое и банковское право” словарь-справочник . Додонов В.Н., Крылова М.А., Шестаков А.В. Изд. “Инфра-М”, Москва, 1997 г.</w:t>
      </w:r>
    </w:p>
    <w:p w:rsidR="00E942B8" w:rsidRPr="00DF110F" w:rsidRDefault="00E942B8" w:rsidP="00F07C89">
      <w:pPr>
        <w:autoSpaceDE w:val="0"/>
        <w:autoSpaceDN w:val="0"/>
        <w:spacing w:after="0" w:line="360" w:lineRule="auto"/>
        <w:ind w:right="-2"/>
        <w:jc w:val="both"/>
        <w:rPr>
          <w:rFonts w:ascii="Times New Roman" w:hAnsi="Times New Roman"/>
          <w:sz w:val="28"/>
          <w:szCs w:val="28"/>
        </w:rPr>
      </w:pPr>
      <w:r w:rsidRPr="00DF110F">
        <w:rPr>
          <w:rFonts w:ascii="Times New Roman" w:hAnsi="Times New Roman"/>
          <w:sz w:val="28"/>
          <w:szCs w:val="28"/>
        </w:rPr>
        <w:t>7.Конституция РФ</w:t>
      </w:r>
    </w:p>
    <w:p w:rsidR="00E942B8" w:rsidRPr="00DF110F" w:rsidRDefault="00E942B8" w:rsidP="00F07C89">
      <w:pPr>
        <w:autoSpaceDE w:val="0"/>
        <w:autoSpaceDN w:val="0"/>
        <w:spacing w:after="0" w:line="360" w:lineRule="auto"/>
        <w:ind w:right="-2"/>
        <w:jc w:val="both"/>
        <w:rPr>
          <w:rFonts w:ascii="Times New Roman" w:hAnsi="Times New Roman"/>
          <w:sz w:val="28"/>
          <w:szCs w:val="28"/>
        </w:rPr>
      </w:pPr>
      <w:r w:rsidRPr="00DF110F">
        <w:rPr>
          <w:rFonts w:ascii="Times New Roman" w:hAnsi="Times New Roman"/>
          <w:sz w:val="28"/>
          <w:szCs w:val="28"/>
        </w:rPr>
        <w:t>8.Букато В.И., Львов Ю.И.Банки и банковские операции в России. // Под редакцией Лапидуса М.Х. – М.: Финансы и статистика,1996. – 335с.</w:t>
      </w:r>
    </w:p>
    <w:p w:rsidR="00E942B8" w:rsidRPr="00DF110F" w:rsidRDefault="00E942B8" w:rsidP="00F07C89">
      <w:pPr>
        <w:autoSpaceDE w:val="0"/>
        <w:autoSpaceDN w:val="0"/>
        <w:spacing w:after="0" w:line="360" w:lineRule="auto"/>
        <w:ind w:right="-2"/>
        <w:jc w:val="both"/>
        <w:rPr>
          <w:rFonts w:ascii="Times New Roman" w:hAnsi="Times New Roman"/>
          <w:sz w:val="28"/>
          <w:szCs w:val="28"/>
        </w:rPr>
      </w:pPr>
      <w:r w:rsidRPr="00DF110F">
        <w:rPr>
          <w:rFonts w:ascii="Times New Roman" w:hAnsi="Times New Roman"/>
          <w:sz w:val="28"/>
          <w:szCs w:val="28"/>
        </w:rPr>
        <w:t>9.Буренин А.Н.Рынок ценных бумаг и производных финансовых инструментов:Учебное пособие. – М. – 1998. – 348с.</w:t>
      </w:r>
    </w:p>
    <w:p w:rsidR="00E942B8" w:rsidRPr="00DF110F" w:rsidRDefault="00E942B8" w:rsidP="00F07C89">
      <w:pPr>
        <w:autoSpaceDE w:val="0"/>
        <w:autoSpaceDN w:val="0"/>
        <w:spacing w:after="0" w:line="360" w:lineRule="auto"/>
        <w:ind w:right="-2"/>
        <w:jc w:val="both"/>
        <w:rPr>
          <w:rFonts w:ascii="Times New Roman" w:hAnsi="Times New Roman"/>
          <w:sz w:val="28"/>
          <w:szCs w:val="28"/>
        </w:rPr>
      </w:pPr>
      <w:r w:rsidRPr="00DF110F">
        <w:rPr>
          <w:rFonts w:ascii="Times New Roman" w:hAnsi="Times New Roman"/>
          <w:sz w:val="28"/>
          <w:szCs w:val="28"/>
        </w:rPr>
        <w:t>10.Курс экономической теории: Учебник / Под общей ред. проф. М.Н. Чепурина, проф. Е.А. Киселевой. - Киров.: Издательство “АСА”, 1997.</w:t>
      </w:r>
    </w:p>
    <w:p w:rsidR="00E942B8" w:rsidRPr="00DF110F" w:rsidRDefault="00E942B8" w:rsidP="00F07C89">
      <w:pPr>
        <w:autoSpaceDE w:val="0"/>
        <w:autoSpaceDN w:val="0"/>
        <w:spacing w:after="0" w:line="360" w:lineRule="auto"/>
        <w:ind w:right="-2"/>
        <w:jc w:val="both"/>
        <w:rPr>
          <w:rFonts w:ascii="Times New Roman" w:hAnsi="Times New Roman"/>
          <w:sz w:val="28"/>
          <w:szCs w:val="28"/>
        </w:rPr>
      </w:pPr>
      <w:r w:rsidRPr="00DF110F">
        <w:rPr>
          <w:rFonts w:ascii="Times New Roman" w:hAnsi="Times New Roman"/>
          <w:sz w:val="28"/>
          <w:szCs w:val="28"/>
        </w:rPr>
        <w:t xml:space="preserve">11.Финансы: Учебное пособие / А.М. Ковалева, Н.П. Баранникова, В.Д. Богачева и др.; Под ред. проф. А.М. Ковалевой. - М.: Финансы и статистика, 1997. </w:t>
      </w:r>
    </w:p>
    <w:p w:rsidR="00E942B8" w:rsidRPr="00DF110F" w:rsidRDefault="00E942B8" w:rsidP="00F07C89">
      <w:pPr>
        <w:pStyle w:val="a6"/>
        <w:spacing w:before="0" w:beforeAutospacing="0" w:after="0" w:afterAutospacing="0" w:line="360" w:lineRule="auto"/>
        <w:ind w:right="-2"/>
        <w:jc w:val="both"/>
        <w:rPr>
          <w:sz w:val="28"/>
          <w:szCs w:val="28"/>
        </w:rPr>
      </w:pPr>
      <w:r w:rsidRPr="00DF110F">
        <w:rPr>
          <w:sz w:val="28"/>
          <w:szCs w:val="28"/>
        </w:rPr>
        <w:t>12. Российский статистический ежегодник, 2004: Стат.сб. / Госкомстат России. - М., 1997. - с. 531.;Российский статистический ежегодник: Стат.сб. / Госкомстат России. - М., 2000. - с. 249.; Российский статистический ежегодник: Стат.сб. / Госкомстат России. - М., 2004. - с. 389.</w:t>
      </w:r>
    </w:p>
    <w:p w:rsidR="00032C9A" w:rsidRPr="00DF110F" w:rsidRDefault="00032C9A" w:rsidP="00DF110F">
      <w:pPr>
        <w:spacing w:after="0" w:line="360" w:lineRule="auto"/>
        <w:ind w:right="-2" w:firstLine="709"/>
        <w:jc w:val="both"/>
        <w:rPr>
          <w:rFonts w:ascii="Times New Roman" w:hAnsi="Times New Roman"/>
          <w:sz w:val="28"/>
          <w:szCs w:val="28"/>
        </w:rPr>
      </w:pPr>
      <w:bookmarkStart w:id="2" w:name="_GoBack"/>
      <w:bookmarkEnd w:id="2"/>
    </w:p>
    <w:sectPr w:rsidR="00032C9A" w:rsidRPr="00DF110F" w:rsidSect="00DF110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15C" w:rsidRDefault="00DE515C" w:rsidP="00EB7220">
      <w:pPr>
        <w:spacing w:after="0" w:line="240" w:lineRule="auto"/>
      </w:pPr>
      <w:r>
        <w:separator/>
      </w:r>
    </w:p>
  </w:endnote>
  <w:endnote w:type="continuationSeparator" w:id="0">
    <w:p w:rsidR="00DE515C" w:rsidRDefault="00DE515C" w:rsidP="00EB7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15C" w:rsidRDefault="00DE515C" w:rsidP="00EB7220">
      <w:pPr>
        <w:spacing w:after="0" w:line="240" w:lineRule="auto"/>
      </w:pPr>
      <w:r>
        <w:separator/>
      </w:r>
    </w:p>
  </w:footnote>
  <w:footnote w:type="continuationSeparator" w:id="0">
    <w:p w:rsidR="00DE515C" w:rsidRDefault="00DE515C" w:rsidP="00EB7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numFmt w:val="bullet"/>
      <w:lvlText w:val=""/>
      <w:lvlJc w:val="left"/>
      <w:pPr>
        <w:ind w:left="284" w:hanging="284"/>
      </w:pPr>
      <w:rPr>
        <w:rFonts w:ascii="Symbol" w:hAnsi="Symbol"/>
      </w:rPr>
    </w:lvl>
  </w:abstractNum>
  <w:abstractNum w:abstractNumId="1">
    <w:nsid w:val="59420D24"/>
    <w:multiLevelType w:val="multilevel"/>
    <w:tmpl w:val="1C3221EC"/>
    <w:lvl w:ilvl="0">
      <w:start w:val="1"/>
      <w:numFmt w:val="decimal"/>
      <w:pStyle w:val="1"/>
      <w:lvlText w:val="ГЛАВА %1."/>
      <w:lvlJc w:val="left"/>
      <w:pPr>
        <w:tabs>
          <w:tab w:val="num" w:pos="792"/>
        </w:tabs>
        <w:ind w:left="792" w:hanging="432"/>
      </w:pPr>
      <w:rPr>
        <w:rFonts w:cs="Times New Roman" w:hint="default"/>
      </w:rPr>
    </w:lvl>
    <w:lvl w:ilvl="1">
      <w:start w:val="1"/>
      <w:numFmt w:val="decimal"/>
      <w:pStyle w:val="2"/>
      <w:lvlText w:val="%1.%2"/>
      <w:lvlJc w:val="left"/>
      <w:pPr>
        <w:tabs>
          <w:tab w:val="num" w:pos="936"/>
        </w:tabs>
        <w:ind w:left="936" w:hanging="576"/>
      </w:pPr>
      <w:rPr>
        <w:rFonts w:cs="Times New Roman" w:hint="default"/>
      </w:rPr>
    </w:lvl>
    <w:lvl w:ilvl="2">
      <w:start w:val="1"/>
      <w:numFmt w:val="none"/>
      <w:lvlText w:val=""/>
      <w:lvlJc w:val="left"/>
      <w:pPr>
        <w:tabs>
          <w:tab w:val="num" w:pos="1080"/>
        </w:tabs>
        <w:ind w:left="1080" w:hanging="720"/>
      </w:pPr>
      <w:rPr>
        <w:rFonts w:cs="Times New Roman" w:hint="default"/>
      </w:rPr>
    </w:lvl>
    <w:lvl w:ilvl="3">
      <w:start w:val="1"/>
      <w:numFmt w:val="decimal"/>
      <w:pStyle w:val="4"/>
      <w:lvlText w:val="%1.%2.%3.%4"/>
      <w:lvlJc w:val="left"/>
      <w:pPr>
        <w:tabs>
          <w:tab w:val="num" w:pos="1224"/>
        </w:tabs>
        <w:ind w:left="1224" w:hanging="864"/>
      </w:pPr>
      <w:rPr>
        <w:rFonts w:cs="Times New Roman" w:hint="default"/>
      </w:rPr>
    </w:lvl>
    <w:lvl w:ilvl="4">
      <w:start w:val="1"/>
      <w:numFmt w:val="decimal"/>
      <w:pStyle w:val="5"/>
      <w:lvlText w:val="%1.%2.%3.%4.%5"/>
      <w:lvlJc w:val="left"/>
      <w:pPr>
        <w:tabs>
          <w:tab w:val="num" w:pos="1368"/>
        </w:tabs>
        <w:ind w:left="1368" w:hanging="1008"/>
      </w:pPr>
      <w:rPr>
        <w:rFonts w:cs="Times New Roman" w:hint="default"/>
      </w:rPr>
    </w:lvl>
    <w:lvl w:ilvl="5">
      <w:start w:val="1"/>
      <w:numFmt w:val="decimal"/>
      <w:pStyle w:val="6"/>
      <w:lvlText w:val="%1.%2.%3.%4.%5.%6"/>
      <w:lvlJc w:val="left"/>
      <w:pPr>
        <w:tabs>
          <w:tab w:val="num" w:pos="1512"/>
        </w:tabs>
        <w:ind w:left="1512" w:hanging="1152"/>
      </w:pPr>
      <w:rPr>
        <w:rFonts w:cs="Times New Roman" w:hint="default"/>
      </w:rPr>
    </w:lvl>
    <w:lvl w:ilvl="6">
      <w:start w:val="1"/>
      <w:numFmt w:val="decimal"/>
      <w:pStyle w:val="7"/>
      <w:lvlText w:val="%1.%2.%3.%4.%5.%6.%7"/>
      <w:lvlJc w:val="left"/>
      <w:pPr>
        <w:tabs>
          <w:tab w:val="num" w:pos="1656"/>
        </w:tabs>
        <w:ind w:left="1656" w:hanging="1296"/>
      </w:pPr>
      <w:rPr>
        <w:rFonts w:cs="Times New Roman" w:hint="default"/>
      </w:rPr>
    </w:lvl>
    <w:lvl w:ilvl="7">
      <w:start w:val="1"/>
      <w:numFmt w:val="decimal"/>
      <w:pStyle w:val="8"/>
      <w:lvlText w:val="%1.%2.%3.%4.%5.%6.%7.%8"/>
      <w:lvlJc w:val="left"/>
      <w:pPr>
        <w:tabs>
          <w:tab w:val="num" w:pos="1800"/>
        </w:tabs>
        <w:ind w:left="1800" w:hanging="1440"/>
      </w:pPr>
      <w:rPr>
        <w:rFonts w:cs="Times New Roman" w:hint="default"/>
      </w:rPr>
    </w:lvl>
    <w:lvl w:ilvl="8">
      <w:start w:val="1"/>
      <w:numFmt w:val="decimal"/>
      <w:pStyle w:val="9"/>
      <w:lvlText w:val="%1.%2.%3.%4.%5.%6.%7.%8.%9"/>
      <w:lvlJc w:val="left"/>
      <w:pPr>
        <w:tabs>
          <w:tab w:val="num" w:pos="1944"/>
        </w:tabs>
        <w:ind w:left="1944" w:hanging="1584"/>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46E"/>
    <w:rsid w:val="00014793"/>
    <w:rsid w:val="000206EA"/>
    <w:rsid w:val="00032C9A"/>
    <w:rsid w:val="00053BC1"/>
    <w:rsid w:val="00091759"/>
    <w:rsid w:val="000B464C"/>
    <w:rsid w:val="000B6CD3"/>
    <w:rsid w:val="000C6C4F"/>
    <w:rsid w:val="000F7F4A"/>
    <w:rsid w:val="00106848"/>
    <w:rsid w:val="001C5501"/>
    <w:rsid w:val="00201906"/>
    <w:rsid w:val="0021200D"/>
    <w:rsid w:val="0021584B"/>
    <w:rsid w:val="002B3A17"/>
    <w:rsid w:val="002F4A92"/>
    <w:rsid w:val="00340FED"/>
    <w:rsid w:val="00361854"/>
    <w:rsid w:val="0036252B"/>
    <w:rsid w:val="003666D0"/>
    <w:rsid w:val="003B3207"/>
    <w:rsid w:val="003D3EF4"/>
    <w:rsid w:val="00403B66"/>
    <w:rsid w:val="00453FE2"/>
    <w:rsid w:val="00453FEC"/>
    <w:rsid w:val="00464C23"/>
    <w:rsid w:val="004B3B13"/>
    <w:rsid w:val="004E4B6B"/>
    <w:rsid w:val="00593FA8"/>
    <w:rsid w:val="005C7C61"/>
    <w:rsid w:val="006004D0"/>
    <w:rsid w:val="006164B7"/>
    <w:rsid w:val="00623EF9"/>
    <w:rsid w:val="006521AE"/>
    <w:rsid w:val="00674D67"/>
    <w:rsid w:val="00691830"/>
    <w:rsid w:val="006A01B7"/>
    <w:rsid w:val="00703C63"/>
    <w:rsid w:val="00707D80"/>
    <w:rsid w:val="00711E00"/>
    <w:rsid w:val="0074525D"/>
    <w:rsid w:val="00786B8F"/>
    <w:rsid w:val="007923E0"/>
    <w:rsid w:val="00796684"/>
    <w:rsid w:val="007C0D8F"/>
    <w:rsid w:val="007D4E75"/>
    <w:rsid w:val="007E10DE"/>
    <w:rsid w:val="00823734"/>
    <w:rsid w:val="00842665"/>
    <w:rsid w:val="00874CC3"/>
    <w:rsid w:val="008807F3"/>
    <w:rsid w:val="008C0D72"/>
    <w:rsid w:val="00A114B5"/>
    <w:rsid w:val="00A13E38"/>
    <w:rsid w:val="00A51377"/>
    <w:rsid w:val="00A76B25"/>
    <w:rsid w:val="00A8346E"/>
    <w:rsid w:val="00A86024"/>
    <w:rsid w:val="00AC7D2D"/>
    <w:rsid w:val="00AD0658"/>
    <w:rsid w:val="00AF7ABD"/>
    <w:rsid w:val="00B20FD1"/>
    <w:rsid w:val="00BE693A"/>
    <w:rsid w:val="00C129E9"/>
    <w:rsid w:val="00C17D9B"/>
    <w:rsid w:val="00C21418"/>
    <w:rsid w:val="00C30D8C"/>
    <w:rsid w:val="00C65E60"/>
    <w:rsid w:val="00CB0764"/>
    <w:rsid w:val="00CC4E7C"/>
    <w:rsid w:val="00CE2DF3"/>
    <w:rsid w:val="00CF2CB2"/>
    <w:rsid w:val="00CF32A1"/>
    <w:rsid w:val="00D03E79"/>
    <w:rsid w:val="00D32E31"/>
    <w:rsid w:val="00D825B7"/>
    <w:rsid w:val="00D83D93"/>
    <w:rsid w:val="00DC5940"/>
    <w:rsid w:val="00DE515C"/>
    <w:rsid w:val="00DE6D65"/>
    <w:rsid w:val="00DF110F"/>
    <w:rsid w:val="00E4233F"/>
    <w:rsid w:val="00E66D6A"/>
    <w:rsid w:val="00E942B8"/>
    <w:rsid w:val="00EB7220"/>
    <w:rsid w:val="00ED654A"/>
    <w:rsid w:val="00F07C89"/>
    <w:rsid w:val="00F128E0"/>
    <w:rsid w:val="00FA1135"/>
    <w:rsid w:val="00FC4CF2"/>
    <w:rsid w:val="00FD595D"/>
    <w:rsid w:val="00FE2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37C21FC-8B85-4748-A956-FE35D37E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854"/>
    <w:pPr>
      <w:spacing w:after="200" w:line="276" w:lineRule="auto"/>
    </w:pPr>
    <w:rPr>
      <w:sz w:val="22"/>
      <w:szCs w:val="22"/>
    </w:rPr>
  </w:style>
  <w:style w:type="paragraph" w:styleId="1">
    <w:name w:val="heading 1"/>
    <w:basedOn w:val="a"/>
    <w:next w:val="a"/>
    <w:link w:val="10"/>
    <w:uiPriority w:val="9"/>
    <w:qFormat/>
    <w:rsid w:val="00B20FD1"/>
    <w:pPr>
      <w:keepNext/>
      <w:pageBreakBefore/>
      <w:numPr>
        <w:numId w:val="2"/>
      </w:numPr>
      <w:spacing w:before="240" w:after="60" w:line="360" w:lineRule="auto"/>
      <w:outlineLvl w:val="0"/>
    </w:pPr>
    <w:rPr>
      <w:rFonts w:ascii="Times New Roman" w:hAnsi="Times New Roman" w:cs="Arial"/>
      <w:b/>
      <w:bCs/>
      <w:kern w:val="32"/>
      <w:sz w:val="28"/>
      <w:szCs w:val="32"/>
    </w:rPr>
  </w:style>
  <w:style w:type="paragraph" w:styleId="2">
    <w:name w:val="heading 2"/>
    <w:basedOn w:val="a"/>
    <w:next w:val="a"/>
    <w:link w:val="20"/>
    <w:uiPriority w:val="9"/>
    <w:qFormat/>
    <w:rsid w:val="00B20FD1"/>
    <w:pPr>
      <w:keepNext/>
      <w:numPr>
        <w:ilvl w:val="1"/>
        <w:numId w:val="2"/>
      </w:numPr>
      <w:spacing w:before="240" w:after="60" w:line="360" w:lineRule="auto"/>
      <w:outlineLvl w:val="1"/>
    </w:pPr>
    <w:rPr>
      <w:rFonts w:ascii="Times New Roman" w:hAnsi="Times New Roman" w:cs="Arial"/>
      <w:b/>
      <w:bCs/>
      <w:iCs/>
      <w:sz w:val="28"/>
      <w:szCs w:val="28"/>
    </w:rPr>
  </w:style>
  <w:style w:type="paragraph" w:styleId="4">
    <w:name w:val="heading 4"/>
    <w:basedOn w:val="a"/>
    <w:next w:val="a"/>
    <w:link w:val="40"/>
    <w:uiPriority w:val="9"/>
    <w:qFormat/>
    <w:rsid w:val="00B20FD1"/>
    <w:pPr>
      <w:keepNext/>
      <w:numPr>
        <w:ilvl w:val="3"/>
        <w:numId w:val="2"/>
      </w:numPr>
      <w:spacing w:before="240" w:after="60" w:line="360" w:lineRule="auto"/>
      <w:outlineLvl w:val="3"/>
    </w:pPr>
    <w:rPr>
      <w:rFonts w:ascii="Times New Roman" w:hAnsi="Times New Roman"/>
      <w:b/>
      <w:bCs/>
      <w:sz w:val="28"/>
      <w:szCs w:val="28"/>
    </w:rPr>
  </w:style>
  <w:style w:type="paragraph" w:styleId="5">
    <w:name w:val="heading 5"/>
    <w:basedOn w:val="a"/>
    <w:next w:val="a"/>
    <w:link w:val="50"/>
    <w:uiPriority w:val="9"/>
    <w:qFormat/>
    <w:rsid w:val="00B20FD1"/>
    <w:pPr>
      <w:keepNext/>
      <w:numPr>
        <w:ilvl w:val="4"/>
        <w:numId w:val="2"/>
      </w:numPr>
      <w:spacing w:before="240" w:after="60" w:line="360" w:lineRule="auto"/>
      <w:outlineLvl w:val="4"/>
    </w:pPr>
    <w:rPr>
      <w:rFonts w:ascii="Times New Roman" w:hAnsi="Times New Roman"/>
      <w:b/>
      <w:bCs/>
      <w:i/>
      <w:iCs/>
      <w:sz w:val="26"/>
      <w:szCs w:val="26"/>
    </w:rPr>
  </w:style>
  <w:style w:type="paragraph" w:styleId="6">
    <w:name w:val="heading 6"/>
    <w:basedOn w:val="a"/>
    <w:next w:val="a"/>
    <w:link w:val="60"/>
    <w:uiPriority w:val="9"/>
    <w:qFormat/>
    <w:rsid w:val="00B20FD1"/>
    <w:pPr>
      <w:keepNext/>
      <w:numPr>
        <w:ilvl w:val="5"/>
        <w:numId w:val="2"/>
      </w:numPr>
      <w:spacing w:before="240" w:after="60" w:line="360" w:lineRule="auto"/>
      <w:outlineLvl w:val="5"/>
    </w:pPr>
    <w:rPr>
      <w:rFonts w:ascii="Times New Roman" w:hAnsi="Times New Roman"/>
      <w:b/>
      <w:bCs/>
    </w:rPr>
  </w:style>
  <w:style w:type="paragraph" w:styleId="7">
    <w:name w:val="heading 7"/>
    <w:basedOn w:val="a"/>
    <w:next w:val="a"/>
    <w:link w:val="70"/>
    <w:uiPriority w:val="99"/>
    <w:qFormat/>
    <w:rsid w:val="00B20FD1"/>
    <w:pPr>
      <w:keepNext/>
      <w:numPr>
        <w:ilvl w:val="6"/>
        <w:numId w:val="2"/>
      </w:numPr>
      <w:spacing w:before="240" w:after="60" w:line="360" w:lineRule="auto"/>
      <w:outlineLvl w:val="6"/>
    </w:pPr>
    <w:rPr>
      <w:rFonts w:ascii="Times New Roman" w:hAnsi="Times New Roman"/>
      <w:sz w:val="28"/>
      <w:szCs w:val="24"/>
    </w:rPr>
  </w:style>
  <w:style w:type="paragraph" w:styleId="8">
    <w:name w:val="heading 8"/>
    <w:basedOn w:val="a"/>
    <w:next w:val="a"/>
    <w:link w:val="80"/>
    <w:uiPriority w:val="99"/>
    <w:qFormat/>
    <w:rsid w:val="00B20FD1"/>
    <w:pPr>
      <w:keepNext/>
      <w:numPr>
        <w:ilvl w:val="7"/>
        <w:numId w:val="2"/>
      </w:numPr>
      <w:spacing w:before="240" w:after="60" w:line="360" w:lineRule="auto"/>
      <w:outlineLvl w:val="7"/>
    </w:pPr>
    <w:rPr>
      <w:rFonts w:ascii="Times New Roman" w:hAnsi="Times New Roman"/>
      <w:i/>
      <w:iCs/>
      <w:sz w:val="28"/>
      <w:szCs w:val="24"/>
    </w:rPr>
  </w:style>
  <w:style w:type="paragraph" w:styleId="9">
    <w:name w:val="heading 9"/>
    <w:basedOn w:val="a"/>
    <w:next w:val="a"/>
    <w:link w:val="90"/>
    <w:uiPriority w:val="99"/>
    <w:qFormat/>
    <w:rsid w:val="00B20FD1"/>
    <w:pPr>
      <w:keepNext/>
      <w:numPr>
        <w:ilvl w:val="8"/>
        <w:numId w:val="2"/>
      </w:numPr>
      <w:spacing w:before="240" w:after="60" w:line="36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0FD1"/>
    <w:rPr>
      <w:rFonts w:ascii="Times New Roman" w:hAnsi="Times New Roman" w:cs="Arial"/>
      <w:b/>
      <w:bCs/>
      <w:kern w:val="32"/>
      <w:sz w:val="32"/>
      <w:szCs w:val="32"/>
    </w:rPr>
  </w:style>
  <w:style w:type="character" w:customStyle="1" w:styleId="20">
    <w:name w:val="Заголовок 2 Знак"/>
    <w:link w:val="2"/>
    <w:uiPriority w:val="9"/>
    <w:locked/>
    <w:rsid w:val="00B20FD1"/>
    <w:rPr>
      <w:rFonts w:ascii="Times New Roman" w:hAnsi="Times New Roman" w:cs="Arial"/>
      <w:b/>
      <w:bCs/>
      <w:iCs/>
      <w:sz w:val="28"/>
      <w:szCs w:val="28"/>
    </w:rPr>
  </w:style>
  <w:style w:type="character" w:customStyle="1" w:styleId="40">
    <w:name w:val="Заголовок 4 Знак"/>
    <w:link w:val="4"/>
    <w:uiPriority w:val="9"/>
    <w:locked/>
    <w:rsid w:val="00B20FD1"/>
    <w:rPr>
      <w:rFonts w:ascii="Times New Roman" w:hAnsi="Times New Roman" w:cs="Times New Roman"/>
      <w:b/>
      <w:bCs/>
      <w:sz w:val="28"/>
      <w:szCs w:val="28"/>
    </w:rPr>
  </w:style>
  <w:style w:type="character" w:customStyle="1" w:styleId="50">
    <w:name w:val="Заголовок 5 Знак"/>
    <w:link w:val="5"/>
    <w:uiPriority w:val="9"/>
    <w:locked/>
    <w:rsid w:val="00B20FD1"/>
    <w:rPr>
      <w:rFonts w:ascii="Times New Roman" w:hAnsi="Times New Roman" w:cs="Times New Roman"/>
      <w:b/>
      <w:bCs/>
      <w:i/>
      <w:iCs/>
      <w:sz w:val="26"/>
      <w:szCs w:val="26"/>
    </w:rPr>
  </w:style>
  <w:style w:type="character" w:customStyle="1" w:styleId="60">
    <w:name w:val="Заголовок 6 Знак"/>
    <w:link w:val="6"/>
    <w:uiPriority w:val="9"/>
    <w:locked/>
    <w:rsid w:val="00B20FD1"/>
    <w:rPr>
      <w:rFonts w:ascii="Times New Roman" w:hAnsi="Times New Roman" w:cs="Times New Roman"/>
      <w:b/>
      <w:bCs/>
    </w:rPr>
  </w:style>
  <w:style w:type="character" w:customStyle="1" w:styleId="70">
    <w:name w:val="Заголовок 7 Знак"/>
    <w:link w:val="7"/>
    <w:uiPriority w:val="9"/>
    <w:locked/>
    <w:rsid w:val="00B20FD1"/>
    <w:rPr>
      <w:rFonts w:ascii="Times New Roman" w:hAnsi="Times New Roman" w:cs="Times New Roman"/>
      <w:sz w:val="24"/>
      <w:szCs w:val="24"/>
    </w:rPr>
  </w:style>
  <w:style w:type="character" w:customStyle="1" w:styleId="80">
    <w:name w:val="Заголовок 8 Знак"/>
    <w:link w:val="8"/>
    <w:uiPriority w:val="9"/>
    <w:locked/>
    <w:rsid w:val="00B20FD1"/>
    <w:rPr>
      <w:rFonts w:ascii="Times New Roman" w:hAnsi="Times New Roman" w:cs="Times New Roman"/>
      <w:i/>
      <w:iCs/>
      <w:sz w:val="24"/>
      <w:szCs w:val="24"/>
    </w:rPr>
  </w:style>
  <w:style w:type="character" w:customStyle="1" w:styleId="90">
    <w:name w:val="Заголовок 9 Знак"/>
    <w:link w:val="9"/>
    <w:uiPriority w:val="9"/>
    <w:locked/>
    <w:rsid w:val="00B20FD1"/>
    <w:rPr>
      <w:rFonts w:ascii="Arial" w:hAnsi="Arial" w:cs="Arial"/>
    </w:rPr>
  </w:style>
  <w:style w:type="paragraph" w:customStyle="1" w:styleId="3f3f3f3f3f3f3fWeb">
    <w:name w:val="О3fб3fы3fч3fн3fы3fй3f (Web)"/>
    <w:basedOn w:val="a"/>
    <w:uiPriority w:val="99"/>
    <w:rsid w:val="00E4233F"/>
    <w:pPr>
      <w:widowControl w:val="0"/>
      <w:autoSpaceDN w:val="0"/>
      <w:adjustRightInd w:val="0"/>
      <w:spacing w:before="100" w:after="100" w:line="240" w:lineRule="auto"/>
    </w:pPr>
    <w:rPr>
      <w:rFonts w:ascii="Times New Roman" w:hAnsi="Times New Roman"/>
      <w:color w:val="000000"/>
      <w:sz w:val="24"/>
      <w:szCs w:val="24"/>
    </w:rPr>
  </w:style>
  <w:style w:type="paragraph" w:styleId="a3">
    <w:name w:val="Balloon Text"/>
    <w:basedOn w:val="a"/>
    <w:link w:val="a4"/>
    <w:uiPriority w:val="99"/>
    <w:semiHidden/>
    <w:unhideWhenUsed/>
    <w:rsid w:val="00E4233F"/>
    <w:pPr>
      <w:spacing w:after="0" w:line="240" w:lineRule="auto"/>
    </w:pPr>
    <w:rPr>
      <w:rFonts w:ascii="Tahoma" w:hAnsi="Tahoma" w:cs="Tahoma"/>
      <w:sz w:val="16"/>
      <w:szCs w:val="16"/>
    </w:rPr>
  </w:style>
  <w:style w:type="character" w:customStyle="1" w:styleId="a4">
    <w:name w:val="Текст у виносці Знак"/>
    <w:link w:val="a3"/>
    <w:uiPriority w:val="99"/>
    <w:semiHidden/>
    <w:locked/>
    <w:rsid w:val="00E4233F"/>
    <w:rPr>
      <w:rFonts w:ascii="Tahoma" w:hAnsi="Tahoma" w:cs="Tahoma"/>
      <w:sz w:val="16"/>
      <w:szCs w:val="16"/>
    </w:rPr>
  </w:style>
  <w:style w:type="table" w:styleId="a5">
    <w:name w:val="Table Grid"/>
    <w:basedOn w:val="a1"/>
    <w:uiPriority w:val="59"/>
    <w:rsid w:val="00B20FD1"/>
    <w:pPr>
      <w:keepNext/>
      <w:spacing w:line="360" w:lineRule="auto"/>
      <w:ind w:firstLine="709"/>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E2DF3"/>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EB7220"/>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EB7220"/>
    <w:rPr>
      <w:rFonts w:cs="Times New Roman"/>
    </w:rPr>
  </w:style>
  <w:style w:type="paragraph" w:styleId="a9">
    <w:name w:val="footer"/>
    <w:basedOn w:val="a"/>
    <w:link w:val="aa"/>
    <w:uiPriority w:val="99"/>
    <w:semiHidden/>
    <w:unhideWhenUsed/>
    <w:rsid w:val="00EB7220"/>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EB7220"/>
    <w:rPr>
      <w:rFonts w:cs="Times New Roman"/>
    </w:rPr>
  </w:style>
  <w:style w:type="character" w:styleId="ab">
    <w:name w:val="Hyperlink"/>
    <w:uiPriority w:val="99"/>
    <w:semiHidden/>
    <w:unhideWhenUsed/>
    <w:rsid w:val="00453FEC"/>
    <w:rPr>
      <w:rFonts w:ascii="Tahoma" w:hAnsi="Tahoma" w:cs="Tahoma"/>
      <w:b/>
      <w:bCs/>
      <w:color w:val="000099"/>
      <w:sz w:val="20"/>
      <w:szCs w:val="20"/>
      <w:u w:val="single"/>
    </w:rPr>
  </w:style>
  <w:style w:type="character" w:styleId="ac">
    <w:name w:val="Strong"/>
    <w:uiPriority w:val="22"/>
    <w:qFormat/>
    <w:rsid w:val="00453FEC"/>
    <w:rPr>
      <w:rFonts w:ascii="Tahoma" w:hAnsi="Tahoma" w:cs="Tahoma"/>
      <w:b/>
      <w:bCs/>
      <w:color w:val="000099"/>
      <w:sz w:val="24"/>
      <w:szCs w:val="24"/>
    </w:rPr>
  </w:style>
  <w:style w:type="character" w:styleId="ad">
    <w:name w:val="Emphasis"/>
    <w:uiPriority w:val="20"/>
    <w:qFormat/>
    <w:rsid w:val="00453FEC"/>
    <w:rPr>
      <w:rFonts w:cs="Times New Roman"/>
      <w:i/>
      <w:iCs/>
    </w:rPr>
  </w:style>
  <w:style w:type="paragraph" w:styleId="3">
    <w:name w:val="Body Text Indent 3"/>
    <w:basedOn w:val="a"/>
    <w:link w:val="30"/>
    <w:uiPriority w:val="99"/>
    <w:semiHidden/>
    <w:unhideWhenUsed/>
    <w:rsid w:val="00E942B8"/>
    <w:pPr>
      <w:spacing w:after="120"/>
      <w:ind w:left="283"/>
    </w:pPr>
    <w:rPr>
      <w:sz w:val="16"/>
      <w:szCs w:val="16"/>
    </w:rPr>
  </w:style>
  <w:style w:type="character" w:customStyle="1" w:styleId="30">
    <w:name w:val="Основний текст з відступом 3 Знак"/>
    <w:link w:val="3"/>
    <w:uiPriority w:val="99"/>
    <w:semiHidden/>
    <w:locked/>
    <w:rsid w:val="00E942B8"/>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6533">
      <w:marLeft w:val="0"/>
      <w:marRight w:val="0"/>
      <w:marTop w:val="0"/>
      <w:marBottom w:val="0"/>
      <w:divBdr>
        <w:top w:val="none" w:sz="0" w:space="0" w:color="auto"/>
        <w:left w:val="none" w:sz="0" w:space="0" w:color="auto"/>
        <w:bottom w:val="none" w:sz="0" w:space="0" w:color="auto"/>
        <w:right w:val="none" w:sz="0" w:space="0" w:color="auto"/>
      </w:divBdr>
    </w:div>
    <w:div w:id="1816796534">
      <w:marLeft w:val="0"/>
      <w:marRight w:val="0"/>
      <w:marTop w:val="0"/>
      <w:marBottom w:val="0"/>
      <w:divBdr>
        <w:top w:val="none" w:sz="0" w:space="0" w:color="auto"/>
        <w:left w:val="none" w:sz="0" w:space="0" w:color="auto"/>
        <w:bottom w:val="none" w:sz="0" w:space="0" w:color="auto"/>
        <w:right w:val="none" w:sz="0" w:space="0" w:color="auto"/>
      </w:divBdr>
    </w:div>
    <w:div w:id="1816796535">
      <w:marLeft w:val="0"/>
      <w:marRight w:val="0"/>
      <w:marTop w:val="0"/>
      <w:marBottom w:val="0"/>
      <w:divBdr>
        <w:top w:val="none" w:sz="0" w:space="0" w:color="auto"/>
        <w:left w:val="none" w:sz="0" w:space="0" w:color="auto"/>
        <w:bottom w:val="none" w:sz="0" w:space="0" w:color="auto"/>
        <w:right w:val="none" w:sz="0" w:space="0" w:color="auto"/>
      </w:divBdr>
    </w:div>
    <w:div w:id="1816796536">
      <w:marLeft w:val="0"/>
      <w:marRight w:val="0"/>
      <w:marTop w:val="0"/>
      <w:marBottom w:val="0"/>
      <w:divBdr>
        <w:top w:val="none" w:sz="0" w:space="0" w:color="auto"/>
        <w:left w:val="none" w:sz="0" w:space="0" w:color="auto"/>
        <w:bottom w:val="none" w:sz="0" w:space="0" w:color="auto"/>
        <w:right w:val="none" w:sz="0" w:space="0" w:color="auto"/>
      </w:divBdr>
    </w:div>
    <w:div w:id="1816796537">
      <w:marLeft w:val="0"/>
      <w:marRight w:val="0"/>
      <w:marTop w:val="0"/>
      <w:marBottom w:val="0"/>
      <w:divBdr>
        <w:top w:val="none" w:sz="0" w:space="0" w:color="auto"/>
        <w:left w:val="none" w:sz="0" w:space="0" w:color="auto"/>
        <w:bottom w:val="none" w:sz="0" w:space="0" w:color="auto"/>
        <w:right w:val="none" w:sz="0" w:space="0" w:color="auto"/>
      </w:divBdr>
    </w:div>
    <w:div w:id="1816796538">
      <w:marLeft w:val="0"/>
      <w:marRight w:val="0"/>
      <w:marTop w:val="0"/>
      <w:marBottom w:val="0"/>
      <w:divBdr>
        <w:top w:val="none" w:sz="0" w:space="0" w:color="auto"/>
        <w:left w:val="none" w:sz="0" w:space="0" w:color="auto"/>
        <w:bottom w:val="none" w:sz="0" w:space="0" w:color="auto"/>
        <w:right w:val="none" w:sz="0" w:space="0" w:color="auto"/>
      </w:divBdr>
    </w:div>
    <w:div w:id="1816796539">
      <w:marLeft w:val="0"/>
      <w:marRight w:val="0"/>
      <w:marTop w:val="0"/>
      <w:marBottom w:val="0"/>
      <w:divBdr>
        <w:top w:val="none" w:sz="0" w:space="0" w:color="auto"/>
        <w:left w:val="none" w:sz="0" w:space="0" w:color="auto"/>
        <w:bottom w:val="none" w:sz="0" w:space="0" w:color="auto"/>
        <w:right w:val="none" w:sz="0" w:space="0" w:color="auto"/>
      </w:divBdr>
    </w:div>
    <w:div w:id="1816796540">
      <w:marLeft w:val="0"/>
      <w:marRight w:val="0"/>
      <w:marTop w:val="0"/>
      <w:marBottom w:val="0"/>
      <w:divBdr>
        <w:top w:val="none" w:sz="0" w:space="0" w:color="auto"/>
        <w:left w:val="none" w:sz="0" w:space="0" w:color="auto"/>
        <w:bottom w:val="none" w:sz="0" w:space="0" w:color="auto"/>
        <w:right w:val="none" w:sz="0" w:space="0" w:color="auto"/>
      </w:divBdr>
    </w:div>
    <w:div w:id="1816796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oleObject" Target="embeddings/______Microsoft_Excel_97-20034.xls"/><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oleObject" Target="embeddings/______Microsoft_Excel_97-20033.xls"/><Relationship Id="rId10" Type="http://schemas.openxmlformats.org/officeDocument/2006/relationships/oleObject" Target="embeddings/_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заседов андрей</dc:creator>
  <cp:keywords/>
  <dc:description/>
  <cp:lastModifiedBy>Irina</cp:lastModifiedBy>
  <cp:revision>2</cp:revision>
  <dcterms:created xsi:type="dcterms:W3CDTF">2014-08-08T05:27:00Z</dcterms:created>
  <dcterms:modified xsi:type="dcterms:W3CDTF">2014-08-08T05:27:00Z</dcterms:modified>
</cp:coreProperties>
</file>