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78" w:rsidRDefault="00377A78">
      <w:pPr>
        <w:pStyle w:val="21"/>
      </w:pPr>
      <w:r>
        <w:t>Пожарная безопасность и анализ опасностей возникающих при работе в вычислительном центре, требования безопасности предъявляемые к помещениям, оборудованию и технологии.</w:t>
      </w:r>
    </w:p>
    <w:p w:rsidR="00377A78" w:rsidRDefault="00377A78">
      <w:pPr>
        <w:widowControl w:val="0"/>
        <w:spacing w:before="0" w:after="0"/>
        <w:ind w:firstLine="567"/>
        <w:jc w:val="center"/>
        <w:rPr>
          <w:b/>
          <w:bCs/>
          <w:sz w:val="28"/>
          <w:szCs w:val="28"/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Пожары наносят громадный материальный ущерб и в ряде случаев сопровождаются гибелью людей. Поэтому защита от пожаров является важнейшей обязанностью каждого члена общества и проводится в общегосударственном масштабе.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Противопожарная защита имеет своей целью изыскание наиболее эффективных,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Пожарная безопасность – это состояние объекта, при котором исключается возможность пожара, а в случае его возникновения используются необходимые меры по устранению негативного влияния опасных факторов пожара на людей, сооружения и материальных ценностей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Пожарная безопасность может быть обеспечена мерами пожарной профилактики и активной пожарной защиты. Пожарная профилактика включает комплекс мероприятий, направленных на предупреждение пожара или уменьшение его последствий. Активная пожарная защита </w:t>
      </w:r>
      <w:r>
        <w:rPr>
          <w:lang w:val="ru-RU"/>
        </w:rPr>
        <w:sym w:font="Symbol" w:char="F02D"/>
      </w:r>
      <w:r>
        <w:rPr>
          <w:lang w:val="ru-RU"/>
        </w:rPr>
        <w:t xml:space="preserve"> меры, обеспечивающие успешную борьбу с пожарами или взрывоопасной ситуацией.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1.1 Пожар как фактор техногенной катастрофы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Пожар – это горение вне специального очага, которое не контролируется и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может привести к массовому поражению и гибели людей, а также к нанесению экологического, материального и другого вреда.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Горение </w:t>
      </w:r>
      <w:r>
        <w:rPr>
          <w:lang w:val="ru-RU"/>
        </w:rPr>
        <w:sym w:font="Symbol" w:char="F02D"/>
      </w:r>
      <w:r>
        <w:rPr>
          <w:lang w:val="ru-RU"/>
        </w:rPr>
        <w:t xml:space="preserve"> это химическая реакция окисления, сопровождающаяся выделением теплоты и света. Для возникновения горения требуется наличие трех факторов: горючего вещества, окислителя и источника загорания. Окислителями могут быть кислород, хлор, фтор, бром, йод, окиси азота и другие. Кроме того, необходимо чтобы горючее вещество было нагрето до определенной температуры и находилось в определенном количественном соотношении с окислителем, а источник загорания имел определенную энергию.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Наибольшая скорость горения наблюдается в чистом кислороде. При уменьшении содержания кислорода в воздухе горение прекращается. Горение при достаточной и надмерной концентрации окислителя называется полным, а при его нехватке – неполным.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Выделяют три основных вида самоускорения химической реакции при горении: тепловой, цепной и цепочно-тепловой. Тепловой механизм связан с экзотермичностью процесса окисления и возрастанием скорости химической реакции с повышением температуры. Цепное ускорение реакции связано с катализом превращений, которое осуществляют промежуточные продукты превращений. Реальные процессы горения осуществляются, как правило, по комбинированному (цепочно-тепловой) механизму.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Процесс возникновения горения подразделяется на несколько видов.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Вспышка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быстрое сгорание горючей смеси, не сопровождающееся образованием сжатых газов.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Возгорание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возникновение горения под воздействием источника зажигания.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Воспламенение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возгорание, сопровождающееся появлением пламени.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Самовозгорание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явление резкого увеличения скорости экзотермических реакций, приводящее к возникновению горения вещества при отсутствии источника зажигания. Различают несколько видов самовозгорания :</w:t>
      </w:r>
    </w:p>
    <w:p w:rsidR="00377A78" w:rsidRDefault="00377A78">
      <w:pPr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before="0" w:after="0"/>
        <w:ind w:left="927"/>
        <w:jc w:val="both"/>
        <w:rPr>
          <w:lang w:val="ru-RU"/>
        </w:rPr>
      </w:pPr>
      <w:r>
        <w:rPr>
          <w:lang w:val="ru-RU"/>
        </w:rPr>
        <w:t>химическое– от воздействия на горючие вещества кислорода, воздуха, воды или взаимодействия веществ;</w:t>
      </w:r>
    </w:p>
    <w:p w:rsidR="00377A78" w:rsidRDefault="00377A78">
      <w:pPr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before="0" w:after="0"/>
        <w:ind w:left="927"/>
        <w:jc w:val="both"/>
        <w:rPr>
          <w:lang w:val="ru-RU"/>
        </w:rPr>
      </w:pPr>
      <w:r>
        <w:rPr>
          <w:lang w:val="ru-RU"/>
        </w:rPr>
        <w:t>микробиологическое – происходит при определенной влажности и температуры в растительных продуктах (самовозгорание зерна);</w:t>
      </w:r>
    </w:p>
    <w:p w:rsidR="00377A78" w:rsidRDefault="00377A78">
      <w:pPr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before="0" w:after="0"/>
        <w:ind w:left="927"/>
        <w:jc w:val="both"/>
        <w:rPr>
          <w:lang w:val="ru-RU"/>
        </w:rPr>
      </w:pPr>
      <w:r>
        <w:rPr>
          <w:lang w:val="ru-RU"/>
        </w:rPr>
        <w:t>тепловое – вследствие долговременного воздействия незначительных источников тепла (например, при температуре 100 С тирса, ДВП и другие склоны к самовозгоранию).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Самовоспламенение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самовозгорание, сопровождается появлением пламени.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Взрыв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чрезвычайно быстрое (взрывчатое) превращение, сопровождающееся выделением энергии с образованием сжатых газов.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Основными показателями пожарной опасности являются температура самовоспламенения и концентрационные пределы воспламенения.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Температура самовоспламенения характеризует минимальную температуру вещества, при которой происходит резкое увеличение скорости экзотермических реакций, заканчивающееся возникновением пламенного горения.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Температура вспышки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самая низкая (в условиях специальных испытаний) температура горючего вещества, при которой над поверхностью образуются пары и газы, способные вспыхивать в воздухе от источника зажигания, но скорость их образования еще недостаточна для последующего горения.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По этой характеристике горючие жидкости делятся на 2 класса: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1) жидкости с </w:t>
      </w:r>
      <w:r>
        <w:rPr>
          <w:b/>
          <w:bCs/>
          <w:i/>
          <w:iCs/>
          <w:lang w:val="ru-RU"/>
        </w:rPr>
        <w:t>t</w:t>
      </w:r>
      <w:r>
        <w:rPr>
          <w:b/>
          <w:bCs/>
          <w:i/>
          <w:iCs/>
          <w:vertAlign w:val="subscript"/>
          <w:lang w:val="ru-RU"/>
        </w:rPr>
        <w:t>всп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sym w:font="Symbol" w:char="F03C"/>
      </w:r>
      <w:r>
        <w:rPr>
          <w:lang w:val="ru-RU"/>
        </w:rPr>
        <w:t xml:space="preserve"> 61</w:t>
      </w:r>
      <w:r>
        <w:rPr>
          <w:vertAlign w:val="superscript"/>
          <w:lang w:val="ru-RU"/>
        </w:rPr>
        <w:t xml:space="preserve">0 </w:t>
      </w:r>
      <w:r>
        <w:rPr>
          <w:lang w:val="ru-RU"/>
        </w:rPr>
        <w:t xml:space="preserve">C (бензин, этиловый спирт, ацетон, нитроэмали и т.д.) </w:t>
      </w:r>
      <w:r>
        <w:rPr>
          <w:lang w:val="ru-RU"/>
        </w:rPr>
        <w:sym w:font="Symbol" w:char="F02D"/>
      </w:r>
      <w:r>
        <w:rPr>
          <w:lang w:val="ru-RU"/>
        </w:rPr>
        <w:t xml:space="preserve"> легковоспламеняющиеся жидкости (ЛВЖ); 2) жидкости с </w:t>
      </w:r>
      <w:r>
        <w:rPr>
          <w:b/>
          <w:bCs/>
          <w:i/>
          <w:iCs/>
          <w:lang w:val="ru-RU"/>
        </w:rPr>
        <w:t>t</w:t>
      </w:r>
      <w:r>
        <w:rPr>
          <w:b/>
          <w:bCs/>
          <w:i/>
          <w:iCs/>
          <w:vertAlign w:val="subscript"/>
          <w:lang w:val="ru-RU"/>
        </w:rPr>
        <w:t>всп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sym w:font="Symbol" w:char="F03E"/>
      </w:r>
      <w:r>
        <w:rPr>
          <w:lang w:val="ru-RU"/>
        </w:rPr>
        <w:t xml:space="preserve"> 61</w:t>
      </w:r>
      <w:r>
        <w:rPr>
          <w:vertAlign w:val="superscript"/>
          <w:lang w:val="ru-RU"/>
        </w:rPr>
        <w:t xml:space="preserve">0 </w:t>
      </w:r>
      <w:r>
        <w:rPr>
          <w:lang w:val="ru-RU"/>
        </w:rPr>
        <w:t xml:space="preserve">C (масло, мазут, формалин и др.) </w:t>
      </w:r>
      <w:r>
        <w:rPr>
          <w:lang w:val="ru-RU"/>
        </w:rPr>
        <w:sym w:font="Symbol" w:char="F02D"/>
      </w:r>
      <w:r>
        <w:rPr>
          <w:lang w:val="ru-RU"/>
        </w:rPr>
        <w:t xml:space="preserve"> горючие жидкости (ГЖ).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Температура воспламенения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температура горения вещества, при которой оно выделяет горючие пары и газы с такой скоростью, что после воспламенения их от источника зажигание возникает устойчивое горение.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Температурные пределы воспламенения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температуры, при которых насыщенные пары вещества образуют в данной окислительной среде концентрации, равные соответственно нижнему и верхнему концентрационным пределам воспламенения жидкостей.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Горючими называются вещества, способные самостоятельно гореть после изъятия источника загорания.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По степени горючести вещества делятся на: горючие (сгораемые), трудногорючие (трудносгораемые) и негорючие (несгораемые).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К горючим относятся такие вещества, которые при воспламенении посторонним источником продолжают гореть и после его удаления.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К трудногорючим относятся такие вещества, которые не способны распространять пламя и горят лишь в месте воздействия источника зажигания.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Негорючими являются вещества, не воспламеняющиеся даже при воздействии достаточно мощных источников зажигания (импульсов).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Горючие вещества могут быть в трех агрегатных состояниях: жидком, твердом и газообразном. Большинство горючих веществ независимо от агрегатного состояния при нагревании образует газообразные продукты, которые при смешении с воздухом, содержащим определенное количество кислорода, образуют горючую среду. Горючая среда может образоваться при тонкодисперсном распылении твердых и жидких веществ.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Из горючих газов и пыли образуются горючие смеси при любой температуре, в то время как твердые вещества и жидкости могут образовать горючие смеси только при определенных температурах.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 производственных условиях может иметь место образование смесей горючих газов или паров в любых количественных соотношениях. Однако взрывоопасными эти смеси могут быть только тогда, когда концентрация горючего газа или пара находится между границами воспламеняемых концентраций.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Минимальная концентрация горючих газов и паров в воздухе, при которой они способны загораться и распространять пламя, называющееся </w:t>
      </w:r>
      <w:r>
        <w:rPr>
          <w:i/>
          <w:iCs/>
          <w:lang w:val="ru-RU"/>
        </w:rPr>
        <w:t>нижним концентрационным пределом воспламенения</w:t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i/>
          <w:iCs/>
          <w:lang w:val="ru-RU"/>
        </w:rPr>
      </w:pPr>
      <w:r>
        <w:rPr>
          <w:lang w:val="ru-RU"/>
        </w:rPr>
        <w:t xml:space="preserve">Максимальная концентрация горючих газов и паров, при которой еще возможно распространение пламени, называется </w:t>
      </w:r>
      <w:r>
        <w:rPr>
          <w:i/>
          <w:iCs/>
          <w:lang w:val="ru-RU"/>
        </w:rPr>
        <w:t>верхним концентрационным пределом воспламенения.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Указанные пределы зависят от температуры газов и паров: при увеличении температуры на 100 </w:t>
      </w:r>
      <w:r>
        <w:rPr>
          <w:vertAlign w:val="superscript"/>
          <w:lang w:val="ru-RU"/>
        </w:rPr>
        <w:t>0</w:t>
      </w:r>
      <w:r>
        <w:rPr>
          <w:lang w:val="ru-RU"/>
        </w:rPr>
        <w:t>С величины нижних пределов воспламенения уменьшаются на 8</w:t>
      </w:r>
      <w:r>
        <w:rPr>
          <w:lang w:val="ru-RU"/>
        </w:rPr>
        <w:sym w:font="Symbol" w:char="F02D"/>
      </w:r>
      <w:r>
        <w:rPr>
          <w:lang w:val="ru-RU"/>
        </w:rPr>
        <w:t xml:space="preserve">10 %, верхних </w:t>
      </w:r>
      <w:r>
        <w:rPr>
          <w:lang w:val="ru-RU"/>
        </w:rPr>
        <w:sym w:font="Symbol" w:char="F02D"/>
      </w:r>
      <w:r>
        <w:rPr>
          <w:lang w:val="ru-RU"/>
        </w:rPr>
        <w:t xml:space="preserve"> увеличиваются на 12</w:t>
      </w:r>
      <w:r>
        <w:rPr>
          <w:lang w:val="ru-RU"/>
        </w:rPr>
        <w:sym w:font="Symbol" w:char="F02D"/>
      </w:r>
      <w:r>
        <w:rPr>
          <w:lang w:val="ru-RU"/>
        </w:rPr>
        <w:t>15 %.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Пожарная опасность вещества тем больше, чем ниже нижний и выше верхний пределы воспламенения и чем ниже температура самовоспламенения.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Пыли горючих и некоторых не горючих веществ ( например алюминий, цинк ) могут в смеси с воздухом образовать горючие концентрации.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Наибольшую опасность по взрыву представляет взвешенная в воздухе пыль. Однако и осевшая на конструкциях пыль представляет опасность не только с точки зрения возникновения пожара, но и вторичного взрыва, вызываемого в результате взвихривания пыли при первичном взрыве.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Минимальная концентрация пыли в воздухе, при которой происходит ее загорание, называется </w:t>
      </w:r>
      <w:r>
        <w:rPr>
          <w:i/>
          <w:iCs/>
          <w:lang w:val="ru-RU"/>
        </w:rPr>
        <w:t>нижним пределом воспламенения пыли</w:t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Поскольку достижение очень больших концентраций пыли во взвешенном состоянии практически нереально, термин "верхний предел воспламенения" к пылям не применяется.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Воспламенение жидкости может произойти только в том случае, если над ее поверхностью имеется смесь паров с воздухом в определенном количественном соотношении, соответствующим нижнему температурному пределу воспламенения.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i/>
          <w:iCs/>
          <w:lang w:val="ru-RU"/>
        </w:rPr>
      </w:pPr>
      <w:r>
        <w:rPr>
          <w:i/>
          <w:iCs/>
          <w:lang w:val="ru-RU"/>
        </w:rPr>
        <w:t>1.2 Причины пожаров на машиностроительных предприятиях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Машиностроительные предприятия отличаются повышенной пожарной опасностью, так как характеризуется сложностью производственных процессов; наличием значительных количеств ЛВЖ и ГЖ, сжиженных горючих газов, твердых сгораемых материалов; большой оснащенностью электрическими установками и другое.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Причины: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1) Нарушение технологического режима </w:t>
      </w:r>
      <w:r>
        <w:rPr>
          <w:lang w:val="ru-RU"/>
        </w:rPr>
        <w:sym w:font="Symbol" w:char="F02D"/>
      </w:r>
      <w:r>
        <w:rPr>
          <w:lang w:val="ru-RU"/>
        </w:rPr>
        <w:t xml:space="preserve"> 33</w:t>
      </w:r>
      <w:r>
        <w:rPr>
          <w:lang w:val="ru-RU"/>
        </w:rPr>
        <w:sym w:font="Symbol" w:char="F025"/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2) Неисправность электрооборудования </w:t>
      </w:r>
      <w:r>
        <w:rPr>
          <w:lang w:val="ru-RU"/>
        </w:rPr>
        <w:sym w:font="Symbol" w:char="F02D"/>
      </w:r>
      <w:r>
        <w:rPr>
          <w:lang w:val="ru-RU"/>
        </w:rPr>
        <w:t xml:space="preserve"> 16 </w:t>
      </w:r>
      <w:r>
        <w:rPr>
          <w:lang w:val="ru-RU"/>
        </w:rPr>
        <w:sym w:font="Symbol" w:char="F025"/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3) Плохая подготовка к ремонту оборудования </w:t>
      </w:r>
      <w:r>
        <w:rPr>
          <w:lang w:val="ru-RU"/>
        </w:rPr>
        <w:sym w:font="Symbol" w:char="F02D"/>
      </w:r>
      <w:r>
        <w:rPr>
          <w:lang w:val="ru-RU"/>
        </w:rPr>
        <w:t xml:space="preserve"> 13</w:t>
      </w:r>
      <w:r>
        <w:rPr>
          <w:lang w:val="ru-RU"/>
        </w:rPr>
        <w:sym w:font="Symbol" w:char="F025"/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4) Самовозгорание промасленной ветоши и других материалов </w:t>
      </w:r>
      <w:r>
        <w:rPr>
          <w:lang w:val="ru-RU"/>
        </w:rPr>
        <w:sym w:font="Symbol" w:char="F02D"/>
      </w:r>
      <w:r>
        <w:rPr>
          <w:lang w:val="ru-RU"/>
        </w:rPr>
        <w:t xml:space="preserve"> 10</w:t>
      </w:r>
      <w:r>
        <w:rPr>
          <w:lang w:val="ru-RU"/>
        </w:rPr>
        <w:sym w:font="Symbol" w:char="F025"/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А также нарушение норм и правил хранения пожароопасных материалов, неосторожное обращение с огнем, использование открытого огня факелов, па-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яльных ламп, курение в запрещенных местах, невыполнение противопожарных мероприятий по оборудованию пожарного водоснабжение, пожарной сигнализации, обеспечение первичными средствами пожаротушения и др.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Основы противопожарной защиты предприятий определены стандартами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ГОСТ 12.1. 004 </w:t>
      </w:r>
      <w:r>
        <w:rPr>
          <w:lang w:val="ru-RU"/>
        </w:rPr>
        <w:sym w:font="Symbol" w:char="F02D"/>
      </w:r>
      <w:r>
        <w:rPr>
          <w:lang w:val="ru-RU"/>
        </w:rPr>
        <w:t xml:space="preserve"> 76 "Пожарная безопасность"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ГОСТ 12.1.010 </w:t>
      </w:r>
      <w:r>
        <w:rPr>
          <w:lang w:val="ru-RU"/>
        </w:rPr>
        <w:sym w:font="Symbol" w:char="F02D"/>
      </w:r>
      <w:r>
        <w:rPr>
          <w:lang w:val="ru-RU"/>
        </w:rPr>
        <w:t xml:space="preserve"> 76 "Взрывобезопасность. Общие требования"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Этими ГОСТами возможная частота пожаров и взрывов допускается такой, чтобы вероятность их возникновения в течении года не превышала 10</w:t>
      </w:r>
      <w:r>
        <w:rPr>
          <w:vertAlign w:val="superscript"/>
          <w:lang w:val="ru-RU"/>
        </w:rPr>
        <w:sym w:font="Symbol" w:char="F02D"/>
      </w:r>
      <w:r>
        <w:rPr>
          <w:vertAlign w:val="superscript"/>
          <w:lang w:val="ru-RU"/>
        </w:rPr>
        <w:t xml:space="preserve">6 </w:t>
      </w:r>
      <w:r>
        <w:rPr>
          <w:lang w:val="ru-RU"/>
        </w:rPr>
        <w:t>или чтобы вероятность воздействия опасных факторов на людей в течении года не превышала 10</w:t>
      </w:r>
      <w:r>
        <w:rPr>
          <w:vertAlign w:val="superscript"/>
          <w:lang w:val="ru-RU"/>
        </w:rPr>
        <w:sym w:font="Symbol" w:char="F02D"/>
      </w:r>
      <w:r>
        <w:rPr>
          <w:vertAlign w:val="superscript"/>
          <w:lang w:val="ru-RU"/>
        </w:rPr>
        <w:t xml:space="preserve">6 </w:t>
      </w:r>
      <w:r>
        <w:rPr>
          <w:lang w:val="ru-RU"/>
        </w:rPr>
        <w:t>на человека.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Мероприятия по пожарной профилактике разделяются на организационные, технические, режимные и эксплуатационные.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Организационные мероприятия</w:t>
      </w:r>
      <w:r>
        <w:rPr>
          <w:lang w:val="ru-RU"/>
        </w:rPr>
        <w:t>: предусматривают правильную эксплуатацию машин и внутризаводского транспорта, правильное содержание зданий, территории, противопожарный инструктаж и тому подобное.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Технические мероприятия</w:t>
      </w:r>
      <w:r>
        <w:rPr>
          <w:lang w:val="ru-RU"/>
        </w:rPr>
        <w:t>: соблюдение противопожарных правил и норм при проектировании зданий, при устройстве электропроводов и оборудования, отопления, вентиляции, освещения, правильное размещение оборудования.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Режимные мероприятия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запрещение курения в неустановленных местах, запрещение сварочных и других огневых работ в пожароопасных помещениях и тому подобное.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Эксплуатационные мероприятия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своевременная профилактика, осмотры, ремонты и испытание технологического оборудования.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1.3 Оценка пожарной опасности промышленных предприятий</w:t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 соответствии со СНиП 2</w:t>
      </w:r>
      <w:r>
        <w:rPr>
          <w:lang w:val="ru-RU"/>
        </w:rPr>
        <w:sym w:font="Symbol" w:char="F02D"/>
      </w:r>
      <w:r>
        <w:rPr>
          <w:lang w:val="ru-RU"/>
        </w:rPr>
        <w:t>2</w:t>
      </w:r>
      <w:r>
        <w:rPr>
          <w:lang w:val="ru-RU"/>
        </w:rPr>
        <w:sym w:font="Symbol" w:char="F02D"/>
      </w:r>
      <w:r>
        <w:rPr>
          <w:lang w:val="ru-RU"/>
        </w:rPr>
        <w:t>80 все производства делят по пожарной, взрывной и взрывопожарной опасности на 6 категорий.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lang w:val="ru-RU"/>
        </w:rPr>
        <w:t>А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взрывопожароопасные: производства, в которых применяют горючие газы с нижним пределом воспламенения 10</w:t>
      </w:r>
      <w:r>
        <w:rPr>
          <w:lang w:val="ru-RU"/>
        </w:rPr>
        <w:sym w:font="Symbol" w:char="F025"/>
      </w:r>
      <w:r>
        <w:rPr>
          <w:lang w:val="ru-RU"/>
        </w:rPr>
        <w:t xml:space="preserve"> и ниже, жидкости с </w:t>
      </w:r>
      <w:r>
        <w:rPr>
          <w:b/>
          <w:bCs/>
          <w:i/>
          <w:iCs/>
          <w:lang w:val="ru-RU"/>
        </w:rPr>
        <w:t>t</w:t>
      </w:r>
      <w:r>
        <w:rPr>
          <w:b/>
          <w:bCs/>
          <w:i/>
          <w:iCs/>
          <w:vertAlign w:val="subscript"/>
          <w:lang w:val="ru-RU"/>
        </w:rPr>
        <w:t>всп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sym w:font="Symbol" w:char="F0A3"/>
      </w:r>
      <w:r>
        <w:rPr>
          <w:lang w:val="ru-RU"/>
        </w:rPr>
        <w:t xml:space="preserve"> 28</w:t>
      </w:r>
      <w:r>
        <w:rPr>
          <w:vertAlign w:val="superscript"/>
          <w:lang w:val="ru-RU"/>
        </w:rPr>
        <w:t xml:space="preserve">0 </w:t>
      </w:r>
      <w:r>
        <w:rPr>
          <w:lang w:val="ru-RU"/>
        </w:rPr>
        <w:t xml:space="preserve">C при условии, что газы и жидкости могут образовывать взрывоопасные смеси в объеме, превышающем 5 </w:t>
      </w:r>
      <w:r>
        <w:rPr>
          <w:lang w:val="ru-RU"/>
        </w:rPr>
        <w:sym w:font="Symbol" w:char="F025"/>
      </w:r>
      <w:r>
        <w:rPr>
          <w:lang w:val="ru-RU"/>
        </w:rPr>
        <w:t xml:space="preserve"> объема помещения, а также вещества которые способны взрываться и гореть при взаимодействии с водой, кислородом воздуха или друг с другом (окрасочные цехи, цехи с наличием горючих газов и тому подобное).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Б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взрывопожароопасные: производства, в которых применяют горючие газы с нижним пределом воспламенения выше 10</w:t>
      </w:r>
      <w:r>
        <w:rPr>
          <w:lang w:val="ru-RU"/>
        </w:rPr>
        <w:sym w:font="Symbol" w:char="F025"/>
      </w:r>
      <w:r>
        <w:rPr>
          <w:lang w:val="ru-RU"/>
        </w:rPr>
        <w:t xml:space="preserve">; жидкости </w:t>
      </w:r>
      <w:r>
        <w:rPr>
          <w:b/>
          <w:bCs/>
          <w:i/>
          <w:iCs/>
          <w:lang w:val="ru-RU"/>
        </w:rPr>
        <w:t>t</w:t>
      </w:r>
      <w:r>
        <w:rPr>
          <w:b/>
          <w:bCs/>
          <w:i/>
          <w:iCs/>
          <w:vertAlign w:val="subscript"/>
          <w:lang w:val="ru-RU"/>
        </w:rPr>
        <w:t>всп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=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28...61</w:t>
      </w:r>
      <w:r>
        <w:rPr>
          <w:vertAlign w:val="superscript"/>
          <w:lang w:val="ru-RU"/>
        </w:rPr>
        <w:t>0</w:t>
      </w:r>
      <w:r>
        <w:rPr>
          <w:lang w:val="ru-RU"/>
        </w:rPr>
        <w:t xml:space="preserve">С включительно; горючие пыли и волокна, нижний концентрационный предел воспламенения которых 65 </w:t>
      </w:r>
      <w:r>
        <w:rPr>
          <w:vertAlign w:val="superscript"/>
          <w:lang w:val="ru-RU"/>
        </w:rPr>
        <w:t>Г</w:t>
      </w:r>
      <w:r>
        <w:rPr>
          <w:lang w:val="ru-RU"/>
        </w:rPr>
        <w:t>/м</w:t>
      </w:r>
      <w:r>
        <w:rPr>
          <w:vertAlign w:val="superscript"/>
          <w:lang w:val="ru-RU"/>
        </w:rPr>
        <w:t xml:space="preserve">3 </w:t>
      </w:r>
      <w:r>
        <w:rPr>
          <w:lang w:val="ru-RU"/>
        </w:rPr>
        <w:t xml:space="preserve">и ниже, при условии, что газы и жидкости могут образовывать взрывоопасные смеси в объеме, превышающем 5 </w:t>
      </w:r>
      <w:r>
        <w:rPr>
          <w:lang w:val="ru-RU"/>
        </w:rPr>
        <w:sym w:font="Symbol" w:char="F025"/>
      </w:r>
      <w:r>
        <w:rPr>
          <w:lang w:val="ru-RU"/>
        </w:rPr>
        <w:t xml:space="preserve"> объема помещения (аммиак, древесная пыль).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В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пожароопасные: производства, в которых применяются горючие жидкости с </w:t>
      </w:r>
      <w:r>
        <w:rPr>
          <w:b/>
          <w:bCs/>
          <w:i/>
          <w:iCs/>
          <w:lang w:val="ru-RU"/>
        </w:rPr>
        <w:t>t</w:t>
      </w:r>
      <w:r>
        <w:rPr>
          <w:b/>
          <w:bCs/>
          <w:i/>
          <w:iCs/>
          <w:vertAlign w:val="subscript"/>
          <w:lang w:val="ru-RU"/>
        </w:rPr>
        <w:t>всп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sym w:font="Symbol" w:char="F03E"/>
      </w:r>
      <w:r>
        <w:rPr>
          <w:lang w:val="ru-RU"/>
        </w:rPr>
        <w:t xml:space="preserve"> 61</w:t>
      </w:r>
      <w:r>
        <w:rPr>
          <w:vertAlign w:val="superscript"/>
          <w:lang w:val="ru-RU"/>
        </w:rPr>
        <w:t>0</w:t>
      </w:r>
      <w:r>
        <w:rPr>
          <w:lang w:val="ru-RU"/>
        </w:rPr>
        <w:t xml:space="preserve">С и горючие пыли или волокна с нижним пределом воспламенения более 65 </w:t>
      </w:r>
      <w:r>
        <w:rPr>
          <w:vertAlign w:val="superscript"/>
          <w:lang w:val="ru-RU"/>
        </w:rPr>
        <w:t>Г</w:t>
      </w:r>
      <w:r>
        <w:rPr>
          <w:lang w:val="ru-RU"/>
        </w:rPr>
        <w:t>/м</w:t>
      </w:r>
      <w:r>
        <w:rPr>
          <w:vertAlign w:val="superscript"/>
          <w:lang w:val="ru-RU"/>
        </w:rPr>
        <w:t>3</w:t>
      </w:r>
      <w:r>
        <w:rPr>
          <w:lang w:val="ru-RU"/>
        </w:rPr>
        <w:t>, твердые сгораемые материалы, способные гореть, но не взрываться в контакте с воздухом, водой или друг с другом.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Г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производства, в которых используются негорючие вещества и материалы в горячем, раскаленном или расплавленном состоянии, а также твердые вещества, жидкости или газы, которые сжигаются в качестве топлива.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Д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производства, в которых обрабатываются негорючие вещества и материалы в холодном состоянии (цехи холодной обработки материалов и так далее).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Е</w:t>
      </w:r>
      <w:r>
        <w:rPr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взрывоопасные: производства, в которых применяют взрывоопасные вещества (горючие газы без жидкостной фазы и взрывоопасные пыли) в таком количестве при котором могут образовываться взрывоопасные смеси в объеме превышающем 5</w:t>
      </w:r>
      <w:r>
        <w:rPr>
          <w:lang w:val="ru-RU"/>
        </w:rPr>
        <w:sym w:font="Symbol" w:char="F025"/>
      </w:r>
      <w:r>
        <w:rPr>
          <w:lang w:val="ru-RU"/>
        </w:rPr>
        <w:t xml:space="preserve"> объема помещения, и в котором по условиям технологического процесса возможен только взрыв (без последующего горения); вещества, способные взрываться (без последующего горения) при взаимодействии с водой, кислородом воздуха или друг с другом.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Правила устройства электроустановок ПУЭ регламентируют устройство электрооборудования в промышленных помещениях и для наружных технологических установок на основе классификации взрывоопасных зон и смесей.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Зона класса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3F"/>
      </w:r>
      <w:r>
        <w:rPr>
          <w:lang w:val="ru-RU"/>
        </w:rPr>
        <w:t>. Помещения, в которых могут образовываться взрывоопасные смеси паров и газов с воздухом при нормальных условиях работы (слив ЛВЖ в открытые сосуды).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Зона класса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49"/>
      </w:r>
      <w:r>
        <w:rPr>
          <w:lang w:val="ru-RU"/>
        </w:rPr>
        <w:t>а. Взрывоопасные смеси не образуются при нормальных условиях эксплуатации оборудования, но могут образоваться при авариях и неисправностях.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Зона класса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49"/>
      </w:r>
      <w:r>
        <w:rPr>
          <w:lang w:val="ru-RU"/>
        </w:rPr>
        <w:t>б: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а) помещения, в которых находятся горючие газы и пары с высоким нижним пределом воспламенения (15 </w:t>
      </w:r>
      <w:r>
        <w:rPr>
          <w:lang w:val="ru-RU"/>
        </w:rPr>
        <w:sym w:font="Symbol" w:char="F025"/>
      </w:r>
      <w:r>
        <w:rPr>
          <w:lang w:val="ru-RU"/>
        </w:rPr>
        <w:t xml:space="preserve"> и более) с резким запахом (аммиак);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б) помещения, в которых могут образовываться взрывоопасные смеси в объеме превышающем 5</w:t>
      </w:r>
      <w:r>
        <w:rPr>
          <w:lang w:val="ru-RU"/>
        </w:rPr>
        <w:sym w:font="Symbol" w:char="F025"/>
      </w:r>
      <w:r>
        <w:rPr>
          <w:lang w:val="ru-RU"/>
        </w:rPr>
        <w:t xml:space="preserve"> объема помещения.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Зона класса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49"/>
      </w:r>
      <w:r>
        <w:rPr>
          <w:lang w:val="ru-RU"/>
        </w:rPr>
        <w:t>в. Наружные установки, в которых находятся взрывоопасные газы, пары и ЛВЖ.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Зона класса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t>. Обработка горючих пылей и волокон, которые могут образовать взрывоопасные смеси при нормальном режиме работы.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Зона класса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t>а. В</w:t>
      </w:r>
      <w:r>
        <w:rPr>
          <w:lang w:val="ru-RU"/>
        </w:rPr>
        <w:sym w:font="Symbol" w:char="F02D"/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t xml:space="preserve"> при авариях или неисправностях.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Помещения и установки, в которых содержатся ГЖ и горючие пыли с нижним концентрационным пределом выше 65 </w:t>
      </w:r>
      <w:r>
        <w:rPr>
          <w:vertAlign w:val="superscript"/>
          <w:lang w:val="ru-RU"/>
        </w:rPr>
        <w:t>Г</w:t>
      </w:r>
      <w:r>
        <w:rPr>
          <w:lang w:val="ru-RU"/>
        </w:rPr>
        <w:t>/м</w:t>
      </w:r>
      <w:r>
        <w:rPr>
          <w:vertAlign w:val="superscript"/>
          <w:lang w:val="ru-RU"/>
        </w:rPr>
        <w:t>3</w:t>
      </w:r>
      <w:r>
        <w:rPr>
          <w:lang w:val="ru-RU"/>
        </w:rPr>
        <w:t>, относят к пожароопасным и классифицируют.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Зона класса П </w:t>
      </w:r>
      <w:r>
        <w:rPr>
          <w:lang w:val="ru-RU"/>
        </w:rPr>
        <w:sym w:font="Symbol" w:char="F02D"/>
      </w:r>
      <w:r>
        <w:rPr>
          <w:lang w:val="ru-RU"/>
        </w:rPr>
        <w:t xml:space="preserve"> </w:t>
      </w:r>
      <w:r>
        <w:rPr>
          <w:lang w:val="ru-RU"/>
        </w:rPr>
        <w:sym w:font="Times New Roman" w:char="0049"/>
      </w:r>
      <w:r>
        <w:rPr>
          <w:lang w:val="ru-RU"/>
        </w:rPr>
        <w:t>. Помещения, в которых содержатся ГЖ.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Зона класса П </w:t>
      </w:r>
      <w:r>
        <w:rPr>
          <w:lang w:val="ru-RU"/>
        </w:rPr>
        <w:sym w:font="Symbol" w:char="F02D"/>
      </w:r>
      <w:r>
        <w:rPr>
          <w:lang w:val="ru-RU"/>
        </w:rPr>
        <w:t xml:space="preserve"> </w:t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t xml:space="preserve">. Помещения, в которых содержатся горючие пыли с нижним концентрационным пределом выше 65 </w:t>
      </w:r>
      <w:r>
        <w:rPr>
          <w:vertAlign w:val="superscript"/>
          <w:lang w:val="ru-RU"/>
        </w:rPr>
        <w:t>Г</w:t>
      </w:r>
      <w:r>
        <w:rPr>
          <w:lang w:val="ru-RU"/>
        </w:rPr>
        <w:t>/м</w:t>
      </w:r>
      <w:r>
        <w:rPr>
          <w:vertAlign w:val="superscript"/>
          <w:lang w:val="ru-RU"/>
        </w:rPr>
        <w:t>3</w:t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Зона класса П </w:t>
      </w:r>
      <w:r>
        <w:rPr>
          <w:lang w:val="ru-RU"/>
        </w:rPr>
        <w:sym w:font="Symbol" w:char="F02D"/>
      </w:r>
      <w:r>
        <w:rPr>
          <w:lang w:val="ru-RU"/>
        </w:rPr>
        <w:t xml:space="preserve"> </w:t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t>а. Помещения, в которых содержатся твердые горючие вещества, не способные переходить во взвешенном состояние.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Установки класса П </w:t>
      </w:r>
      <w:r>
        <w:rPr>
          <w:lang w:val="ru-RU"/>
        </w:rPr>
        <w:sym w:font="Symbol" w:char="F02D"/>
      </w:r>
      <w:r>
        <w:rPr>
          <w:lang w:val="ru-RU"/>
        </w:rPr>
        <w:t xml:space="preserve"> </w:t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sym w:font="Times New Roman" w:char="0049"/>
      </w:r>
      <w:r>
        <w:rPr>
          <w:lang w:val="ru-RU"/>
        </w:rPr>
        <w:t>. Наружные установки, в которых содержатся ГЖ (</w:t>
      </w:r>
      <w:r>
        <w:rPr>
          <w:b/>
          <w:bCs/>
          <w:i/>
          <w:iCs/>
          <w:lang w:val="ru-RU"/>
        </w:rPr>
        <w:t>t</w:t>
      </w:r>
      <w:r>
        <w:rPr>
          <w:b/>
          <w:bCs/>
          <w:i/>
          <w:iCs/>
          <w:vertAlign w:val="subscript"/>
          <w:lang w:val="ru-RU"/>
        </w:rPr>
        <w:t xml:space="preserve">восп </w:t>
      </w:r>
      <w:r>
        <w:rPr>
          <w:lang w:val="ru-RU"/>
        </w:rPr>
        <w:sym w:font="Symbol" w:char="F03E"/>
      </w:r>
      <w:r>
        <w:rPr>
          <w:lang w:val="ru-RU"/>
        </w:rPr>
        <w:t xml:space="preserve"> 61</w:t>
      </w:r>
      <w:r>
        <w:rPr>
          <w:vertAlign w:val="superscript"/>
          <w:lang w:val="ru-RU"/>
        </w:rPr>
        <w:t>0</w:t>
      </w:r>
      <w:r>
        <w:rPr>
          <w:lang w:val="ru-RU"/>
        </w:rPr>
        <w:t>С) и твердые горючие вещества.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i/>
          <w:iCs/>
          <w:lang w:val="ru-RU"/>
        </w:rPr>
        <w:t>1.4 Огнетушащие вещества и аппараты пожаротушения</w:t>
      </w:r>
      <w:r>
        <w:rPr>
          <w:lang w:val="ru-RU"/>
        </w:rPr>
        <w:t>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 практике тушения пожаров наибольшее распространение получили следующие принципы прекращения горения: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1) изоляция очага горения от воздуха или снижение концентрации кислорода путем разбавления воздуха негорючими газами (углеводы CО</w:t>
      </w:r>
      <w:r>
        <w:rPr>
          <w:vertAlign w:val="subscript"/>
          <w:lang w:val="ru-RU"/>
        </w:rPr>
        <w:t xml:space="preserve">2 </w:t>
      </w:r>
      <w:r>
        <w:rPr>
          <w:lang w:val="ru-RU"/>
        </w:rPr>
        <w:sym w:font="Symbol" w:char="F03C"/>
      </w:r>
      <w:r>
        <w:rPr>
          <w:lang w:val="ru-RU"/>
        </w:rPr>
        <w:t xml:space="preserve"> 12</w:t>
      </w:r>
      <w:r>
        <w:rPr>
          <w:lang w:val="ru-RU"/>
        </w:rPr>
        <w:sym w:font="Symbol" w:char="F02D"/>
      </w:r>
      <w:r>
        <w:rPr>
          <w:lang w:val="ru-RU"/>
        </w:rPr>
        <w:t>14</w:t>
      </w:r>
      <w:r>
        <w:rPr>
          <w:lang w:val="ru-RU"/>
        </w:rPr>
        <w:sym w:font="Symbol" w:char="F025"/>
      </w:r>
      <w:r>
        <w:rPr>
          <w:lang w:val="ru-RU"/>
        </w:rPr>
        <w:t>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2) охлаждение очага горения ниже определенных температур;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3) интенсивное торможение (ингибирование) скорости химической реакции в пламени;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4) механический срыв пламени струей газа или воды;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5) создание условий огнепреграждения (условий, когда пламя распространяется через узкие каналы).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Вещества, которые создают условия при которых прекращается горение называются огнегасящими.Они должны быть дешевыми и безопасными в эксплуатации не приносить вреда материалам и объектам.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Вода</w:t>
      </w:r>
      <w:r>
        <w:rPr>
          <w:lang w:val="ru-RU"/>
        </w:rPr>
        <w:t xml:space="preserve"> является хорошим огнегасящим средством, обладающим следующими достоинствами: охлаждающее действие, разбавление горючей смеси паром (при испарении воды ее объем увеличивается в 1700 раз), механическое воздействие на пламя, доступность и низкая стоимость, химическая нейтральность.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Недостатки: нефтепродукты всплывают и продолжают гореть на поверхности воды; вода обладает высокой электропроводностью, поэтому ее нельзя применять для тушения пожаров на электроустановках под напряжением.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Тушение пожаров водой производят установками водяного пожаротушения, пожарными автомашинами и водяными стволами. Для подачи воды в эти установки используют водопроводы.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К установкам водяного пожаротушения относят спринклерные и дренчерные установки.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Спринклерная установка</w:t>
      </w:r>
      <w:r>
        <w:rPr>
          <w:lang w:val="ru-RU"/>
        </w:rPr>
        <w:t xml:space="preserve"> представляет собой разветвленную систему труб, заполненную водой и оборудованную спринклерными головками. Выходные отверстия спринклерных головок закрываются легкоплавкими замками, которые распаиваются при воздействии определенных температур (345, 366, 414 и 455 К). Вода из системы под давлением выходит из отверстия головки и орошает конструкции помещения и оборудование.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Дренчерные установки</w:t>
      </w:r>
      <w:r>
        <w:rPr>
          <w:lang w:val="ru-RU"/>
        </w:rPr>
        <w:t xml:space="preserve"> представляют собой систему трубопроводов, на которых расположены специальные головки</w:t>
      </w:r>
      <w:r>
        <w:rPr>
          <w:lang w:val="ru-RU"/>
        </w:rPr>
        <w:sym w:font="Symbol" w:char="F02D"/>
      </w:r>
      <w:r>
        <w:rPr>
          <w:lang w:val="ru-RU"/>
        </w:rPr>
        <w:t>дренчеры с открытыми выходными отверстиями диаметром 8, 10 и 12, 7 мм лопастного или розеточного типа, рассчитанные на орошение до 12 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площади пола.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Дренчерные установки могут быть ручного и автоматического действия. После приведения в действие вода заполняет систему и выливается через отверстия в дренчерных головках.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 xml:space="preserve">Пар </w:t>
      </w:r>
      <w:r>
        <w:rPr>
          <w:lang w:val="ru-RU"/>
        </w:rPr>
        <w:t>применяют в условиях ограниченного воздухообмена, а также в закрытых помещениях с наиболее опасными технологическими процессами. Гашение пожара паром осуществляется за счет изоляции поверхности горения от окружающей среды. При гашении необходимо создать концентрацию пара приблизительно 35 %.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Пены</w:t>
      </w:r>
      <w:r>
        <w:rPr>
          <w:lang w:val="ru-RU"/>
        </w:rPr>
        <w:t xml:space="preserve"> применяют для тушения твердых и жидких веществ, не вступающих во взаимодействие с водой. Огнегасящий эффект при этом достигается за счет изоляции поверхности горючего вещества от окружающего воздуха. Огнетушащие свойства пены определяются ее кратностью </w:t>
      </w:r>
      <w:r>
        <w:rPr>
          <w:lang w:val="ru-RU"/>
        </w:rPr>
        <w:sym w:font="Symbol" w:char="F02D"/>
      </w:r>
      <w:r>
        <w:rPr>
          <w:lang w:val="ru-RU"/>
        </w:rPr>
        <w:t xml:space="preserve"> отношением объема пены к объему ее жидкой фазы, стойкостью дисперсностью, вязкостью. В зависимости от способа получения пены делят на химические и воздушно-механические.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Химическая пена</w:t>
      </w:r>
      <w:r>
        <w:rPr>
          <w:lang w:val="ru-RU"/>
        </w:rPr>
        <w:t xml:space="preserve"> образуется при взаимодействии растворов кислот и щелочей в присутствии пенообразующего вещества и представляет собой концентрированную эмульсию двуокиси углерода в водном реакторе минеральных солей. Применение химических солей сложно и дорого, поэтому их применение сокращается.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Воздушно-механическую пену</w:t>
      </w:r>
      <w:r>
        <w:rPr>
          <w:lang w:val="ru-RU"/>
        </w:rPr>
        <w:t xml:space="preserve"> низкой (до 20), средней (до 200) и высокой (свыше 200) кратности получают с помощью специальной аппаратуры и пенообразователей ПО</w:t>
      </w:r>
      <w:r>
        <w:rPr>
          <w:lang w:val="ru-RU"/>
        </w:rPr>
        <w:sym w:font="Symbol" w:char="F02D"/>
      </w:r>
      <w:r>
        <w:rPr>
          <w:lang w:val="ru-RU"/>
        </w:rPr>
        <w:t>1, ПО</w:t>
      </w:r>
      <w:r>
        <w:rPr>
          <w:lang w:val="ru-RU"/>
        </w:rPr>
        <w:sym w:font="Symbol" w:char="F02D"/>
      </w:r>
      <w:r>
        <w:rPr>
          <w:lang w:val="ru-RU"/>
        </w:rPr>
        <w:t>1Д, ПО</w:t>
      </w:r>
      <w:r>
        <w:rPr>
          <w:lang w:val="ru-RU"/>
        </w:rPr>
        <w:sym w:font="Symbol" w:char="F02D"/>
      </w:r>
      <w:r>
        <w:rPr>
          <w:lang w:val="ru-RU"/>
        </w:rPr>
        <w:t>6К и т.д.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lang w:val="ru-RU"/>
        </w:rPr>
        <w:t>Инертные газообразные разбавители</w:t>
      </w:r>
      <w:r>
        <w:rPr>
          <w:lang w:val="ru-RU"/>
        </w:rPr>
        <w:t>: двуокись углерода, азот, дымовые и отработавшие газы, пар, аргон и другие.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Ингибиторы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sym w:font="Symbol" w:char="F02D"/>
      </w:r>
      <w:r>
        <w:rPr>
          <w:lang w:val="ru-RU"/>
        </w:rPr>
        <w:t xml:space="preserve"> на основе предельных углеводородов, в которых один или несколько атомов водорода замещены атомами галлоидов (фтор, хлор, бром). Галоидоуглеводороды плохо растворяются в воде, но хорошо смешиваются со многими органическими веществами: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тетрафтордибромэтан (хладон 114В2),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бромистый метилен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трифторбромметан (хладон 13В1)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3, 5, 7, 4НД, СЖБ, БФ (на основе бромистого этила)</w:t>
      </w:r>
    </w:p>
    <w:p w:rsidR="00377A78" w:rsidRDefault="00377A78">
      <w:pPr>
        <w:widowControl w:val="0"/>
        <w:spacing w:before="0" w:after="0"/>
        <w:ind w:firstLine="567"/>
        <w:jc w:val="both"/>
        <w:rPr>
          <w:i/>
          <w:iCs/>
          <w:lang w:val="ru-RU"/>
        </w:rPr>
      </w:pPr>
      <w:r>
        <w:rPr>
          <w:b/>
          <w:bCs/>
          <w:lang w:val="ru-RU"/>
        </w:rPr>
        <w:t xml:space="preserve">Порошковые составы </w:t>
      </w:r>
      <w:r>
        <w:rPr>
          <w:lang w:val="ru-RU"/>
        </w:rPr>
        <w:t>несмотря на их высокую стоимость, сложность в эксплуатации и хранении, широко применяют для прекращения горения твердых, жидких и газообразных горючих материалов. Они являются единственным средством гашения пожаров щелочных металлов и металлоорганических соединений. Для гашения пожаров используется также песок, грунт, флюсы. Порошковые составы не обладают электропроводимостью, не коррозируют металлы и практически не токсичны.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Широко используются составы на основе карбонатов и бикарбонатов натрия и калия.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b/>
          <w:bCs/>
          <w:lang w:val="ru-RU"/>
        </w:rPr>
        <w:t>Аппараты пожаротушения:</w:t>
      </w:r>
      <w:r>
        <w:rPr>
          <w:lang w:val="ru-RU"/>
        </w:rPr>
        <w:t xml:space="preserve"> передвижные (пожарные автомобили), стационарные установки, огнетушители.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Автомобили предназначены для изготовления огнегасящих веществ, используются для ликвидации пожаров на значительном расстоянии от их дислокации и подразделяются на :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автоцистерны (вода, воздушно-механическая пена) АЦ</w:t>
      </w:r>
      <w:r>
        <w:rPr>
          <w:lang w:val="ru-RU"/>
        </w:rPr>
        <w:sym w:font="Symbol" w:char="F02D"/>
      </w:r>
      <w:r>
        <w:rPr>
          <w:lang w:val="ru-RU"/>
        </w:rPr>
        <w:t xml:space="preserve">40 2, 1 </w:t>
      </w:r>
      <w:r>
        <w:rPr>
          <w:lang w:val="ru-RU"/>
        </w:rPr>
        <w:sym w:font="Symbol" w:char="F02D"/>
      </w:r>
      <w:r>
        <w:rPr>
          <w:lang w:val="ru-RU"/>
        </w:rPr>
        <w:t>5м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воды;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специальные </w:t>
      </w:r>
      <w:r>
        <w:rPr>
          <w:lang w:val="ru-RU"/>
        </w:rPr>
        <w:sym w:font="Symbol" w:char="F02D"/>
      </w:r>
      <w:r>
        <w:rPr>
          <w:lang w:val="ru-RU"/>
        </w:rPr>
        <w:t xml:space="preserve"> АП</w:t>
      </w:r>
      <w:r>
        <w:rPr>
          <w:lang w:val="ru-RU"/>
        </w:rPr>
        <w:sym w:font="Symbol" w:char="F02D"/>
      </w:r>
      <w:r>
        <w:rPr>
          <w:lang w:val="ru-RU"/>
        </w:rPr>
        <w:t>3, порошок ПС и ПСБ</w:t>
      </w:r>
      <w:r>
        <w:rPr>
          <w:lang w:val="ru-RU"/>
        </w:rPr>
        <w:sym w:font="Symbol" w:char="F02D"/>
      </w:r>
      <w:r>
        <w:rPr>
          <w:lang w:val="ru-RU"/>
        </w:rPr>
        <w:t>3 3, 2т.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sym w:font="Symbol" w:char="F02D"/>
      </w:r>
      <w:r>
        <w:rPr>
          <w:lang w:val="ru-RU"/>
        </w:rPr>
        <w:t xml:space="preserve"> аэродромные ; вода, хладон.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Стационарные установки предназначены для тушения пожаров в начальной стадии их возникновения без участия человека. Подразделяются на водяные, пенные, газовые, порошковые, паровые. Могут быть автоматическими и ручными с дистанционным управлением.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Огнетушители – устройства для гашения пожаров огнегасящим веществом, которое он выпускает после приведения его в действие, используется для ликвидации небольших пожаров. Как огнетушащие вещества в них используют химическую или воздухомеханическую пену, диоксид углерода (жидком состоянии), аэрозоли и порошки в состав которых входит бром. Подразделяются: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по подвижности: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ручные до 10 литров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передвижные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стационарные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по огнетушащему составу: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жидкостные; (заряд состоит из воды или воды с добавками)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углекислотные; (СО</w:t>
      </w:r>
      <w:r>
        <w:rPr>
          <w:vertAlign w:val="subscript"/>
          <w:lang w:val="ru-RU"/>
        </w:rPr>
        <w:t>2</w:t>
      </w:r>
      <w:r>
        <w:rPr>
          <w:lang w:val="ru-RU"/>
        </w:rPr>
        <w:t>)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химпенные (водные растворы кислот и щелочей)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воздушно-пенные;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хладоновые; (хладоны 114В2 и 13В1)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порошковые; (ПС, ПСБ-3, ПФ, П-1А, СИ-2)</w:t>
      </w:r>
    </w:p>
    <w:p w:rsidR="00377A78" w:rsidRDefault="00377A78">
      <w:pPr>
        <w:widowControl w:val="0"/>
        <w:numPr>
          <w:ilvl w:val="0"/>
          <w:numId w:val="7"/>
        </w:numPr>
        <w:spacing w:before="0" w:after="0"/>
        <w:jc w:val="both"/>
        <w:rPr>
          <w:lang w:val="ru-RU"/>
        </w:rPr>
      </w:pPr>
      <w:r>
        <w:rPr>
          <w:lang w:val="ru-RU"/>
        </w:rPr>
        <w:t>комбинированные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Огнетушители маркируются буквами (вид огнетушителя по разряду) и цифровой (объем).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Ручной пожарный инструмент – это инструмент для раскрывания и разбирания конструкций и проведения аварийно-спасательных работ при гашении пожара. К ним относятся : крюки, ломы, топоры, ведра, лопаты, ножницы для резания металла. Инструмент размещается на видном и доступном месте на стендах и щитах.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1.5 Пожарная сигнализация.</w:t>
      </w:r>
    </w:p>
    <w:p w:rsidR="00377A78" w:rsidRDefault="00377A78">
      <w:pPr>
        <w:widowControl w:val="0"/>
        <w:spacing w:before="0" w:after="0"/>
        <w:ind w:firstLine="567"/>
        <w:jc w:val="both"/>
        <w:rPr>
          <w:b/>
          <w:bCs/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К системам сигнализации предъявляются следующие технические требования: они должны иметь минимальную инерционность сработки, обеспечивать заданную достоверность информации, отсутствие ошибочной сработки; быть надежными в работе при всех условиях эксплуатации, обеспечивать автономное включение сигнала тревоги.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Основными элементами пожарной сигнализации являются: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датчики пожарной сигнализации, которые размещаются в наиболее пожаро- и взрывоопасных местах;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электронно-усилительный блок, который обеспечивает дистанционный контроль за состоянием датчиков;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исполнительный блок, с помощью которого включается первый рубеж противопожарной системы и блок сигнализации.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Датчики – наиболее важный элемент системы сигнализации, который в основном определяет возможности и характеристики системы в целом. В зависимости от физической сути, заложенной в основу работы датчика, системы подразделяются на: тепловые, ионизационные, радиационные и т.п. Тепловые системы реагируют на повышение температуры либо стенок конструкции, либо окружающей среды, ионизационные и радиационные срабатывают при наличии огня, принцип их работы основан на том, что под влиянием высокой температуры ионизируются продукты горения, а также приблизительно 20 % всей энергии – излучение.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2. Анализ опасностей возникающих при работе в вычислительном центре, требования безопасности предъявляемые к помещениям, оборудованию и технологии.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 современной промышленности все шире и шире используется вычислительная техника.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Работа сотрудников вычислительных центров (программистов, операторов, технических работников) при решении производственных задач сопровождается активизацией внимания и других психологических функций.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Все сотрудники ВЧ подвергаются воздействию вредных и опасных факторов производственной среды таких как электромагнитное поле, статическая электроэнергия, шум, вибрация, недостаточное освещение и психоэмоциональное напряжение.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Особенности характера и режима роботы, значительное умственное напряжение приводят к изменению у работников ВЦ функционального состояния центральной нервной системы, нервно – мышечного аппарата рук при работе с клавиатурой. Нерациональные конструкция и размещение элементов рабочего места вызывают необходимость поддержки неудовлетворительной рабочей позы. Длительный дискомфорт приводит к увеличению напряжения мышц и обуславливает развитие общей усталости и снижение работоспособности.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При длительной работе за экраном монитора значительно напрягается зрительный аппарат с появлением жалоб на головную боль, раздражительность, нарушение сна, усталость и болезненные ощущения в глазах, пояснице, в области шеи, рук.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Для предотвращения неблагоприятного воздействия на человека вредных факторов, сопровождающих работу с видеодисплейными терминалами и персональными электронно-вычислительными машинами разработан ряд санитарно-гигиенические требований.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Производственные помещения должны проектироваться в соответствии к требования м СНиП 2.09.04.87 – “Административные и бытовые помещения и строения промышленных предприятий ” и СНиП 512-78 - “Инструкция проектирования строений и помещений для электронно-вычислительных машин”.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Помещения для ЭВМ размещать в подвалах не допускается. Дверные проходы внутренних помещений должны быть без порогов.При разных уровнях пола соседних помещений в местах перехода необходимо устанавливать наклонные плоскости (пандусы). Поверхность пола в помещениях эксплуатации ВДТ и ПЭВМ должна быта, ровной, без выбоин, нескользкой, удобной для очистки и влажной уборки, обладать антистатическими свойствами.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Для внутренней отделки интерьера, должны использоваться диффузно-отражающие материалы с коэффициентом отражения для потолка - 0, 7-0, 8; для стен - 0, 5-0, 6; для пола-0, 3-0, 5, они также должны быть разрешены для применения органами и учреждениями Государственного санитарно эпидемиологического надзора.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Вычислительные машины устанавливаются и размещаются согласно требованиям завода – изготовителя и документации.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Рабочие места операторов ЭВМ необходимо размещать с противоположной стороны шумных агрегатов вычислительных машин ; они должны иметь естественное и искусственное освещение.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Площадь на одно рабочее место должна быть не менее 6, 0 кв. м, а объем - не менее 24, 0 куб.м. с учетом максимального числа одновременно работающих в смене.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Схемы размещения рабочих мест с ВДТ и ПЭВМ должны учитывать расстояния между рабочими столами с видеомониторами (в направлении тыла поверхности одного видеомонитора и экрана другого видеомонитора), которое должно быть не менее 2, 0 м, а расстояние между боковыми поверхностями видеомониторов - не менее 1, 2 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Рабочие места с ВДТ и ПЭВМ в залах электронно-вычислительных машин или в помещениях с источниками вредных производственных факторов должны размешаться в изолированных кабинах с организованным воздухообменом.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Производственные помещения, в которых для работы используются преимущественно ВДТ и ПЭВМ (диспетчерские, операторские, расчетные и др.) не должны граничить с помещениями, в которых уровни шума и вибрации превышают нормируемые значения (механические цеха, мастерские и т.п.).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Шкафы, сейфы, стеллажи для хранения дисков, дискет, комплектующих деталей, запасных блоков ВДТ и ПЭВМ, инструментов, следует располагать в подсобных помещениях.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(размер ВДТ и ПЭВМ, клавиатуры, пюпитра и др.), характера выполняемой работа. При этом допускается использование рабочих столов различных конструкций, отвечающих современным требованиям эргономики.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Конструкция рабочего стула (кресла) должна обеспечивать поддержание рациональной рабочей позы при работе на ВДТ и ПЭВМ,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Тип рабочего стула (кресла) должен выбираться в зависимости от характера и продолжительности работы с ВДТ и ПЭВМ с учетом роста пользователя.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Рабочий стул (кресло) должен быть подъемно-поворотными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Помещения с ВДТ и ПЭВМ должны оборудоваться системами отопления, кондиционирования воздуха или эффективной приточно-вытяжной вентиляцией. Расчет воздухообмена следует проводитъ по теплоизбыткам от машин, людей, солнечной радиации и искусственного освещения.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Требования к вентиляции, отоплению и кондиционированию воздуха в ВЦ выполняются согласно раздела СниП II –37 – 75 – “Отопление, вентиляция и кондиционирование воздуха”.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 помещениях с превышенным уровнем тепла необходимо предвидеть регулировку подачи теплоносителя для выполнения нормативных параметров теплоносителя.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Как обогревательные устройства в машинных залах и архивах информации необходимо устанавливать регистры из гладких труб или панелей излучающего отопления.Нельзя использовать водонагревательные устройства и паровое отопление в архивах магнитных носителей информации, а также в машинных залах.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Воздух, который поступает в помещения ВЧ, следует очищать от загрязнения, в том числе от пыли и микроорганизмов.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Параметры микроклимата должны быть следующими :</w:t>
      </w:r>
    </w:p>
    <w:p w:rsidR="00377A78" w:rsidRDefault="00377A78">
      <w:pPr>
        <w:widowControl w:val="0"/>
        <w:numPr>
          <w:ilvl w:val="0"/>
          <w:numId w:val="9"/>
        </w:numPr>
        <w:spacing w:before="0" w:after="0"/>
        <w:jc w:val="both"/>
        <w:rPr>
          <w:lang w:val="ru-RU"/>
        </w:rPr>
      </w:pPr>
      <w:r>
        <w:rPr>
          <w:lang w:val="ru-RU"/>
        </w:rPr>
        <w:t>в холодный период года : температура воздуха 22... 24 C ; относительная влажность 60 … 40 % ;</w:t>
      </w:r>
    </w:p>
    <w:p w:rsidR="00377A78" w:rsidRDefault="00377A78">
      <w:pPr>
        <w:widowControl w:val="0"/>
        <w:numPr>
          <w:ilvl w:val="0"/>
          <w:numId w:val="9"/>
        </w:numPr>
        <w:spacing w:before="0" w:after="0"/>
        <w:jc w:val="both"/>
        <w:rPr>
          <w:lang w:val="ru-RU"/>
        </w:rPr>
      </w:pPr>
      <w:r>
        <w:rPr>
          <w:lang w:val="ru-RU"/>
        </w:rPr>
        <w:t>в теплый период года: температура воздуха 21.. 25 C ; относительная влажность 60 … 40 %.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Для повышения влажности воздуха в помещениях с ВДТ и ПЭВМ следует применять увлажнители воздуха, заправляемые ежедневно дистиллированной или прокипяченной питьевой водой.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Допустимый уровень звукового давления, звука и эквивалентные уровни звука на рабочих местах должны отвечать требованиям “ Санитарных допустимых норм уровней шумов на рабочих местах ” № 3223-85.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Для уменьшения шума и вибраций в помещениях ВЦ оборудование и приборы необходимо устанавливать на специальные фундаменты и амортизирующие прокладки, описанные в нормативных документах.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Снизить уровень шума в помещениях с ВДТ и ПЭВМ можно также использованием звукопоглощающих материалов с максимальными коэффициентами звукопоглощения в области частот 63 - 8000 Гц для отделки помещений (разрешенных органами и учреждениями Госсанэпиднадзора), подтвержденных специальными акустическими расчетами. Дополнительным звукопоглощением служат однотонные занавеси из плотной ткани, гармонирующие с окраской стен и подвешенные в складку на расстоянии 15-20 см от ограждения. Ширина занавеси должна быть в 2 раза больше ширины окна.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Шумящее оборудование (АЦПУ, принтеры и т.п.), уровни шума которого превышают нормированные, должно находиться вне помещения с ВДТ и ПЭВМ.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При выполнении основной работы на ВД'Т и ПЭВМ (диспетчерские, операторские, расчетные кабины и посты управления, залы вычислительной техники и др.) в помещениях с ВДТ и ПЭВМ уровень шума на рабочем месте не должен превышать 50 дБ (А).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В помещениях, где работают инженерно-технические работники, осуществляющие лабораторный, аналитический или измерительный контроль, уровень шума не должен превышать 60 дБ (А).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В помещениях операторов ЭВМ (без дисплеев) уровень шума не должен превышать 65 дБ (А).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На рабочих местах в помещениях для размещения шумных агрегатов вычислительных машин (АЦПУ, принтеры и т.п.) уровень шума не должен превышать 75 дБ (А).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Вибрация оборудования на рабочих местах не должна превышать допустимых величин, установленных “Санитарными нормами вибрации рабочих мест” № 3044 – 84.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Освещение в помещениях ВЦ должно быть смешанным (естественное и искусственное ).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Рабочие места с ВДТ и ПЭВМ по отношению к световым проемам должны располагаться так, чтобы естественный свет падал сбоку, преимущественно слева.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Искусственное освещение в помещениях эксплуатации ВДТ и ПЭВМ должно осуществляться системой общего равномерного освещения. В производственных и административно-общественных помещениях, в случаях преимущественной работы с документами, допускается применение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документов).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Освещенность на поверхности стола в зоне размещения рабочего документа должна быть 300-500 лк. Допускается установка светильников местного освещения для подсветки документов. Местное освещение не должно создавать бликов на поверхности экрана и увеличивать освещенность экрана более 300 лк.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Следует ограничивать прямую блесткость от источников освещения, при этом яркость светящихся поверхностей (окна, светильники и др.), находящихся в поле зрения, должна быть не более 200 кд/ кв.м.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Следует ограничивать отраженную блесткость на рабочих поверхностях (экран, стол, клавиатура и др.) за счет правильного выбора типов светильников и расположения рабочих мест по отношению к источникам естественного и искусственного освещения, при этом яркость бликов на экране ВДТ и ПЭВМ не должна превышать 40 кд/кв.м и яркость потолка, при применении системы отраженного освещения, не должна превышать 200 кд/кв.м.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Показатель ослеплености для источников общего искусственного освещения в производственных помещениях должен быть не более 20, показатель дискомфорта в административно-общественных помещениях не более 40, в дошкольных и учебных помещениях не более 25.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Следует ограничивать неравномерность распределения яркости в поле зрения пользователя ВДТ и ПЭВМ, при этом соотношение яркости между рабочими поверхностями не должно превышать 3:1-5:1, а между рабочими поверхностями и поверхностями стен и оборудования 10:1.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В качестве источников света при искусственном освещении должны применяться преимущественно люминесцентные лампы типа ЛБ. При устройстве отраженного освещения в производственных и административно-общественных помещениях допускается применение металлогалогенных ламп мощностью до 250 Вт. Допускается применение ламп накаливания в светильниках местного освещения.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Общее освещение следует выполнять в виде сплошных или прерывистых линий светильников, расположенных сбоку от рабочих мест, параллельно линии зрения пользователя при рядном расположении ВДТ и ПЭВМ. При периметральном расположении компьютеров линии светильников должны располагаться локализованно над рабочим столом ближе к его переднему краю, обращенному к оператору.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Для освещения помещений с ВДТ и ПЭВМ следует применять светильники серии ЛПОЗ6 с зеркализованными решетками, укомплектованные высокочастотными пускорегулирующими аппаратами (ВЧ ПРА). Применение светильников без рассеивателей и экранирующих решеток не допускается.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кд/кв.м, защитный угол светильников должен быть не менее 40 градусов.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Светильники местного освещения должны иметь не просвечивающий отражатель с защитным углом не менее 40 градусов.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Коэффициент запаса (Кз) для осветительных установок общего освещения должен приниматься равным 1, 4.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Коэффициент пульсации не должен превышать 5 %, что должно обеспечиваться применением газоразрядных ламп в светильниках общего и местного освещения с высокочастотными пускорегулирующими аппаратами (ВЧ ПРА) для любых типов светильников. При отсутствии светильников с ВЧ ПРА лампы многоламповых светильников или рядом расположенные светильники общего освещения следует включать на разные фазы трехфазной сети.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Для обеспечения нормируемых значений освещенности в помещениях использования ВДТ и ПЭВМ следует проводить чистку стекол оконных рам и светильников не реже двух раз в год и проводить своевременную замену перегоревших ламп.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Для предотвращения образования статической электроэнергии и защиты от нее в помещениях ВЦ необходимо использовать нейтрализаторы.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Защиту от статического электричества необходимо проводить в соответствии с санитарно – гигиеническими нормами допустимого напряжения электрического поля.Допустимый уровень напряжения электростатических полей не должен превышать 20 Вт втечении одного часа.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Оборудование визуального отображения генерирует несколько типов излучения, в том числе рентгеновское, радиочастотное, ультрафиолетовое, но уровни этих излучений достаточно низкие и не превышают норм.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В машинных залах ЭВМ и помещениях с ВДТ необходимо контролировать уровень аэроионизации. Необходимо учитывать, что мягкое рентгеновское излучение, которое возникает при напряжении на аноде монитора 20…22 кВ, а также высокое напряжение на токоведущих участках схем вызывают ионизацию воздуха с созданием позитивных ионов, которые считаются вредными для человека.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>Оптимальным уровнем аэроионизации в зоне дыхания работающего считается содержание легких аэроионов обоих знаков от 0, 015 до 0, 00015 в 1 см.куб. воздуха.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Режимы труда и отдыха при работе с ПЭВМ и ВДТ должны организовываться в зависимости от вида и категории трудовой деятельности.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Виды трудовой деятельности разделяются на 3 группы: группа А - работа по считыванию информации с экрана ВДТ или ПЭВМ с предварительным запросом: группа Б - работа по вводу информации; группа В - творческая работа в режиме диалога с ЭВМ. При выполнении в течение рабочей смены работ, относящихся к разным видам трудовой деятельности, за основную работу с ПЭВМ и ВДТ следует принимать такую, которая занимает не менее 50% времени в течение рабочей смены или рабочего дня.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Для видов трудовой деятельности устанавливается 3 категории тяжести и напряженности работы с ВДТ и ПЭВМ которые определяются: для группы А - по суммарному числу считываемых знаков за рабочую смену, но не более 60 000 знаков за смену; для группы Б - по суммарному числу считываемых или вводимых знаков за рабочую смену, но не более 40 000 знаков за смену; для группы В - по суммарному времени непосредственной работы с ВДТ и ПЭВМ за рабочую смену, но не более 6 часов за смену.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Продолжительность обеденного перерыва определяется действующим законодательством о труде и Правилами внутреннего трудового распорядка предприятия (организации, учреждения).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Для обеспечения оптимальной работоспособности и сохранения здоровья профессиональных пользователей, на протяжении рабочей смены должны устанавливаться регламентированные перерывы.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Время регламентированных перерывов в течение рабочей смены следует устанавливать, в зависимости от ее продолжительности, вида и категории трудовой деятельности.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Продолжительность непрерывной работы с ВДТ без регламентированного перерыва не должна превышать 2 часов.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При работе с ВДТ и ПЭВМ в ночную смену (с 22 до 6 часов), независимо от категории и вида трудовой деятельности, продолжительность регламентированных перерывов должна увеличиваться на 60 минут.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При 8-ми часовой рабочей смене и работе на ВДТ и ПЭВМ регламентированные перерывы следует устанавливать: 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для 1 категории работ через 2 часа от начала рабочей смены и через 2 часа после обеденного перерыва продолжительностью 15 минут каждый; 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для 11 категории работ через 2 часа от начала рабочей смены и через 1, 5-2, 0 часа после обеденного перерыва продолжительностью 15 минут каждый или продолжительностью 10 минут через каждый час работы; 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для III категории работ через 1, 5-2, 0 часа от начала рабочей смены и через 1.5-2 часа после обеденного перерыва продолжительностью 20 минут каждый или продолжительностью 15 минут через каждый час работы.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При 12-ти часовой рабочей смене регламентированные перерывы должны устанавливаться в первые 8 часов работы аналогично перерывам при 8-ми часовой рабочей смене, а в течение последних 4часов работы, независимо от категории и вида работ, каждый час продолжительностью 15 минут.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познотонического утомления целесообразно выполнять комплексы специальных упражнений.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С целью уменьшения отрицательного влияния монотонии целесообразно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работы).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В случаях возникновения у работающих с ВДТ и ПЭВМ зрительного дискомфорта и других неблагоприятных субъективных ощущений, несмотря на соблюдение санитарно-гигиенических, эргономических требований, режимов труда и отдыха следует применять индивидуальный подход в ограничении времени работ с ВДТ и ПЭВМ коррекцию длительности перерывов для отдыха или проводить смену деятельности на другую, не связанную с использованием ВДТ и ПЭВМ.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Работающим на ВДТ и ПЭВМ с высоким уровнем напряженности во время регламентированных перерывов и в конце рабочего дня показана психологическая разгрузка в специально оборудованных помещениях (комната психологической разгрузки).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Для предупреждения развития переутомления обязательными мероприятиями являются: </w:t>
      </w:r>
    </w:p>
    <w:p w:rsidR="00377A78" w:rsidRDefault="00377A78">
      <w:pPr>
        <w:widowControl w:val="0"/>
        <w:spacing w:before="0" w:after="0"/>
        <w:ind w:firstLine="567"/>
        <w:jc w:val="both"/>
        <w:rPr>
          <w:lang w:val="ru-RU"/>
        </w:rPr>
      </w:pPr>
      <w:r>
        <w:rPr>
          <w:lang w:val="ru-RU"/>
        </w:rPr>
        <w:t xml:space="preserve"> - проведение упражнений для глаз через каждые 20-25 минут работы за ВДТ и ПЭВМ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подключение таймера к ВДТ и ПЭВМ или централизованное отключение свечения информации на экранах видеомониторов с целью обеспечения нормируемого времени работы на ВДТ или ПЭВМ; 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проведение во время перерывов сквозного проветривания помещений с ВДТ или ПЭВМ ; 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осуществление во время перерывов упражнений физкультурной паузы в течение 3-4 минут); </w:t>
      </w:r>
    </w:p>
    <w:p w:rsidR="00377A78" w:rsidRDefault="00377A78">
      <w:pPr>
        <w:widowControl w:val="0"/>
        <w:numPr>
          <w:ilvl w:val="0"/>
          <w:numId w:val="11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проведение упражнений физкультминутки в течение 1-2 минут для снятия локального утомления, которые должны выполняться индивидуально при появлении начальных признаков усталости; </w:t>
      </w:r>
    </w:p>
    <w:p w:rsidR="00377A78" w:rsidRDefault="00377A78">
      <w:pPr>
        <w:widowControl w:val="0"/>
        <w:numPr>
          <w:ilvl w:val="0"/>
          <w:numId w:val="12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замена комплексов упражнений один раз в 2-3 недели. </w:t>
      </w:r>
      <w:bookmarkStart w:id="0" w:name="_GoBack"/>
      <w:bookmarkEnd w:id="0"/>
    </w:p>
    <w:sectPr w:rsidR="00377A78">
      <w:pgSz w:w="11907" w:h="16840" w:code="9"/>
      <w:pgMar w:top="1135" w:right="567" w:bottom="1418" w:left="1134" w:header="284" w:footer="1069" w:gutter="0"/>
      <w:pgNumType w:start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1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DF3C8C"/>
    <w:multiLevelType w:val="singleLevel"/>
    <w:tmpl w:val="0E66C98E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abstractNum w:abstractNumId="2">
    <w:nsid w:val="2ACD3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0B0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CC25398"/>
    <w:multiLevelType w:val="multilevel"/>
    <w:tmpl w:val="1D688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C54E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14C4C6F"/>
    <w:multiLevelType w:val="singleLevel"/>
    <w:tmpl w:val="E0BACFE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AF82352"/>
    <w:multiLevelType w:val="singleLevel"/>
    <w:tmpl w:val="0E66C98E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abstractNum w:abstractNumId="8">
    <w:nsid w:val="61036DF3"/>
    <w:multiLevelType w:val="singleLevel"/>
    <w:tmpl w:val="E0BACFE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6C18237E"/>
    <w:multiLevelType w:val="singleLevel"/>
    <w:tmpl w:val="89E0DE2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CCD43AC"/>
    <w:multiLevelType w:val="singleLevel"/>
    <w:tmpl w:val="0E66C98E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abstractNum w:abstractNumId="11">
    <w:nsid w:val="7477383B"/>
    <w:multiLevelType w:val="singleLevel"/>
    <w:tmpl w:val="0E66C98E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007"/>
    <w:rsid w:val="00377A78"/>
    <w:rsid w:val="005355F7"/>
    <w:rsid w:val="008F5CA3"/>
    <w:rsid w:val="00B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636AAF-01DF-4A44-BCEE-8FFD799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0" w:after="0"/>
      <w:ind w:left="-142" w:right="-139"/>
      <w:jc w:val="center"/>
      <w:outlineLvl w:val="0"/>
    </w:pPr>
    <w:rPr>
      <w:b/>
      <w:bCs/>
      <w:color w:val="000000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240" w:after="120"/>
      <w:ind w:firstLine="567"/>
      <w:jc w:val="center"/>
      <w:outlineLvl w:val="1"/>
    </w:pPr>
    <w:rPr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120" w:after="120"/>
      <w:ind w:firstLine="284"/>
      <w:jc w:val="both"/>
      <w:outlineLvl w:val="2"/>
    </w:pPr>
    <w:rPr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ind w:right="-139" w:firstLine="709"/>
      <w:jc w:val="center"/>
      <w:outlineLvl w:val="3"/>
    </w:pPr>
    <w:rPr>
      <w:rFonts w:ascii="Arial" w:hAnsi="Arial" w:cs="Arial"/>
      <w:b/>
      <w:bCs/>
      <w:color w:val="000000"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before="0" w:after="0"/>
      <w:ind w:firstLine="567"/>
      <w:jc w:val="both"/>
    </w:pPr>
    <w:rPr>
      <w:sz w:val="28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widowControl w:val="0"/>
      <w:tabs>
        <w:tab w:val="center" w:pos="4153"/>
        <w:tab w:val="right" w:pos="8306"/>
      </w:tabs>
      <w:spacing w:before="0" w:after="0"/>
      <w:ind w:firstLine="567"/>
      <w:jc w:val="both"/>
    </w:pPr>
    <w:rPr>
      <w:sz w:val="28"/>
      <w:szCs w:val="28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HTML">
    <w:name w:val="Разметка HTML"/>
    <w:uiPriority w:val="99"/>
    <w:rPr>
      <w:vanish/>
      <w:color w:val="FF0000"/>
    </w:rPr>
  </w:style>
  <w:style w:type="paragraph" w:styleId="a8">
    <w:name w:val="Title"/>
    <w:basedOn w:val="a"/>
    <w:link w:val="a9"/>
    <w:uiPriority w:val="99"/>
    <w:qFormat/>
    <w:pPr>
      <w:spacing w:before="0" w:after="0"/>
      <w:jc w:val="center"/>
    </w:pPr>
    <w:rPr>
      <w:rFonts w:ascii="Arial" w:hAnsi="Arial" w:cs="Arial"/>
      <w:b/>
      <w:bCs/>
      <w:i/>
      <w:iCs/>
      <w:color w:val="000000"/>
      <w:lang w:val="ru-RU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widowControl w:val="0"/>
      <w:spacing w:before="0" w:after="0"/>
      <w:jc w:val="both"/>
    </w:pPr>
    <w:rPr>
      <w:b/>
      <w:bCs/>
      <w:color w:val="000000"/>
      <w:sz w:val="28"/>
      <w:szCs w:val="28"/>
      <w:lang w:val="en-US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spacing w:before="0" w:after="0"/>
      <w:jc w:val="center"/>
    </w:pPr>
    <w:rPr>
      <w:b/>
      <w:bCs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pPr>
      <w:widowControl w:val="0"/>
      <w:spacing w:before="0" w:after="0"/>
      <w:jc w:val="both"/>
    </w:pPr>
    <w:rPr>
      <w:sz w:val="28"/>
      <w:szCs w:val="28"/>
      <w:lang w:val="ru-RU"/>
    </w:rPr>
  </w:style>
  <w:style w:type="character" w:customStyle="1" w:styleId="ad">
    <w:name w:val="Основной текст Знак"/>
    <w:link w:val="ac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 w:val="0"/>
      <w:spacing w:before="0" w:after="0"/>
      <w:ind w:firstLine="567"/>
      <w:jc w:val="both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pPr>
      <w:widowControl w:val="0"/>
      <w:spacing w:before="0" w:after="0"/>
      <w:ind w:firstLine="426"/>
    </w:pPr>
    <w:rPr>
      <w:sz w:val="28"/>
      <w:szCs w:val="28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 </Company>
  <LinksUpToDate>false</LinksUpToDate>
  <CharactersWithSpaces>39734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Kivirenko</dc:creator>
  <cp:keywords/>
  <dc:description/>
  <cp:lastModifiedBy>admin</cp:lastModifiedBy>
  <cp:revision>2</cp:revision>
  <cp:lastPrinted>2000-05-31T12:37:00Z</cp:lastPrinted>
  <dcterms:created xsi:type="dcterms:W3CDTF">2014-01-30T21:31:00Z</dcterms:created>
  <dcterms:modified xsi:type="dcterms:W3CDTF">2014-01-30T21:31:00Z</dcterms:modified>
</cp:coreProperties>
</file>