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59" w:rsidRDefault="00B45E59">
      <w:pPr>
        <w:pStyle w:val="a5"/>
        <w:widowControl/>
        <w:spacing w:line="360" w:lineRule="auto"/>
      </w:pPr>
      <w:r>
        <w:t xml:space="preserve">Анализ пропорциональности развития рынка банковских услуг.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pStyle w:val="a7"/>
        <w:widowControl/>
        <w:spacing w:line="360" w:lineRule="auto"/>
      </w:pPr>
      <w:r>
        <w:t xml:space="preserve">Рынок банковских услуг - явление сплошное и многоструктурное. Его развитие происходит во взаимосвязи и координации с различными компонентами рыночной экономики и социальной жизни населения, которые в большинстве случаев предопределяют его пропорциональность. Пропорциональность предполагает оптимальное соотношение между различными элементами рынка банковских услуг. Диспропорции отдельных его составных частей ведут к кризисным формам развития,  делают рынок недостаточно эффективным. Поэтому исследование макро и микро пропорций рынка банковских услуг представляют актуальную задачу статистики конъюктуры банковской деятельности в статике, так и в динамике. Констатация и оценка сложившихся пропорций должна анализироваться наряду с характеристикой тенденций изменений в пропорциях, анализ структурных сдвигов и региональных различий пропорций рынка банковских услуг. Аппарат статического исследования пропорциональности включает следующие инструменты анализа: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-балансовый метод;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-относительные величины структуры и координаций;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-компаративные индексы; </w:t>
      </w:r>
      <w:r>
        <w:rPr>
          <w:rFonts w:ascii="Arial" w:hAnsi="Arial"/>
          <w:sz w:val="28"/>
        </w:rPr>
        <w:tab/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-коэффициенты эластичности;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-бета коэффициенты многоэффективных моделей;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ab/>
        <w:t xml:space="preserve">-с помощью кривой Лоренца и коэффициентов концентрации. 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Так эмпирические и теоретические коэффициенты эластичности выявляют не только зависимость спроса и предложения на банковские услуги от конкретного фактора,  но и устанавливают пропорциональность выявленных зависимостей, показывая процентное изменение результативного признака при увеличении факторного на один процент. С помощью бэта-коэффициентов, рассчитанных по параметрам многофакторного уравнения регрессии, соизмеряют силу влияния отдельных структурных факторов. В процессе структурного анализа широко используются методы анализа колеблемости показателей пропорциональности, их тре????овые и регрессивные модели, индексный метод анализа, групповых региональных (областных) дирекций банка  и т.д.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В процессе анализа пропорциональности банковской деятельности используются такие показатели, как доля того или иного элемента в совокупности и коэффициенты соотношения, позволяющие произвести сопоставления тех или иных процессов, происходящих в сфере банковской деятельности, или частей одной совокупности банков.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Исследование пропорций рынка банковских услуг осуществляется как в статике, так и в динамик. В процессе сравнения (динамическом, региональном, отраслевом и т.п.) доли рассчитывается индекс доли. Его величина зависит от соотношения вектора и скорости изменения той или иной части </w:t>
      </w:r>
      <w:r>
        <w:rPr>
          <w:rFonts w:ascii="Arial" w:hAnsi="Arial"/>
          <w:sz w:val="28"/>
        </w:rPr>
        <w:lastRenderedPageBreak/>
        <w:t xml:space="preserve">явления, происходящего в сфере банковских услуг или явления в целом.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С помощью компоративного индекса сравниваются динамические пропорции. Этот индекс представляет собой отношение индексов двух явлений или процессов или отдельных частей совокупности. Например, отношение индекса товарооборота к индексу кредитового оборота. Исследование тенденций, уровня устойчивости или зависимости доли и других показателей пропорциональности осуществляется с помощью статических методов, где доля тех или иных операций банка (рынка банковской деятельности и т.п.) рассматриваются как случайная варьирующая величина: 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center"/>
        <w:rPr>
          <w:sz w:val="28"/>
        </w:rPr>
      </w:pP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center"/>
        <w:rPr>
          <w:sz w:val="28"/>
        </w:rPr>
      </w:pPr>
      <w:r>
        <w:rPr>
          <w:sz w:val="44"/>
        </w:rPr>
        <w:t>d</w:t>
      </w:r>
      <w:r>
        <w:rPr>
          <w:i/>
          <w:sz w:val="28"/>
        </w:rPr>
        <w:t>i</w:t>
      </w:r>
      <w:r>
        <w:rPr>
          <w:sz w:val="28"/>
        </w:rPr>
        <w:t>=</w:t>
      </w:r>
      <w:r>
        <w:rPr>
          <w:i/>
          <w:sz w:val="40"/>
        </w:rPr>
        <w:t>f</w:t>
      </w:r>
      <w:r>
        <w:rPr>
          <w:sz w:val="40"/>
        </w:rPr>
        <w:t xml:space="preserve"> </w:t>
      </w:r>
      <w:r>
        <w:rPr>
          <w:sz w:val="28"/>
        </w:rPr>
        <w:t>(</w:t>
      </w:r>
      <w:r>
        <w:rPr>
          <w:sz w:val="44"/>
        </w:rPr>
        <w:t>x</w:t>
      </w:r>
      <w:r>
        <w:rPr>
          <w:sz w:val="28"/>
        </w:rPr>
        <w:t>1,</w:t>
      </w:r>
      <w:r>
        <w:rPr>
          <w:sz w:val="44"/>
        </w:rPr>
        <w:t>x</w:t>
      </w:r>
      <w:r>
        <w:rPr>
          <w:sz w:val="28"/>
        </w:rPr>
        <w:t>2,</w:t>
      </w:r>
      <w:r>
        <w:rPr>
          <w:sz w:val="44"/>
        </w:rPr>
        <w:t>x</w:t>
      </w:r>
      <w:r>
        <w:rPr>
          <w:sz w:val="28"/>
        </w:rPr>
        <w:t>3…</w:t>
      </w:r>
      <w:r>
        <w:rPr>
          <w:sz w:val="44"/>
        </w:rPr>
        <w:t>x</w:t>
      </w:r>
      <w:r>
        <w:rPr>
          <w:sz w:val="28"/>
        </w:rPr>
        <w:t>n).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center"/>
        <w:rPr>
          <w:sz w:val="28"/>
        </w:rPr>
      </w:pPr>
    </w:p>
    <w:p w:rsidR="00B45E59" w:rsidRDefault="00B45E59">
      <w:pPr>
        <w:framePr w:w="2720" w:h="2280" w:wrap="notBeside" w:vAnchor="text" w:hAnchor="text" w:x="2953" w:y="717"/>
        <w:widowControl/>
      </w:pPr>
      <w:r>
        <w:rPr>
          <w:vertAlign w:val="subscript"/>
        </w:rPr>
        <w:object w:dxaOrig="2715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14pt" o:ole="">
            <v:imagedata r:id="rId7" o:title=""/>
          </v:shape>
          <o:OLEObject Type="Embed" ProgID="Equation.3" ShapeID="_x0000_i1025" DrawAspect="Content" ObjectID="_1468594786" r:id="rId8"/>
        </w:objec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Вариация доли рассчитывается с помощью дисперсии: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d</w:t>
      </w:r>
      <w:r>
        <w:rPr>
          <w:rFonts w:ascii="Arial" w:hAnsi="Arial"/>
          <w:sz w:val="28"/>
          <w:vertAlign w:val="subscript"/>
        </w:rPr>
        <w:t>i</w:t>
      </w:r>
      <w:r>
        <w:rPr>
          <w:rFonts w:ascii="Arial" w:hAnsi="Arial"/>
          <w:sz w:val="28"/>
        </w:rPr>
        <w:t xml:space="preserve"> - доля варьирующего признака (например, доля кредитных услуг в общих целях банка и т.п.);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d   - среднее значение доли по всей совокупности;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     fi    - удельные веса, характеризующие размер единицы совокупности (например, доли услуг областных отделений банка в общем объеме услуг банка в целом).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В ходе анализа целесообразно соблюдать иерархию пропорций. Приоритетным показателем пропорциональности рынка банковских услуг является соотношения на них спроса и предложения. Пропорции спроса и предложения определяются как в целом по рынку банковских услуг, так и отраслевом, региональном разрезе, отдельным услугам.  Важнейшей задачей статистики является оценка спроса на различные банковские услуги различных групп клиентов. Для измерения таких пропорций пользуются балансовым методом.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 ходе анализа банковской деятельности первостепенное значение имеет анализ взаимосвязи между показателями.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исследования таких взаимосвязей используются корреляционно-регрессионный метод, но помимо него исследуется пропорциональность между показателями банковской деятельности и определяющими их факторами.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Анализ пропорциональности производится по средствам использования метода стандартизации , при котором общие объемы сравниваемых величин приводятся к одному основанию -100 процентов. Это дает возможность произвести сравнение не только одномерных но и разноименных распределений , например, стоимостных , натуральных </w:t>
      </w:r>
      <w:r>
        <w:rPr>
          <w:rFonts w:ascii="Arial" w:hAnsi="Arial"/>
          <w:sz w:val="28"/>
        </w:rPr>
        <w:lastRenderedPageBreak/>
        <w:t xml:space="preserve">показателей с показателями численности населения или численности запятых.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На уровне  БД осуществляется сравнение распределений в двух аспектах: 1. На уровне параметров внутри БД, например , распределение полученной прибыли  с одной стороны (прибыль – резкий  признак) и факторами - признаками , например, капитал банка, численность работников , материально-техническое оснащение и др.</w:t>
      </w:r>
    </w:p>
    <w:p w:rsidR="00B45E59" w:rsidRDefault="00B45E59">
      <w:pPr>
        <w:widowControl/>
        <w:numPr>
          <w:ilvl w:val="0"/>
          <w:numId w:val="2"/>
        </w:numPr>
        <w:spacing w:line="360" w:lineRule="auto"/>
        <w:ind w:left="0"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уровне внешней среды - это анализ пропорциональности распределения по региональным отделениям банка с одной стороны прибыли , а с другой уровнем экономического развития региона , показатели деятельности клиентов банка -товарооборотом , товарными запасами (для торговли), объектом реализованной продукции, объектом оборотных средств (для промышленности ), численность населения (для кредитования населения) и.т.д.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Методика анализа пропорциональности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numPr>
          <w:ilvl w:val="0"/>
          <w:numId w:val="4"/>
        </w:numPr>
        <w:spacing w:line="360" w:lineRule="auto"/>
        <w:ind w:left="0"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Составляется таблица  N 1.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таблице анализируется пропорциональность распределения по облостным  дирекциям одного банка , обслуживание коммерческих торговых организаций и для этого сравнивается распределение по областным дирекциям объектов кредитов, вызванных коммерческим организациям и объектам их деятельности в виде товарооборота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90"/>
        <w:gridCol w:w="1104"/>
        <w:gridCol w:w="1719"/>
        <w:gridCol w:w="802"/>
        <w:gridCol w:w="1570"/>
        <w:gridCol w:w="1556"/>
        <w:gridCol w:w="1762"/>
      </w:tblGrid>
      <w:tr w:rsidR="00B45E59"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Областные дирекции банков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Объем кредитов, у.д.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Объем товарооборота, у.д.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Удельный вес к итогу, в %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Коэффициент локализации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Ранги коэффициентов локализации</w:t>
            </w:r>
          </w:p>
        </w:tc>
      </w:tr>
      <w:tr w:rsidR="00B45E59"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кредит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Товарооборот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</w:p>
        </w:tc>
      </w:tr>
      <w:tr w:rsidR="00B45E59"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360"/>
              </w:tabs>
              <w:spacing w:line="360" w:lineRule="auto"/>
              <w:ind w:left="360" w:right="-108" w:hanging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  <w:r>
              <w:rPr>
                <w:rFonts w:ascii="Arial" w:hAnsi="Arial"/>
                <w:sz w:val="22"/>
              </w:rPr>
              <w:tab/>
              <w:t>Винницкая</w:t>
            </w:r>
          </w:p>
          <w:p w:rsidR="00B45E59" w:rsidRDefault="00B45E59">
            <w:pPr>
              <w:widowControl/>
              <w:tabs>
                <w:tab w:val="left" w:pos="360"/>
              </w:tabs>
              <w:spacing w:line="360" w:lineRule="auto"/>
              <w:ind w:left="360" w:right="-108" w:hanging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  <w:r>
              <w:rPr>
                <w:rFonts w:ascii="Arial" w:hAnsi="Arial"/>
                <w:sz w:val="22"/>
              </w:rPr>
              <w:tab/>
              <w:t>Волынская</w:t>
            </w:r>
          </w:p>
          <w:p w:rsidR="00B45E59" w:rsidRDefault="00B45E59">
            <w:pPr>
              <w:widowControl/>
              <w:tabs>
                <w:tab w:val="left" w:pos="360"/>
              </w:tabs>
              <w:spacing w:line="360" w:lineRule="auto"/>
              <w:ind w:left="360" w:right="-108" w:hanging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  <w:r>
              <w:rPr>
                <w:rFonts w:ascii="Arial" w:hAnsi="Arial"/>
                <w:sz w:val="22"/>
              </w:rPr>
              <w:tab/>
              <w:t>Черниговская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rPr>
                <w:rFonts w:ascii="Arial" w:hAnsi="Arial"/>
                <w:sz w:val="22"/>
              </w:rPr>
            </w:pPr>
          </w:p>
        </w:tc>
      </w:tr>
      <w:tr w:rsidR="00B45E59"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0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К.л  -- коэффициент локализации      К лок =d рез / d фект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 рез – удельный вес результативного показателя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d ф --- удельный вес факторного показателя (товарооборота)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Значение коэффициента локализации колеблется  вокруг единицы и показывает стандартизированное отношение удельного веса результативного показателя  (кредитового оборота) к факторному (товарообороту), показывая место каждого региона на фоне остальных регионов как соотношение результата к пропорциональному его удельного веса фактора.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                 В ходе ренимирования  отдельного банка с наименьшим коэффициентом показаний   X   присваивается N 1 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numPr>
          <w:ilvl w:val="0"/>
          <w:numId w:val="6"/>
        </w:numPr>
        <w:spacing w:line="360" w:lineRule="auto"/>
        <w:ind w:left="0"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основании данных таблицы  N 1  строится таблица   N 2  в которой областные дирекции банка расположены в ряд по значениям коэффициента локализованным , как это показано  в таблице: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82"/>
        <w:gridCol w:w="1663"/>
        <w:gridCol w:w="1031"/>
        <w:gridCol w:w="1763"/>
        <w:gridCol w:w="1031"/>
        <w:gridCol w:w="1763"/>
        <w:gridCol w:w="1043"/>
        <w:gridCol w:w="1250"/>
      </w:tblGrid>
      <w:tr w:rsidR="00B45E59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Областные дирекции в ???? ряду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Коэффициент локализации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Удельный вес к итогу, в %</w:t>
            </w: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Кумулятивные удельные веса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40"/>
              </w:rPr>
              <w:t>d</w:t>
            </w:r>
            <w:r>
              <w:rPr>
                <w:rFonts w:ascii="Arial" w:hAnsi="Arial"/>
                <w:sz w:val="28"/>
              </w:rPr>
              <w:t>т*</w:t>
            </w:r>
            <w:r>
              <w:rPr>
                <w:rFonts w:ascii="Arial" w:hAnsi="Arial"/>
                <w:sz w:val="40"/>
              </w:rPr>
              <w:t>d</w:t>
            </w:r>
            <w:r>
              <w:rPr>
                <w:rFonts w:ascii="Arial" w:hAnsi="Arial"/>
                <w:sz w:val="28"/>
              </w:rPr>
              <w:t>k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40"/>
              </w:rPr>
              <w:t>|d</w:t>
            </w:r>
            <w:r>
              <w:rPr>
                <w:rFonts w:ascii="Arial" w:hAnsi="Arial"/>
                <w:sz w:val="28"/>
              </w:rPr>
              <w:t>т*</w:t>
            </w:r>
            <w:r>
              <w:rPr>
                <w:rFonts w:ascii="Arial" w:hAnsi="Arial"/>
                <w:sz w:val="40"/>
              </w:rPr>
              <w:t>d</w:t>
            </w:r>
            <w:r>
              <w:rPr>
                <w:rFonts w:ascii="Arial" w:hAnsi="Arial"/>
                <w:sz w:val="28"/>
              </w:rPr>
              <w:t>k</w:t>
            </w:r>
            <w:r>
              <w:rPr>
                <w:rFonts w:ascii="Arial" w:hAnsi="Arial"/>
                <w:sz w:val="40"/>
              </w:rPr>
              <w:t>|</w:t>
            </w:r>
          </w:p>
        </w:tc>
      </w:tr>
      <w:tr w:rsidR="00B45E59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кредита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товарооборота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кредита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товарооборота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</w:tr>
      <w:tr w:rsidR="00B45E59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</w:tr>
      <w:tr w:rsidR="00B45E59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</w:tr>
      <w:tr w:rsidR="00B45E59">
        <w:trPr>
          <w:jc w:val="center"/>
        </w:trPr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Итог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spacing w:line="360" w:lineRule="auto"/>
              <w:ind w:right="-1"/>
              <w:rPr>
                <w:rFonts w:ascii="Arial" w:hAnsi="Arial"/>
                <w:sz w:val="22"/>
              </w:rPr>
            </w:pPr>
          </w:p>
        </w:tc>
      </w:tr>
    </w:tbl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d к  -- кумулятивный вес кредита.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d т  -- кумулятивный вес товарооборота 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На  основе полученных данных дается графическая и аналитическая оценка уровня неравномерности распределения  или концентрации распределения по банку в целом.   Для этого используется специальный аппарат оценки концентрации с  наглядным изображением с помощью кривой Лоренца.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      Первая линия равномерного распределения.  На основании данных колонок  4 и 5 откладываются координаты.</w:t>
      </w:r>
    </w:p>
    <w:p w:rsidR="00B45E59" w:rsidRDefault="00B45E59">
      <w:pPr>
        <w:widowControl/>
        <w:numPr>
          <w:ilvl w:val="0"/>
          <w:numId w:val="8"/>
        </w:numPr>
        <w:spacing w:line="360" w:lineRule="auto"/>
        <w:ind w:left="0"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-- кривая Лоренца.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Если имеет место абсолютная пропорциональность, т. е. удельные веса результативного признака совпадают с удельными весами факторного , то точки кривой Лоренца совпадают с линией равномерного распределения 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Обобщенную оценку степени концентрации распределения дает расчет коэффициента концентрации. </w:t>
      </w:r>
    </w:p>
    <w:p w:rsidR="00B45E59" w:rsidRDefault="00B45E59">
      <w:pPr>
        <w:framePr w:w="1418" w:h="1025" w:hSpace="57" w:wrap="auto" w:vAnchor="text" w:hAnchor="text" w:x="3673" w:y="97"/>
        <w:widowControl/>
      </w:pPr>
      <w:r>
        <w:rPr>
          <w:vertAlign w:val="subscript"/>
        </w:rPr>
        <w:object w:dxaOrig="1410" w:dyaOrig="1005">
          <v:shape id="_x0000_i1026" type="#_x0000_t75" style="width:70.5pt;height:50.25pt" o:ole="">
            <v:imagedata r:id="rId9" o:title=""/>
          </v:shape>
          <o:OLEObject Type="Embed" ProgID="Equation.3" ShapeID="_x0000_i1026" DrawAspect="Content" ObjectID="_1468594787" r:id="rId10"/>
        </w:objec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/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К конц.=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При абсолютной пропорциональности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4B1B8B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noProof/>
        </w:rPr>
        <w:pict>
          <v:line id="Line 2" o:spid="_x0000_s1066" style="position:absolute;left:0;text-align:left;z-index:251655680;visibility:visible" from="176.4pt,5.2pt" to="205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AZKAIAAEo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" o:allowincell="f">
            <v:stroke endarrow="block"/>
          </v:line>
        </w:pict>
      </w:r>
      <w:r w:rsidR="00B45E59">
        <w:rPr>
          <w:rFonts w:ascii="Arial" w:hAnsi="Arial"/>
          <w:sz w:val="28"/>
        </w:rPr>
        <w:t xml:space="preserve">                          Sp=0                 Kk=0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Коэффициент концентрации изменяется от 0 до 1. Чем он больше , тем  неравномернее распределение результативного и факторного признака.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Для расчета Sp сначала определяется  Sq  между кривой Лоренца и осями координат.</w:t>
      </w:r>
    </w:p>
    <w:p w:rsidR="00B45E59" w:rsidRDefault="00B45E59">
      <w:pPr>
        <w:framePr w:w="3169" w:h="934" w:hSpace="57" w:wrap="auto" w:vAnchor="text" w:hAnchor="text" w:x="2089" w:y="145"/>
        <w:widowControl/>
      </w:pPr>
      <w:r>
        <w:rPr>
          <w:vertAlign w:val="subscript"/>
        </w:rPr>
        <w:object w:dxaOrig="3150" w:dyaOrig="915">
          <v:shape id="_x0000_i1027" type="#_x0000_t75" style="width:157.5pt;height:45.75pt" o:ole="">
            <v:imagedata r:id="rId11" o:title=""/>
          </v:shape>
          <o:OLEObject Type="Embed" ProgID="Equation.3" ShapeID="_x0000_i1027" DrawAspect="Content" ObjectID="_1468594788" r:id="rId12"/>
        </w:objec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K конц. = </w: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Существует еще один метод оценки коэффициента</w: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концентрации</w:t>
      </w:r>
    </w:p>
    <w:p w:rsidR="00B45E59" w:rsidRDefault="00B45E59">
      <w:pPr>
        <w:framePr w:w="2022" w:h="934" w:hSpace="57" w:wrap="auto" w:vAnchor="text" w:hAnchor="text" w:x="2089" w:y="153"/>
        <w:widowControl/>
      </w:pPr>
      <w:r>
        <w:rPr>
          <w:vertAlign w:val="subscript"/>
        </w:rPr>
        <w:object w:dxaOrig="1995" w:dyaOrig="915">
          <v:shape id="_x0000_i1028" type="#_x0000_t75" style="width:99.75pt;height:45.75pt" o:ole="">
            <v:imagedata r:id="rId13" o:title=""/>
          </v:shape>
          <o:OLEObject Type="Embed" ProgID="Equation.3" ShapeID="_x0000_i1028" DrawAspect="Content" ObjectID="_1468594789" r:id="rId14"/>
        </w:objec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 конц = </w: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Аппарат показателей концентрации используется в двух основных аспектах</w: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1) для анализа динамики процесса концентраци при взаимосвязи одного результативного признака с одним факторным признаком за различные отрезки времени </w: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2) при анализе концентрации одного результативного признака с совокупностью факторных. Такой анализ является базой для определения наиболее существенного влияющего фактора на показатели банковской деятельности (используются показатели внутрибанковской и внешней среды) - например анализ пропорциональности кредитныхвложений с распределением результатов работы различных отраслей - заемщиков кредитов.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Кроме графиков кривой Лоренца дается графическое изображение коэффициентов локализации.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4B1B8B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noProof/>
        </w:rPr>
        <w:pict>
          <v:group id="Group 3" o:spid="_x0000_s1063" style="position:absolute;left:0;text-align:left;margin-left:183.6pt;margin-top:125.2pt;width:280.8pt;height:43.2pt;z-index:2516567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" o:allowincell="f">
            <v:shape id="Freeform 4" o:spid="_x0000_s1064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w+sEA&#10;AADbAAAADwAAAGRycy9kb3ducmV2LnhtbERPz2vCMBS+D/wfwhN2m2lllNEZxQpjngarote35q0p&#10;a17aJtr2v18Ogx0/vt+b3WRbcafBN44VpKsEBHHldMO1gvPp7ekFhA/IGlvHpGAmD7vt4mGDuXYj&#10;f9K9DLWIIexzVGBC6HIpfWXIol+5jjhy326wGCIcaqkHHGO4beU6STJpseHYYLCjg6Hqp7xZBV/F&#10;+3ix2XUuklP/3LsMP1LTK/W4nPavIAJN4V/85z5qBeu4Pn6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AcPrBAAAA2wAAAA8AAAAAAAAAAAAAAAAAmAIAAGRycy9kb3du&#10;cmV2LnhtbFBLBQYAAAAABAAEAPUAAACGAwAAAAA=&#10;" path="m,l,20000r20000,l20000,,,e">
              <v:fill r:id="rId15" o:title="" type="pattern"/>
              <v:path arrowok="t" o:connecttype="custom" o:connectlocs="0,0;0,20000;20000,20000;20000,0;0,0" o:connectangles="0,0,0,0,0"/>
            </v:shape>
            <v:rect id="Rectangle 5" o:spid="_x0000_s1065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vlcUA&#10;AADbAAAADwAAAGRycy9kb3ducmV2LnhtbESPT2sCMRTE74V+h/AK3mrWPUi7GsWWKq2K4B/Q42Pz&#10;3F26eVmSVNNv3wgFj8PM/IYZT6NpxYWcbywrGPQzEMSl1Q1XCg77+fMLCB+QNbaWScEveZhOHh/G&#10;WGh75S1ddqESCcK+QAV1CF0hpS9rMuj7tiNO3tk6gyFJV0nt8JrgppV5lg2lwYbTQo0dvddUfu9+&#10;jIJljF+ndcjfjm75ul99VMfNImelek9xNgIRKIZ7+L/9qRXkA7h9ST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++VxQAAANsAAAAPAAAAAAAAAAAAAAAAAJgCAABkcnMv&#10;ZG93bnJldi54bWxQSwUGAAAAAAQABAD1AAAAigMAAAAA&#10;" filled="f" stroked="f">
              <v:textbox inset="1.8pt,1.8pt,1.8pt,1.8pt">
                <w:txbxContent>
                  <w:p w:rsidR="00B45E59" w:rsidRDefault="00B45E59">
                    <w:pPr>
                      <w:pStyle w:val="1"/>
                      <w:widowControl/>
                      <w:ind w:left="36" w:right="36"/>
                    </w:pPr>
                    <w:r>
                      <w:t>Название обласных дирекций</w:t>
                    </w:r>
                  </w:p>
                </w:txbxContent>
              </v:textbox>
            </v:rect>
          </v:group>
        </w:pic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Такие столбовые диаграммы строятся по различным аспектам пропорциональности банковской деятельности, как по внутренней так и по внешней среде.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ab/>
        <w:t>Существенным дополнением к анализу пропорциональности является оценка корреляционно-регрессионной зависимости между абсолютными значениями результативного и факторного признаков Например : между кредитом и товарооборотом - с помощью коэффициентов регрессиии коэффициетов корреляции и сопоставления соответствующих показателей вариации.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Дополнением к анализу является сравнение вариации результативных и факторных признаков как предпосылкой уточнения взаимосвязи между ними. Для данного примера расчитываются два основных показателя вариации: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- среднеее квадратическое отклонение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и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- коэффициент вариации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 - товарооборот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n - число подразделений банка</w:t>
      </w:r>
    </w:p>
    <w:p w:rsidR="00B45E59" w:rsidRDefault="004B1B8B">
      <w:pPr>
        <w:framePr w:w="2040" w:h="1600" w:wrap="notBeside" w:vAnchor="text" w:hAnchor="text" w:x="6265" w:y="897"/>
        <w:widowControl/>
      </w:pPr>
      <w:r>
        <w:rPr>
          <w:noProof/>
          <w:vertAlign w:val="subscript"/>
          <w:lang w:val="ru-RU"/>
        </w:rPr>
        <w:pict>
          <v:shape id="Рисунок 5" o:spid="_x0000_i1029" type="#_x0000_t75" style="width:101.25pt;height:81pt;visibility:visible">
            <v:imagedata r:id="rId16" o:title=""/>
          </v:shape>
        </w:pict>
      </w:r>
    </w:p>
    <w:p w:rsidR="00B45E59" w:rsidRDefault="00B45E59">
      <w:pPr>
        <w:framePr w:w="4099" w:h="1860" w:wrap="notBeside" w:vAnchor="text" w:hAnchor="text" w:x="361" w:y="609"/>
        <w:widowControl/>
      </w:pPr>
      <w:r>
        <w:rPr>
          <w:vertAlign w:val="subscript"/>
        </w:rPr>
        <w:object w:dxaOrig="4095" w:dyaOrig="1860">
          <v:shape id="_x0000_i1030" type="#_x0000_t75" style="width:204.75pt;height:93pt" o:ole="">
            <v:imagedata r:id="rId17" o:title=""/>
          </v:shape>
          <o:OLEObject Type="Embed" ProgID="Equation.3" ShapeID="_x0000_i1030" DrawAspect="Content" ObjectID="_1468594790" r:id="rId18"/>
        </w:objec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4B1B8B">
      <w:pPr>
        <w:framePr w:w="2400" w:h="1540" w:wrap="notBeside" w:vAnchor="text" w:hAnchor="text" w:x="2233" w:y="-143"/>
        <w:widowControl/>
      </w:pPr>
      <w:r>
        <w:rPr>
          <w:noProof/>
          <w:vertAlign w:val="subscript"/>
          <w:lang w:val="ru-RU"/>
        </w:rPr>
        <w:lastRenderedPageBreak/>
        <w:pict>
          <v:shape id="Рисунок 7" o:spid="_x0000_i1031" type="#_x0000_t75" style="width:119.25pt;height:77.25pt;visibility:visible">
            <v:imagedata r:id="rId19" o:title=""/>
          </v:shape>
        </w:pic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Сравнение между показателями производится только по показателю вариации.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Разница в процентах ис-ся прцентными пунктами.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Дальнейшая детализация анализа требует изучения вариации анализируемого признака во взаимосвязи группировок результативного и факторного признаков, в частности, с помощью комбинационных группировок.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С этой целбю по исходным данным строится комбинационная группировка по двум признакам - как факторному, так и результативному.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78"/>
        <w:gridCol w:w="1081"/>
        <w:gridCol w:w="1081"/>
        <w:gridCol w:w="1081"/>
        <w:gridCol w:w="1081"/>
        <w:gridCol w:w="1081"/>
        <w:gridCol w:w="1173"/>
      </w:tblGrid>
      <w:tr w:rsidR="00B45E5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Группы областных дирекций по объему товарооборотов</w:t>
            </w:r>
          </w:p>
        </w:tc>
        <w:tc>
          <w:tcPr>
            <w:tcW w:w="75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pStyle w:val="2"/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Группы областных дирекций по объему кредита</w:t>
            </w:r>
          </w:p>
        </w:tc>
      </w:tr>
      <w:tr w:rsidR="00B45E5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Всего</w:t>
            </w:r>
          </w:p>
        </w:tc>
      </w:tr>
      <w:tr w:rsidR="00B45E5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</w:p>
        </w:tc>
      </w:tr>
      <w:tr w:rsidR="00B45E59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Всего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E59" w:rsidRDefault="00B45E59">
            <w:pPr>
              <w:widowControl/>
              <w:tabs>
                <w:tab w:val="left" w:pos="1134"/>
                <w:tab w:val="left" w:pos="8647"/>
              </w:tabs>
              <w:spacing w:line="360" w:lineRule="auto"/>
              <w:ind w:right="-1"/>
              <w:jc w:val="both"/>
              <w:rPr>
                <w:rFonts w:ascii="Arial" w:hAnsi="Arial"/>
                <w:sz w:val="22"/>
              </w:rPr>
            </w:pPr>
          </w:p>
        </w:tc>
      </w:tr>
    </w:tbl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это упрщение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Данные полученных группировок являются базой для оценки тесноты связи между результативным и факторными </w:t>
      </w:r>
      <w:r>
        <w:rPr>
          <w:rFonts w:ascii="Arial" w:hAnsi="Arial"/>
          <w:sz w:val="28"/>
        </w:rPr>
        <w:lastRenderedPageBreak/>
        <w:t>признаками и оценки существенности этой связи. С этой целью производятся следующие расчеты :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По данным первой исходной таблицы по областным дирекциям расчитывается дисперсия результативного признака или суммы квадратов отклонений.</w:t>
      </w:r>
    </w:p>
    <w:p w:rsidR="00B45E59" w:rsidRDefault="004B1B8B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noProof/>
        </w:rPr>
        <w:pict>
          <v:group id="Group 6" o:spid="_x0000_s1059" style="position:absolute;left:0;text-align:left;margin-left:155.45pt;margin-top:.4pt;width:215.35pt;height:79.2pt;z-index:251657728" coordorigin="-17632" coordsize="37631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" o:allowincell="f">
            <v:shape id="Freeform 7" o:spid="_x0000_s1060" style="position:absolute;left:-17632;top:2273;width:16592;height:95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HqMEA&#10;AADbAAAADwAAAGRycy9kb3ducmV2LnhtbERPS2vCQBC+F/oflil4q5uUEiS6hloo9iT4oL2O2TEb&#10;zM4m2dXEf+8WCt7m43vOohhtI67U+9qxgnSagCAuna65UnDYf73OQPiArLFxTApu5KFYPj8tMNdu&#10;4C1dd6ESMYR9jgpMCG0upS8NWfRT1xJH7uR6iyHCvpK6xyGG20a+JUkmLdYcGwy29GmoPO8uVsFx&#10;tR5+bPZ7WyX77r1zGW5S0yk1eRk/5iACjeEh/nd/6zg/g79f4g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Jh6jBAAAA2wAAAA8AAAAAAAAAAAAAAAAAmAIAAGRycy9kb3du&#10;cmV2LnhtbFBLBQYAAAAABAAEAPUAAACGAwAAAAA=&#10;" path="m,20000l10079,r9921,e">
              <v:fill r:id="rId15" o:title="" type="pattern"/>
              <v:path arrowok="t" o:connecttype="custom" o:connectlocs="0,9507;8362,0;16592,0" o:connectangles="0,0,0"/>
            </v:shape>
            <v:line id="Line 8" o:spid="_x0000_s1061" style="position:absolute;visibility:visible" from="-1040,0" to="-1040,1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rect id="Rectangle 9" o:spid="_x0000_s1062" style="position:absolute;width:19999;height:199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2MtcUA&#10;AADbAAAADwAAAGRycy9kb3ducmV2LnhtbESPQUsDMRCF74L/IYzgzWbdg9ht06KiUtsi2Bba47CZ&#10;7i5uJkuStvHfOwfB2wzvzXvfTOfZ9epMIXaeDdyPClDEtbcdNwZ227e7R1AxIVvsPZOBH4own11f&#10;TbGy/sJfdN6kRkkIxwoNtCkNldaxbslhHPmBWLSjDw6TrKHRNuBFwl2vy6J40A47loYWB3ppqf7e&#10;nJyBZc4fh3Uqn/dhOd6uXpv953vJxtze5KcJqEQ5/Zv/rhdW8AVWfpEB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fYy1xQAAANsAAAAPAAAAAAAAAAAAAAAAAJgCAABkcnMv&#10;ZG93bnJldi54bWxQSwUGAAAAAAQABAD1AAAAigMAAAAA&#10;" filled="f" stroked="f">
              <v:textbox inset="1.8pt,1.8pt,1.8pt,1.8pt">
                <w:txbxContent>
                  <w:p w:rsidR="00B45E59" w:rsidRDefault="00B45E59">
                    <w:pPr>
                      <w:pStyle w:val="21"/>
                      <w:widowControl/>
                      <w:ind w:left="36" w:right="36"/>
                    </w:pPr>
                    <w:r>
                      <w:t>Это общая сумма квадратов отклонений</w:t>
                    </w:r>
                  </w:p>
                </w:txbxContent>
              </v:textbox>
            </v:rect>
          </v:group>
        </w:pict>
      </w:r>
    </w:p>
    <w:p w:rsidR="00B45E59" w:rsidRDefault="004B1B8B">
      <w:pPr>
        <w:framePr w:w="3159" w:h="820" w:wrap="notBeside" w:vAnchor="text" w:hAnchor="text" w:x="1" w:y="1"/>
        <w:widowControl/>
      </w:pPr>
      <w:r>
        <w:rPr>
          <w:noProof/>
          <w:vertAlign w:val="subscript"/>
          <w:lang w:val="ru-RU"/>
        </w:rPr>
        <w:pict>
          <v:shape id="Рисунок 8" o:spid="_x0000_i1032" type="#_x0000_t75" style="width:158.25pt;height:41.25pt;visibility:visible">
            <v:imagedata r:id="rId20" o:title=""/>
          </v:shape>
        </w:pic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4B1B8B">
      <w:pPr>
        <w:framePr w:w="2740" w:h="800" w:wrap="notBeside" w:vAnchor="text" w:hAnchor="text" w:x="217" w:y="1325"/>
        <w:widowControl/>
      </w:pPr>
      <w:r>
        <w:rPr>
          <w:noProof/>
        </w:rPr>
        <w:pict>
          <v:group id="Group 10" o:spid="_x0000_s1056" style="position:absolute;margin-left:140.4pt;margin-top:66.2pt;width:223.2pt;height:36pt;z-index:25165875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" o:allowincell="f">
            <v:shape id="Freeform 11" o:spid="_x0000_s105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so8MA&#10;AADaAAAADwAAAGRycy9kb3ducmV2LnhtbESPQWvCQBSE7wX/w/IEb80mRUKJrqEK0p6Equj1Nfua&#10;Dc2+TbJbE/99t1DocZiZb5h1OdlW3GjwjWMFWZKCIK6cbrhWcD7tH59B+ICssXVMCu7kodzMHtZY&#10;aDfyO92OoRYRwr5ABSaErpDSV4Ys+sR1xNH7dIPFEOVQSz3gGOG2lU9pmkuLDccFgx3tDFVfx2+r&#10;4GP7Ol5sfr1v01O/7F2Oh8z0Si3m08sKRKAp/If/2m9awR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Kso8MAAADaAAAADwAAAAAAAAAAAAAAAACYAgAAZHJzL2Rv&#10;d25yZXYueG1sUEsFBgAAAAAEAAQA9QAAAIgDAAAAAA==&#10;" path="m,l,20000r20000,l20000,,,e">
              <v:fill r:id="rId15" o:title="" type="pattern"/>
              <v:path arrowok="t" o:connecttype="custom" o:connectlocs="0,0;0,20000;20000,20000;20000,0;0,0" o:connectangles="0,0,0,0,0"/>
            </v:shape>
            <v:rect id="Rectangle 12" o:spid="_x0000_s1058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6FocQA&#10;AADaAAAADwAAAGRycy9kb3ducmV2LnhtbESPQWsCMRSE7wX/Q3iCt5p1D9JujVKllVZFqAp6fGxe&#10;dxc3L0uSavrvG6HgcZiZb5jJLJpWXMj5xrKC0TADQVxa3XCl4LB/f3wC4QOyxtYyKfglD7Np72GC&#10;hbZX/qLLLlQiQdgXqKAOoSuk9GVNBv3QdsTJ+7bOYEjSVVI7vCa4aWWeZWNpsOG0UGNHi5rK8+7H&#10;KFjF+HnahHx+dKvn/fqtOm6XOSs16MfXFxCBYriH/9sfWsEYblfSDZ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+haHEAAAA2gAAAA8AAAAAAAAAAAAAAAAAmAIAAGRycy9k&#10;b3ducmV2LnhtbFBLBQYAAAAABAAEAPUAAACJAwAAAAA=&#10;" filled="f" stroked="f">
              <v:textbox inset="1.8pt,1.8pt,1.8pt,1.8pt">
                <w:txbxContent>
                  <w:p w:rsidR="00B45E59" w:rsidRDefault="00B45E59">
                    <w:pPr>
                      <w:widowControl/>
                      <w:ind w:left="36" w:right="3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, где Кij – групповые средние</w:t>
                    </w:r>
                  </w:p>
                </w:txbxContent>
              </v:textbox>
            </v:rect>
          </v:group>
        </w:pict>
      </w:r>
      <w:r>
        <w:rPr>
          <w:noProof/>
          <w:vertAlign w:val="subscript"/>
          <w:lang w:val="ru-RU"/>
        </w:rPr>
        <w:pict>
          <v:shape id="Рисунок 9" o:spid="_x0000_i1033" type="#_x0000_t75" style="width:137.25pt;height:39.75pt;visibility:visible">
            <v:imagedata r:id="rId21" o:title=""/>
          </v:shape>
        </w:pic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По группировки расчитывается факторная сумма квадратов отклонений: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Это сумма квадратов отклонений под влиянием избранного фактора, заложенного в группировку. В то же врямя по закону сложных дисперсий известно, что</w:t>
      </w:r>
    </w:p>
    <w:p w:rsidR="00B45E59" w:rsidRDefault="004B1B8B">
      <w:pPr>
        <w:framePr w:w="499" w:h="540" w:wrap="notBeside" w:vAnchor="text" w:hAnchor="text" w:x="1798" w:y="1425"/>
        <w:widowControl/>
      </w:pPr>
      <w:r>
        <w:rPr>
          <w:noProof/>
          <w:vertAlign w:val="subscript"/>
          <w:lang w:val="ru-RU"/>
        </w:rPr>
        <w:pict>
          <v:shape id="Рисунок 10" o:spid="_x0000_i1034" type="#_x0000_t75" style="width:24.75pt;height:27pt;visibility:visible">
            <v:imagedata r:id="rId22" o:title=""/>
          </v:shape>
        </w:pict>
      </w:r>
    </w:p>
    <w:p w:rsidR="00B45E59" w:rsidRDefault="004B1B8B">
      <w:pPr>
        <w:framePr w:w="2480" w:h="800" w:wrap="notBeside" w:vAnchor="text" w:hAnchor="text" w:x="1225" w:y="273"/>
        <w:widowControl/>
      </w:pPr>
      <w:r>
        <w:rPr>
          <w:noProof/>
          <w:vertAlign w:val="subscript"/>
          <w:lang w:val="ru-RU"/>
        </w:rPr>
        <w:pict>
          <v:shape id="Рисунок 11" o:spid="_x0000_i1035" type="#_x0000_t75" style="width:123.75pt;height:39.75pt;visibility:visible">
            <v:imagedata r:id="rId23" o:title=""/>
          </v:shape>
        </w:pic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где           - это вариация результативного признака под влиянием всех других факторов кроме отбранного.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ab/>
        <w:t xml:space="preserve">Оценка существенности связи между результативным и факторным признаком проводится с помощью критерия Фишера : </w:t>
      </w:r>
    </w:p>
    <w:p w:rsidR="00B45E59" w:rsidRDefault="004B1B8B">
      <w:pPr>
        <w:framePr w:w="2780" w:h="1640" w:wrap="notBeside" w:vAnchor="text" w:hAnchor="text" w:x="1225" w:y="1"/>
        <w:widowControl/>
      </w:pPr>
      <w:r>
        <w:rPr>
          <w:noProof/>
          <w:vertAlign w:val="subscript"/>
          <w:lang w:val="ru-RU"/>
        </w:rPr>
        <w:pict>
          <v:shape id="Рисунок 12" o:spid="_x0000_i1036" type="#_x0000_t75" style="width:138.75pt;height:81.75pt;visibility:visible">
            <v:imagedata r:id="rId24" o:title=""/>
          </v:shape>
        </w:pic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где К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= n-m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    K</w:t>
      </w:r>
      <w:r>
        <w:rPr>
          <w:rFonts w:ascii="Arial" w:hAnsi="Arial"/>
          <w:sz w:val="28"/>
          <w:vertAlign w:val="subscript"/>
        </w:rPr>
        <w:t>1</w:t>
      </w:r>
      <w:r>
        <w:rPr>
          <w:rFonts w:ascii="Arial" w:hAnsi="Arial"/>
          <w:sz w:val="28"/>
        </w:rPr>
        <w:t>= m-1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 - число степеней свободы,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n - число элементов (число областных дирекций)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m - число групп в группировке.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По эмпирическим данным расчитывается фактические значения F. Фактические данные сравниваются с критическими, принятыми по таблице распределения Фишера. Если F</w:t>
      </w:r>
      <w:r>
        <w:rPr>
          <w:rFonts w:ascii="Arial" w:hAnsi="Arial"/>
          <w:sz w:val="28"/>
          <w:vertAlign w:val="subscript"/>
        </w:rPr>
        <w:t>ф</w:t>
      </w:r>
      <w:r>
        <w:rPr>
          <w:rFonts w:ascii="Arial" w:hAnsi="Arial"/>
          <w:sz w:val="28"/>
        </w:rPr>
        <w:t>&gt;F</w:t>
      </w:r>
      <w:r>
        <w:rPr>
          <w:rFonts w:ascii="Arial" w:hAnsi="Arial"/>
          <w:sz w:val="28"/>
          <w:vertAlign w:val="subscript"/>
        </w:rPr>
        <w:t>к</w:t>
      </w:r>
      <w:r>
        <w:rPr>
          <w:rFonts w:ascii="Arial" w:hAnsi="Arial"/>
          <w:sz w:val="28"/>
        </w:rPr>
        <w:t xml:space="preserve"> (K</w:t>
      </w:r>
      <w:r>
        <w:rPr>
          <w:rFonts w:ascii="Arial" w:hAnsi="Arial"/>
          <w:sz w:val="28"/>
          <w:vertAlign w:val="subscript"/>
        </w:rPr>
        <w:t>1</w:t>
      </w:r>
      <w:r>
        <w:rPr>
          <w:rFonts w:ascii="Arial" w:hAnsi="Arial"/>
          <w:sz w:val="28"/>
        </w:rPr>
        <w:t>, К</w:t>
      </w:r>
      <w:r>
        <w:rPr>
          <w:rFonts w:ascii="Arial" w:hAnsi="Arial"/>
          <w:sz w:val="28"/>
          <w:vertAlign w:val="subscript"/>
        </w:rPr>
        <w:t>2</w:t>
      </w:r>
      <w:r>
        <w:rPr>
          <w:rFonts w:ascii="Arial" w:hAnsi="Arial"/>
          <w:sz w:val="28"/>
        </w:rPr>
        <w:t>), то гипотеза о существенности связи между результативным и факторным признаками (объем кредита и объем товарооборота) не отвергается. И наоборот.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Разложение этих дисперсий позволяет определить долю вариаций за счет факторного признака в общей вариации результативного признака. С этой целью используется коэффициент детерминации: </w: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center"/>
        <w:rPr>
          <w:rFonts w:ascii="Arial" w:hAnsi="Arial"/>
          <w:spacing w:val="20"/>
          <w:sz w:val="32"/>
        </w:rPr>
      </w:pPr>
      <w:r>
        <w:rPr>
          <w:rFonts w:ascii="Arial" w:hAnsi="Arial"/>
          <w:spacing w:val="20"/>
          <w:sz w:val="36"/>
        </w:rPr>
        <w:t>R</w:t>
      </w:r>
      <w:r>
        <w:rPr>
          <w:rFonts w:ascii="Arial" w:hAnsi="Arial"/>
          <w:spacing w:val="20"/>
          <w:sz w:val="36"/>
          <w:vertAlign w:val="superscript"/>
        </w:rPr>
        <w:t>2</w:t>
      </w:r>
      <w:r>
        <w:rPr>
          <w:rFonts w:ascii="Arial" w:hAnsi="Arial"/>
          <w:spacing w:val="20"/>
          <w:sz w:val="36"/>
        </w:rPr>
        <w:t>=S</w:t>
      </w:r>
      <w:r>
        <w:rPr>
          <w:rFonts w:ascii="Arial" w:hAnsi="Arial"/>
          <w:spacing w:val="20"/>
          <w:sz w:val="36"/>
          <w:vertAlign w:val="superscript"/>
        </w:rPr>
        <w:t>2</w:t>
      </w:r>
      <w:r>
        <w:rPr>
          <w:rFonts w:ascii="Arial" w:hAnsi="Arial"/>
          <w:spacing w:val="20"/>
          <w:sz w:val="36"/>
          <w:vertAlign w:val="subscript"/>
        </w:rPr>
        <w:t>ф</w:t>
      </w:r>
      <w:r>
        <w:rPr>
          <w:rFonts w:ascii="Arial" w:hAnsi="Arial"/>
          <w:spacing w:val="20"/>
          <w:sz w:val="36"/>
        </w:rPr>
        <w:t>/S</w:t>
      </w:r>
      <w:r>
        <w:rPr>
          <w:rFonts w:ascii="Arial" w:hAnsi="Arial"/>
          <w:spacing w:val="20"/>
          <w:sz w:val="36"/>
          <w:vertAlign w:val="subscript"/>
        </w:rPr>
        <w:t>общ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Если, например, R</w:t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sz w:val="28"/>
        </w:rPr>
        <w:t xml:space="preserve"> = 60% , то это значит, что из общего объема вариации вариация за счет избранного факторного признака составляет 60%.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По отобранным данным, после установления существенности связи, определяется зависимость между результативным и факторным признаками с помощью уравнения регрессии: </w:t>
      </w:r>
    </w:p>
    <w:p w:rsidR="00B45E59" w:rsidRDefault="00B45E59">
      <w:pPr>
        <w:widowControl/>
        <w:tabs>
          <w:tab w:val="left" w:pos="1134"/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y = a + bx  </w: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y - объем кредитов</w:t>
      </w: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x - объем товарооборота</w:t>
      </w:r>
    </w:p>
    <w:p w:rsidR="00B45E59" w:rsidRDefault="00B45E59">
      <w:pPr>
        <w:widowControl/>
        <w:tabs>
          <w:tab w:val="left" w:pos="1134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Параметры этого уравнения находятся методом наименьших квадратов.</w:t>
      </w:r>
    </w:p>
    <w:p w:rsidR="00B45E59" w:rsidRDefault="004B1B8B">
      <w:pPr>
        <w:framePr w:w="2664" w:h="892" w:hSpace="180" w:wrap="auto" w:vAnchor="text" w:hAnchor="text" w:x="1" w:y="1"/>
        <w:widowControl/>
      </w:pPr>
      <w:r>
        <w:rPr>
          <w:noProof/>
        </w:rPr>
        <w:pict>
          <v:group id="Group 13" o:spid="_x0000_s1054" style="position:absolute;margin-left:291.6pt;margin-top:118.8pt;width:133.2pt;height:44.6pt;z-index:25165977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" o:allowincell="f">
            <v:shape id="Freeform 14" o:spid="_x0000_s1055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RTMMA&#10;AADaAAAADwAAAGRycy9kb3ducmV2LnhtbESPzWrDMBCE74W8g9hAb7XsUExxopgmENpTIT8k1621&#10;tUytlW2psfP2UaHQ4zAz3zCrcrKtuNLgG8cKsiQFQVw53XCt4HTcPb2A8AFZY+uYFNzIQ7mePayw&#10;0G7kPV0PoRYRwr5ABSaErpDSV4Ys+sR1xNH7coPFEOVQSz3gGOG2lYs0zaXFhuOCwY62hqrvw49V&#10;8Ll5G882v9w26bF/7l2OH5nplXqcT69LEIGm8B/+a79rBQv4vRJv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eRTMMAAADaAAAADwAAAAAAAAAAAAAAAACYAgAAZHJzL2Rv&#10;d25yZXYueG1sUEsFBgAAAAAEAAQA9QAAAIgDAAAAAA==&#10;" path="m,l,20000r20000,l20000,,,e">
              <v:fill r:id="rId15" o:title="" type="pattern"/>
              <v:path arrowok="t" o:connecttype="custom" o:connectlocs="0,0;0,20000;20000,20000;20000,0;0,0" o:connectangles="0,0,0,0,0"/>
            </v:shape>
          </v:group>
        </w:pict>
      </w:r>
      <w:r w:rsidR="00B45E59">
        <w:rPr>
          <w:i/>
          <w:spacing w:val="26"/>
          <w:sz w:val="48"/>
        </w:rPr>
        <w:t>y=c+bx+ct</w:t>
      </w:r>
    </w:p>
    <w:p w:rsidR="00B45E59" w:rsidRDefault="00B45E59">
      <w:pPr>
        <w:widowControl/>
        <w:tabs>
          <w:tab w:val="left" w:pos="1134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b - коэффициент регрессии, показывающий скорость изменения функции или на сколько данных единиц изменится объем кредитов при изменении объема товарооборота на единицу.</w:t>
      </w:r>
    </w:p>
    <w:p w:rsidR="00B45E59" w:rsidRDefault="004B1B8B">
      <w:pPr>
        <w:framePr w:w="5580" w:h="2400" w:wrap="notBeside" w:vAnchor="text" w:hAnchor="text" w:x="73" w:y="2153"/>
        <w:widowControl/>
      </w:pPr>
      <w:r>
        <w:rPr>
          <w:noProof/>
          <w:vertAlign w:val="subscript"/>
          <w:lang w:val="ru-RU"/>
        </w:rPr>
        <w:pict>
          <v:shape id="Рисунок 13" o:spid="_x0000_i1037" type="#_x0000_t75" style="width:279pt;height:120pt;visibility:visible">
            <v:imagedata r:id="rId25" o:title=""/>
          </v:shape>
        </w:pict>
      </w:r>
    </w:p>
    <w:p w:rsidR="00B45E59" w:rsidRDefault="004B1B8B">
      <w:pPr>
        <w:framePr w:w="4260" w:h="1500" w:wrap="notBeside" w:vAnchor="text" w:hAnchor="text" w:x="73" w:y="137"/>
        <w:widowControl/>
      </w:pPr>
      <w:r>
        <w:rPr>
          <w:noProof/>
          <w:vertAlign w:val="subscript"/>
          <w:lang w:val="ru-RU"/>
        </w:rPr>
        <w:pict>
          <v:shape id="Рисунок 14" o:spid="_x0000_i1038" type="#_x0000_t75" style="width:213.75pt;height:75pt;visibility:visible">
            <v:imagedata r:id="rId26" o:title=""/>
          </v:shape>
        </w:pict>
      </w:r>
    </w:p>
    <w:p w:rsidR="00B45E59" w:rsidRDefault="00B45E59">
      <w:pPr>
        <w:widowControl/>
        <w:tabs>
          <w:tab w:val="left" w:pos="1134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i/>
          <w:spacing w:val="26"/>
          <w:sz w:val="48"/>
        </w:rPr>
      </w:pPr>
    </w:p>
    <w:p w:rsidR="00B45E59" w:rsidRDefault="00B45E59">
      <w:pPr>
        <w:widowControl/>
        <w:tabs>
          <w:tab w:val="left" w:pos="8647"/>
        </w:tabs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Рассмотрим пример такого анализа.</w:t>
      </w:r>
    </w:p>
    <w:p w:rsidR="00B45E59" w:rsidRDefault="00B45E59">
      <w:pPr>
        <w:widowControl/>
        <w:spacing w:line="360" w:lineRule="auto"/>
        <w:ind w:right="-1" w:firstLine="567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Исходная и расчетная информация приведена в таблице.</w:t>
      </w:r>
      <w:bookmarkStart w:id="0" w:name="_GoBack"/>
      <w:bookmarkEnd w:id="0"/>
    </w:p>
    <w:sectPr w:rsidR="00B45E59">
      <w:footerReference w:type="even" r:id="rId27"/>
      <w:footerReference w:type="default" r:id="rId28"/>
      <w:endnotePr>
        <w:numFmt w:val="decimal"/>
      </w:endnotePr>
      <w:pgSz w:w="12240" w:h="15840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59" w:rsidRDefault="00B45E59">
      <w:r>
        <w:separator/>
      </w:r>
    </w:p>
  </w:endnote>
  <w:endnote w:type="continuationSeparator" w:id="0">
    <w:p w:rsidR="00B45E59" w:rsidRDefault="00B4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9" w:rsidRDefault="00B45E59">
    <w:pPr>
      <w:pStyle w:val="a3"/>
      <w:framePr w:wrap="auto" w:vAnchor="text" w:hAnchor="margin" w:xAlign="center" w:y="1"/>
      <w:widowControl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B45E59" w:rsidRDefault="00B45E59">
    <w:pPr>
      <w:pStyle w:val="a3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9" w:rsidRDefault="00B45E59">
    <w:pPr>
      <w:pStyle w:val="a3"/>
      <w:framePr w:wrap="auto" w:vAnchor="text" w:hAnchor="margin" w:xAlign="center" w:y="1"/>
      <w:widowControl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1B8B">
      <w:rPr>
        <w:rStyle w:val="a9"/>
        <w:noProof/>
      </w:rPr>
      <w:t>12</w:t>
    </w:r>
    <w:r>
      <w:rPr>
        <w:rStyle w:val="a9"/>
      </w:rPr>
      <w:fldChar w:fldCharType="end"/>
    </w:r>
  </w:p>
  <w:p w:rsidR="00B45E59" w:rsidRDefault="00B45E59">
    <w:pPr>
      <w:pStyle w:val="a3"/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59" w:rsidRDefault="00B45E59">
      <w:r>
        <w:separator/>
      </w:r>
    </w:p>
  </w:footnote>
  <w:footnote w:type="continuationSeparator" w:id="0">
    <w:p w:rsidR="00B45E59" w:rsidRDefault="00B4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26163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C866796"/>
    <w:multiLevelType w:val="singleLevel"/>
    <w:tmpl w:val="68FACB9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">
    <w:nsid w:val="348E5B1C"/>
    <w:multiLevelType w:val="singleLevel"/>
    <w:tmpl w:val="A7E0A62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A Serif" w:hAnsi="TA Serif" w:hint="default"/>
        <w:sz w:val="28"/>
      </w:rPr>
    </w:lvl>
  </w:abstractNum>
  <w:abstractNum w:abstractNumId="3">
    <w:nsid w:val="47E27D47"/>
    <w:multiLevelType w:val="singleLevel"/>
    <w:tmpl w:val="A7E0A624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A Serif" w:hAnsi="TA Serif" w:hint="default"/>
        <w:sz w:val="28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0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A9D"/>
    <w:rsid w:val="00223A9D"/>
    <w:rsid w:val="004B1B8B"/>
    <w:rsid w:val="00B45E59"/>
    <w:rsid w:val="00F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  <o:rules v:ext="edit">
        <o:r id="V:Rule1" type="connector" idref="#Line 8"/>
      </o:rules>
    </o:shapelayout>
  </w:shapeDefaults>
  <w:decimalSymbol w:val=","/>
  <w:listSeparator w:val=";"/>
  <w15:chartTrackingRefBased/>
  <w15:docId w15:val="{92B5EA57-D83A-4402-A7EC-B765D75B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lang w:val="en-A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134"/>
        <w:tab w:val="left" w:pos="8647"/>
      </w:tabs>
      <w:spacing w:line="360" w:lineRule="auto"/>
      <w:ind w:right="-1"/>
      <w:jc w:val="both"/>
      <w:outlineLvl w:val="1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rPr>
      <w:lang w:val="en-AU"/>
    </w:rPr>
  </w:style>
  <w:style w:type="paragraph" w:styleId="a5">
    <w:name w:val="Body Text"/>
    <w:basedOn w:val="a"/>
    <w:link w:val="a6"/>
    <w:uiPriority w:val="99"/>
    <w:semiHidden/>
    <w:unhideWhenUsed/>
    <w:pPr>
      <w:ind w:right="-1"/>
      <w:jc w:val="center"/>
    </w:pPr>
    <w:rPr>
      <w:rFonts w:ascii="Arial" w:hAnsi="Arial"/>
      <w:b/>
      <w:sz w:val="28"/>
      <w:u w:val="single"/>
    </w:rPr>
  </w:style>
  <w:style w:type="character" w:customStyle="1" w:styleId="a6">
    <w:name w:val="Основний текст Знак"/>
    <w:link w:val="a5"/>
    <w:uiPriority w:val="99"/>
    <w:semiHidden/>
    <w:rPr>
      <w:lang w:val="en-AU"/>
    </w:rPr>
  </w:style>
  <w:style w:type="paragraph" w:styleId="a7">
    <w:name w:val="Body Text Indent"/>
    <w:basedOn w:val="a"/>
    <w:link w:val="a8"/>
    <w:uiPriority w:val="99"/>
    <w:semiHidden/>
    <w:unhideWhenUsed/>
    <w:pPr>
      <w:ind w:right="-1" w:firstLine="567"/>
      <w:jc w:val="both"/>
    </w:pPr>
    <w:rPr>
      <w:rFonts w:ascii="Arial" w:hAnsi="Arial"/>
      <w:sz w:val="28"/>
    </w:rPr>
  </w:style>
  <w:style w:type="character" w:customStyle="1" w:styleId="a8">
    <w:name w:val="Основний текст з відступом Знак"/>
    <w:link w:val="a7"/>
    <w:uiPriority w:val="99"/>
    <w:semiHidden/>
    <w:rPr>
      <w:lang w:val="en-AU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customStyle="1" w:styleId="21">
    <w:name w:val="Основний текст 21"/>
    <w:basedOn w:val="a"/>
    <w:pPr>
      <w:jc w:val="center"/>
    </w:pPr>
    <w:rPr>
      <w:sz w:val="28"/>
    </w:rPr>
  </w:style>
  <w:style w:type="character" w:styleId="a9">
    <w:name w:val="page number"/>
    <w:uiPriority w:val="99"/>
    <w:semiHidden/>
    <w:unhideWhenUs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12.w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пропорциональности развития рынка банковских услуг. Рынок банковских услуг - явление сплошное и многоструктурное. Его развитие происходит во взаимосвязи и координации с различными компонентами</vt:lpstr>
    </vt:vector>
  </TitlesOfParts>
  <Company>Hewlett-Packard</Company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пропорциональности развития рынка банковских услуг. Рынок банковских услуг - явление сплошное и многоструктурное. Его развитие происходит во взаимосвязи и координации с различными компонентами</dc:title>
  <dc:subject/>
  <dc:creator>Alexander</dc:creator>
  <cp:keywords/>
  <cp:lastModifiedBy>Irina</cp:lastModifiedBy>
  <cp:revision>2</cp:revision>
  <cp:lastPrinted>1997-05-07T16:22:00Z</cp:lastPrinted>
  <dcterms:created xsi:type="dcterms:W3CDTF">2014-08-03T15:13:00Z</dcterms:created>
  <dcterms:modified xsi:type="dcterms:W3CDTF">2014-08-03T15:13:00Z</dcterms:modified>
</cp:coreProperties>
</file>