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49" w:rsidRDefault="00700749">
      <w:pPr>
        <w:ind w:firstLine="0"/>
        <w:jc w:val="center"/>
        <w:rPr>
          <w:rFonts w:ascii="Arial" w:hAnsi="Arial"/>
          <w:b/>
          <w:caps/>
          <w:spacing w:val="40"/>
        </w:rPr>
      </w:pPr>
      <w:r>
        <w:rPr>
          <w:rFonts w:ascii="Arial" w:hAnsi="Arial"/>
          <w:b/>
          <w:caps/>
          <w:spacing w:val="40"/>
        </w:rPr>
        <w:t>Дніпропетровська державна медична академія</w:t>
      </w:r>
    </w:p>
    <w:p w:rsidR="00700749" w:rsidRDefault="00700749">
      <w:pPr>
        <w:pStyle w:val="12"/>
        <w:rPr>
          <w:rFonts w:ascii="Arial" w:hAnsi="Arial"/>
        </w:rPr>
      </w:pPr>
      <w:r>
        <w:rPr>
          <w:rFonts w:ascii="Arial" w:hAnsi="Arial"/>
        </w:rPr>
        <w:t xml:space="preserve">Кафедра фармакології </w:t>
      </w:r>
      <w:r>
        <w:rPr>
          <w:rFonts w:ascii="Arial" w:hAnsi="Arial"/>
        </w:rPr>
        <w:br/>
        <w:t>та клінічної фармакології</w:t>
      </w:r>
    </w:p>
    <w:p w:rsidR="00700749" w:rsidRDefault="00700749">
      <w:pPr>
        <w:pStyle w:val="3"/>
        <w:rPr>
          <w:rFonts w:ascii="Arial" w:hAnsi="Arial"/>
        </w:rPr>
      </w:pPr>
      <w:r>
        <w:rPr>
          <w:rFonts w:ascii="Arial" w:hAnsi="Arial"/>
        </w:rPr>
        <w:t>Завідуючий кафедрою професор В.М. Мамчур</w:t>
      </w:r>
    </w:p>
    <w:p w:rsidR="00700749" w:rsidRDefault="00700749">
      <w:pPr>
        <w:rPr>
          <w:rFonts w:ascii="Arial" w:hAnsi="Arial"/>
        </w:rPr>
      </w:pPr>
    </w:p>
    <w:p w:rsidR="00700749" w:rsidRDefault="00700749"/>
    <w:p w:rsidR="00700749" w:rsidRDefault="00700749"/>
    <w:p w:rsidR="00700749" w:rsidRDefault="00700749">
      <w:pPr>
        <w:pStyle w:val="40"/>
        <w:ind w:firstLine="0"/>
        <w:rPr>
          <w:rFonts w:ascii="Verdana" w:hAnsi="Verdana"/>
          <w:sz w:val="82"/>
        </w:rPr>
      </w:pPr>
      <w:r>
        <w:rPr>
          <w:rFonts w:ascii="Verdana" w:hAnsi="Verdana"/>
          <w:sz w:val="82"/>
        </w:rPr>
        <w:t>курсова робота</w:t>
      </w:r>
    </w:p>
    <w:p w:rsidR="00700749" w:rsidRDefault="00700749">
      <w:pPr>
        <w:pStyle w:val="3"/>
        <w:rPr>
          <w:rFonts w:ascii="Tahoma" w:hAnsi="Tahoma"/>
        </w:rPr>
      </w:pPr>
      <w:r>
        <w:rPr>
          <w:rFonts w:ascii="Tahoma" w:hAnsi="Tahoma"/>
        </w:rPr>
        <w:t>Аналіз проведеної фармакотерапії:</w:t>
      </w:r>
    </w:p>
    <w:p w:rsidR="00700749" w:rsidRDefault="00700749">
      <w:pPr>
        <w:pStyle w:val="3"/>
        <w:rPr>
          <w:rFonts w:ascii="Tahoma" w:hAnsi="Tahoma"/>
        </w:rPr>
      </w:pPr>
      <w:r>
        <w:rPr>
          <w:rFonts w:ascii="Tahoma" w:hAnsi="Tahoma"/>
        </w:rPr>
        <w:t>Хворого Гончарова Григорія Тимофійовича, 75 років</w:t>
      </w:r>
    </w:p>
    <w:p w:rsidR="00700749" w:rsidRDefault="00700749">
      <w:pPr>
        <w:ind w:left="2563" w:hanging="1123"/>
        <w:rPr>
          <w:rFonts w:ascii="Tahoma" w:hAnsi="Tahoma"/>
        </w:rPr>
      </w:pPr>
      <w:r>
        <w:rPr>
          <w:rFonts w:ascii="Tahoma" w:hAnsi="Tahoma"/>
          <w:b/>
          <w:i/>
        </w:rPr>
        <w:t>Діагноз:</w:t>
      </w:r>
      <w:r>
        <w:rPr>
          <w:rFonts w:ascii="Tahoma" w:hAnsi="Tahoma"/>
        </w:rPr>
        <w:t xml:space="preserve"> ІХС, стабільна стенокардія напруження ІІІ ст., кардіосклероз атеросклеротичний ІІІ ст. гіпертонічна хвороба ІІ ст., остеохондроз п/к відділу хребта</w:t>
      </w:r>
    </w:p>
    <w:p w:rsidR="00700749" w:rsidRDefault="00700749">
      <w:pPr>
        <w:pStyle w:val="a3"/>
        <w:rPr>
          <w:lang w:val="ru-RU"/>
        </w:rPr>
      </w:pPr>
    </w:p>
    <w:p w:rsidR="00700749" w:rsidRDefault="00700749">
      <w:pPr>
        <w:ind w:left="3600"/>
      </w:pPr>
      <w:r>
        <w:rPr>
          <w:b/>
          <w:i/>
        </w:rPr>
        <w:t>Керівник:</w:t>
      </w:r>
      <w:r>
        <w:rPr>
          <w:rFonts w:ascii="Arial" w:hAnsi="Arial"/>
          <w:b/>
        </w:rPr>
        <w:t xml:space="preserve"> Хомяк Н.В.</w:t>
      </w:r>
    </w:p>
    <w:p w:rsidR="00700749" w:rsidRDefault="00700749">
      <w:pPr>
        <w:ind w:left="3600"/>
      </w:pPr>
      <w:r>
        <w:rPr>
          <w:b/>
          <w:i/>
        </w:rPr>
        <w:t>Куратор:</w:t>
      </w:r>
      <w:r>
        <w:t xml:space="preserve"> </w:t>
      </w:r>
      <w:r>
        <w:rPr>
          <w:rFonts w:ascii="Arial" w:hAnsi="Arial"/>
          <w:b/>
        </w:rPr>
        <w:t>студент 6 курсу Ят</w:t>
      </w:r>
      <w:r>
        <w:rPr>
          <w:rFonts w:ascii="Arial" w:hAnsi="Arial"/>
          <w:b/>
          <w:lang w:val="uk-UA"/>
        </w:rPr>
        <w:t>ін</w:t>
      </w:r>
      <w:r>
        <w:rPr>
          <w:rFonts w:ascii="Arial" w:hAnsi="Arial"/>
          <w:b/>
        </w:rPr>
        <w:t xml:space="preserve"> В.А.</w:t>
      </w:r>
      <w:r>
        <w:t xml:space="preserve"> </w:t>
      </w:r>
    </w:p>
    <w:p w:rsidR="00700749" w:rsidRDefault="00700749"/>
    <w:p w:rsidR="00700749" w:rsidRDefault="00700749"/>
    <w:p w:rsidR="00700749" w:rsidRDefault="00700749"/>
    <w:p w:rsidR="00700749" w:rsidRDefault="00700749"/>
    <w:p w:rsidR="00700749" w:rsidRDefault="00700749"/>
    <w:p w:rsidR="00700749" w:rsidRDefault="00700749"/>
    <w:p w:rsidR="00700749" w:rsidRDefault="00700749"/>
    <w:p w:rsidR="00700749" w:rsidRDefault="00700749">
      <w:pPr>
        <w:pStyle w:val="a4"/>
        <w:rPr>
          <w:rFonts w:ascii="Helvetica-Narrow" w:hAnsi="Helvetica-Narrow"/>
          <w:caps w:val="0"/>
          <w:spacing w:val="300"/>
        </w:rPr>
      </w:pPr>
      <w:r>
        <w:rPr>
          <w:rFonts w:ascii="Helvetica-Narrow" w:hAnsi="Helvetica-Narrow"/>
          <w:caps w:val="0"/>
          <w:spacing w:val="300"/>
        </w:rPr>
        <w:t>Дніпропетровськ</w:t>
      </w:r>
    </w:p>
    <w:p w:rsidR="00700749" w:rsidRDefault="00700749">
      <w:pPr>
        <w:pStyle w:val="a4"/>
        <w:outlineLvl w:val="9"/>
        <w:rPr>
          <w:rFonts w:ascii="Helvetica-Narrow" w:hAnsi="Helvetica-Narrow"/>
          <w:caps w:val="0"/>
          <w:spacing w:val="300"/>
        </w:rPr>
      </w:pPr>
      <w:r>
        <w:rPr>
          <w:rFonts w:ascii="Helvetica-Narrow" w:hAnsi="Helvetica-Narrow"/>
          <w:caps w:val="0"/>
          <w:spacing w:val="300"/>
        </w:rPr>
        <w:t>2002</w:t>
      </w:r>
    </w:p>
    <w:p w:rsidR="00700749" w:rsidRDefault="00700749">
      <w:pPr>
        <w:pStyle w:val="a4"/>
        <w:spacing w:line="240" w:lineRule="auto"/>
        <w:rPr>
          <w:spacing w:val="0"/>
        </w:rPr>
      </w:pPr>
      <w:r>
        <w:br w:type="page"/>
        <w:t>Паспортная часть</w:t>
      </w:r>
      <w:r>
        <w:cr/>
      </w:r>
    </w:p>
    <w:p w:rsidR="00700749" w:rsidRDefault="00700749">
      <w:pPr>
        <w:pStyle w:val="1"/>
        <w:spacing w:line="240" w:lineRule="auto"/>
      </w:pPr>
      <w:r>
        <w:rPr>
          <w:i/>
        </w:rPr>
        <w:t xml:space="preserve">Ф.И.О.: </w:t>
      </w:r>
      <w:r>
        <w:t>Гончаров Г.Т.</w:t>
      </w:r>
    </w:p>
    <w:p w:rsidR="00700749" w:rsidRDefault="00700749">
      <w:pPr>
        <w:pStyle w:val="1"/>
        <w:spacing w:line="240" w:lineRule="auto"/>
      </w:pPr>
      <w:r>
        <w:rPr>
          <w:i/>
        </w:rPr>
        <w:t>Возраст:</w:t>
      </w:r>
      <w:r>
        <w:t xml:space="preserve"> 75 года.</w:t>
      </w:r>
    </w:p>
    <w:p w:rsidR="00700749" w:rsidRDefault="00700749">
      <w:pPr>
        <w:pStyle w:val="1"/>
        <w:spacing w:line="240" w:lineRule="auto"/>
      </w:pPr>
      <w:r>
        <w:rPr>
          <w:i/>
        </w:rPr>
        <w:t xml:space="preserve">Пол: </w:t>
      </w:r>
      <w:r>
        <w:t>мужской.</w:t>
      </w:r>
    </w:p>
    <w:p w:rsidR="00700749" w:rsidRDefault="00700749">
      <w:pPr>
        <w:pStyle w:val="1"/>
        <w:spacing w:line="240" w:lineRule="auto"/>
      </w:pPr>
      <w:r>
        <w:rPr>
          <w:i/>
        </w:rPr>
        <w:t xml:space="preserve">Место жительства: </w:t>
      </w:r>
      <w:r>
        <w:t>Петропавловский район, с. Росинки, ул. Комсомольская 2</w:t>
      </w:r>
    </w:p>
    <w:p w:rsidR="00700749" w:rsidRDefault="00700749">
      <w:pPr>
        <w:pStyle w:val="1"/>
        <w:spacing w:line="240" w:lineRule="auto"/>
      </w:pPr>
      <w:r>
        <w:t>Профессия: Пенсионер, УОВ</w:t>
      </w:r>
    </w:p>
    <w:p w:rsidR="00700749" w:rsidRDefault="00700749">
      <w:pPr>
        <w:pStyle w:val="1"/>
        <w:spacing w:line="240" w:lineRule="auto"/>
      </w:pPr>
      <w:r>
        <w:t>Дата поступления: 13.03.2002 г.</w:t>
      </w:r>
    </w:p>
    <w:p w:rsidR="00700749" w:rsidRDefault="00700749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700749" w:rsidRDefault="00700749">
      <w:pPr>
        <w:pStyle w:val="13"/>
        <w:spacing w:line="240" w:lineRule="auto"/>
        <w:rPr>
          <w:sz w:val="28"/>
          <w:lang w:val="ru-RU"/>
        </w:rPr>
      </w:pPr>
      <w:r>
        <w:rPr>
          <w:sz w:val="28"/>
          <w:lang w:val="ru-RU"/>
        </w:rPr>
        <w:t>Диагноз клинический</w:t>
      </w:r>
    </w:p>
    <w:p w:rsidR="00700749" w:rsidRDefault="00700749">
      <w:pPr>
        <w:spacing w:line="240" w:lineRule="auto"/>
      </w:pPr>
      <w:r>
        <w:t>ИБС, стабильная стенокардия напряжения ІІІ ст. кардиосклероз атеросклеротический ІІІ ст., гипертоническая болезнь ІІ ст. остеохондроз п/к отдела позвоночника.</w:t>
      </w:r>
    </w:p>
    <w:p w:rsidR="00700749" w:rsidRDefault="00700749">
      <w:pPr>
        <w:pStyle w:val="13"/>
        <w:spacing w:line="240" w:lineRule="auto"/>
        <w:rPr>
          <w:sz w:val="28"/>
          <w:lang w:val="ru-RU"/>
        </w:rPr>
      </w:pPr>
      <w:r>
        <w:rPr>
          <w:sz w:val="28"/>
          <w:lang w:val="ru-RU"/>
        </w:rPr>
        <w:t xml:space="preserve">Жалобы больного при поступлении </w:t>
      </w:r>
    </w:p>
    <w:p w:rsidR="00700749" w:rsidRDefault="00700749">
      <w:pPr>
        <w:spacing w:line="240" w:lineRule="auto"/>
      </w:pPr>
      <w:r>
        <w:t>Предъявляет жалобы на сжимающие боли в области сердца, головные боли, головокружение, снижение зрения, общую слабость, сонливость, мелькание мушек перед глазами, ощущение распирания. Также больной предъявляет жалобы на боли в коленных и голеностопных суставах.</w:t>
      </w:r>
    </w:p>
    <w:p w:rsidR="00700749" w:rsidRDefault="00700749">
      <w:pPr>
        <w:pStyle w:val="13"/>
        <w:spacing w:line="240" w:lineRule="auto"/>
        <w:rPr>
          <w:sz w:val="28"/>
          <w:lang w:val="ru-RU"/>
        </w:rPr>
      </w:pPr>
      <w:r>
        <w:rPr>
          <w:sz w:val="28"/>
          <w:lang w:val="ru-RU"/>
        </w:rPr>
        <w:t>Жалобы больного на момент осмотра</w:t>
      </w:r>
    </w:p>
    <w:p w:rsidR="00700749" w:rsidRDefault="00700749">
      <w:pPr>
        <w:spacing w:line="240" w:lineRule="auto"/>
      </w:pPr>
      <w:r>
        <w:t xml:space="preserve">Предъявляет жалобы на головные боли, головокружение, снижение зрения, общую слабость. </w:t>
      </w:r>
    </w:p>
    <w:p w:rsidR="00700749" w:rsidRDefault="00700749">
      <w:pPr>
        <w:pStyle w:val="13"/>
        <w:spacing w:line="240" w:lineRule="auto"/>
        <w:rPr>
          <w:sz w:val="28"/>
          <w:lang w:val="ru-RU"/>
        </w:rPr>
      </w:pPr>
      <w:r>
        <w:rPr>
          <w:sz w:val="28"/>
          <w:lang w:val="ru-RU"/>
        </w:rPr>
        <w:t>История настоящего заболевания</w:t>
      </w:r>
    </w:p>
    <w:p w:rsidR="00700749" w:rsidRDefault="00700749">
      <w:pPr>
        <w:spacing w:line="240" w:lineRule="auto"/>
      </w:pPr>
      <w:r>
        <w:t xml:space="preserve">Считает себя больным в течении 15 лет, когда начало повышаться АД, появились приступы стенокардии, за этот период неоднократно лечился по месту жительства. Поступил в связи с ухудшением состояния по направлению ЦРБ. В 2001 году оперировался по поводу ДГПЖ. </w:t>
      </w:r>
    </w:p>
    <w:p w:rsidR="00700749" w:rsidRDefault="00700749">
      <w:pPr>
        <w:spacing w:line="240" w:lineRule="auto"/>
      </w:pPr>
      <w:r>
        <w:t>Ранение – контузия головного мозга средней степени тяжести.</w:t>
      </w:r>
    </w:p>
    <w:p w:rsidR="00700749" w:rsidRDefault="00700749">
      <w:pPr>
        <w:spacing w:line="240" w:lineRule="auto"/>
      </w:pPr>
    </w:p>
    <w:p w:rsidR="00700749" w:rsidRDefault="00700749">
      <w:pPr>
        <w:spacing w:line="240" w:lineRule="auto"/>
        <w:ind w:firstLine="0"/>
        <w:jc w:val="center"/>
        <w:rPr>
          <w:b/>
          <w:i/>
          <w:caps/>
        </w:rPr>
      </w:pPr>
      <w:r>
        <w:rPr>
          <w:b/>
          <w:i/>
          <w:caps/>
        </w:rPr>
        <w:t>Объективное состояние</w:t>
      </w:r>
    </w:p>
    <w:p w:rsidR="00700749" w:rsidRDefault="00700749">
      <w:pPr>
        <w:spacing w:line="240" w:lineRule="auto"/>
      </w:pPr>
      <w:r>
        <w:t xml:space="preserve">Общее состояние – средней степени тяжести. Положение в постели – активное. Выражение лица – осмысленное. Поведение – обычное. Отношение к болезни – адекватное. </w:t>
      </w:r>
    </w:p>
    <w:p w:rsidR="00700749" w:rsidRDefault="00700749">
      <w:pPr>
        <w:spacing w:line="240" w:lineRule="auto"/>
      </w:pPr>
      <w:r>
        <w:t>Сознание – ясное. Питание – нормальное. Конституция – астеническая.</w:t>
      </w:r>
    </w:p>
    <w:p w:rsidR="00700749" w:rsidRDefault="00700749">
      <w:pPr>
        <w:spacing w:line="240" w:lineRule="auto"/>
      </w:pPr>
      <w:r>
        <w:t xml:space="preserve">Кожные покровы сухие, тургор несколько снижен. </w:t>
      </w:r>
    </w:p>
    <w:p w:rsidR="00700749" w:rsidRDefault="00700749">
      <w:pPr>
        <w:spacing w:line="240" w:lineRule="auto"/>
      </w:pPr>
      <w:r>
        <w:t xml:space="preserve">Слизистые розовые влажные. </w:t>
      </w:r>
    </w:p>
    <w:p w:rsidR="00700749" w:rsidRDefault="00700749">
      <w:pPr>
        <w:spacing w:line="240" w:lineRule="auto"/>
      </w:pPr>
      <w:r>
        <w:t>Периферические лимфатические узлы не увеличены, при пальпации безболезненны.</w:t>
      </w:r>
    </w:p>
    <w:p w:rsidR="00700749" w:rsidRDefault="00700749">
      <w:pPr>
        <w:spacing w:line="240" w:lineRule="auto"/>
      </w:pPr>
      <w:r>
        <w:t>Выраженная деформация коленных и голеностопных суставов.</w:t>
      </w:r>
    </w:p>
    <w:p w:rsidR="00700749" w:rsidRDefault="00700749">
      <w:pPr>
        <w:pStyle w:val="5"/>
        <w:spacing w:line="240" w:lineRule="auto"/>
        <w:rPr>
          <w:b/>
        </w:rPr>
      </w:pPr>
      <w:r>
        <w:rPr>
          <w:b/>
        </w:rPr>
        <w:t>Органы дыхания</w:t>
      </w:r>
    </w:p>
    <w:p w:rsidR="00700749" w:rsidRDefault="00700749">
      <w:pPr>
        <w:spacing w:line="240" w:lineRule="auto"/>
      </w:pPr>
      <w:r>
        <w:t>Нос прямой, дыхание через нос затруднено, наблюдается скудное слизисто-гнойное отделяемое. Гортань – деформаций нет, характер голоса нормальный. В акте дыхания обе половины грудной клетки участвуют равномерно и одинаково. Тип дыхания грудной. Вспомогательная мускулатура в акте дыхания не участвует. ЧДД – 16 дыхательных движений в мин. Грудная клетка при пальпации безболезненна, эластична. Голосовое дрожание одинаково с обеих сторон. Дыхание везикулярное, хрипов нет.</w:t>
      </w:r>
    </w:p>
    <w:p w:rsidR="00700749" w:rsidRDefault="00700749">
      <w:pPr>
        <w:pStyle w:val="3"/>
        <w:spacing w:line="240" w:lineRule="auto"/>
        <w:rPr>
          <w:lang w:val="ru-RU"/>
        </w:rPr>
      </w:pPr>
      <w:r>
        <w:rPr>
          <w:lang w:val="ru-RU"/>
        </w:rPr>
        <w:t>Сердечно – сосудистая система</w:t>
      </w:r>
    </w:p>
    <w:p w:rsidR="00700749" w:rsidRDefault="00700749">
      <w:pPr>
        <w:spacing w:line="240" w:lineRule="auto"/>
      </w:pPr>
      <w:r>
        <w:t xml:space="preserve">Пульсаций и выбуханий шейных вен не наблюдается, "сердечный горб" отсутствует. Прекардиальная область при пальпации безболезненна. </w:t>
      </w:r>
    </w:p>
    <w:p w:rsidR="00700749" w:rsidRDefault="00700749">
      <w:pPr>
        <w:spacing w:line="240" w:lineRule="auto"/>
      </w:pPr>
      <w:r>
        <w:t>Верхушечный толчок находится в V межреберье слева по передней подмышечной линии, разлитой.</w:t>
      </w:r>
    </w:p>
    <w:p w:rsidR="00700749" w:rsidRDefault="00700749">
      <w:pPr>
        <w:spacing w:line="240" w:lineRule="auto"/>
      </w:pPr>
      <w:r>
        <w:t>Тоны сердца приглушенные, ритмичные, слабый систолический шум во всех точках. Пульс 68 в минуту. АД 150/90 мм рт. ст.</w:t>
      </w:r>
    </w:p>
    <w:p w:rsidR="00700749" w:rsidRDefault="00700749">
      <w:pPr>
        <w:pStyle w:val="3"/>
        <w:spacing w:line="240" w:lineRule="auto"/>
        <w:rPr>
          <w:lang w:val="ru-RU"/>
        </w:rPr>
      </w:pPr>
      <w:r>
        <w:rPr>
          <w:lang w:val="ru-RU"/>
        </w:rPr>
        <w:t>Органы пищеварения</w:t>
      </w:r>
    </w:p>
    <w:p w:rsidR="00700749" w:rsidRDefault="00700749">
      <w:pPr>
        <w:spacing w:line="240" w:lineRule="auto"/>
      </w:pPr>
      <w:r>
        <w:t xml:space="preserve">Полость рта розовой окраски, без повреждений, суховатая. Язык розовый, влажный. Десны, мягкое и твердое небо розового цвета, влажные, без налетов, трещин, язв. Живот округлой формы, не увеличен, участвует в акте дыхания. Перистальтики желудка и кишечника не видно, венозные коллатерали на передней брюшной стенке отсутствуют. При поверхностной пальпации живот безболезненный, мягкий, напряжения мышц передней брюшной стенки не отмечается;  опухолей, грыж, расхождений прямых мышц живота нет. </w:t>
      </w:r>
    </w:p>
    <w:p w:rsidR="00700749" w:rsidRDefault="00700749">
      <w:pPr>
        <w:pStyle w:val="3"/>
        <w:spacing w:line="240" w:lineRule="auto"/>
        <w:rPr>
          <w:lang w:val="ru-RU"/>
        </w:rPr>
      </w:pPr>
      <w:r>
        <w:rPr>
          <w:lang w:val="ru-RU"/>
        </w:rPr>
        <w:t>Выделительная система</w:t>
      </w:r>
    </w:p>
    <w:p w:rsidR="00700749" w:rsidRDefault="00700749">
      <w:pPr>
        <w:spacing w:line="240" w:lineRule="auto"/>
      </w:pPr>
      <w:r>
        <w:t xml:space="preserve">Припухлостей, красноты в области проекции почек нет. Мочеиспускание частое (никтурия 6-7 раз). Почки пальпаторно не определяются. Симптом Пастернацкого отрицательный с обеих сторон. </w:t>
      </w:r>
    </w:p>
    <w:p w:rsidR="00700749" w:rsidRDefault="00700749">
      <w:pPr>
        <w:spacing w:line="240" w:lineRule="auto"/>
      </w:pPr>
    </w:p>
    <w:p w:rsidR="00700749" w:rsidRDefault="00700749">
      <w:pPr>
        <w:pStyle w:val="3"/>
        <w:spacing w:line="240" w:lineRule="auto"/>
        <w:rPr>
          <w:caps/>
          <w:lang w:val="ru-RU"/>
        </w:rPr>
      </w:pPr>
      <w:r>
        <w:rPr>
          <w:caps/>
          <w:lang w:val="ru-RU"/>
        </w:rPr>
        <w:t>Проводимая фармакотерапия</w:t>
      </w:r>
    </w:p>
    <w:p w:rsidR="00700749" w:rsidRDefault="00700749">
      <w:pPr>
        <w:numPr>
          <w:ilvl w:val="0"/>
          <w:numId w:val="19"/>
        </w:numPr>
        <w:spacing w:line="240" w:lineRule="auto"/>
      </w:pPr>
      <w:r>
        <w:t>Стол №10.</w:t>
      </w:r>
    </w:p>
    <w:p w:rsidR="00700749" w:rsidRDefault="00700749">
      <w:pPr>
        <w:numPr>
          <w:ilvl w:val="0"/>
          <w:numId w:val="19"/>
        </w:numPr>
        <w:spacing w:line="240" w:lineRule="auto"/>
      </w:pPr>
      <w:r>
        <w:t>Цинаризин 1 таб. 3 раза в день</w:t>
      </w:r>
    </w:p>
    <w:p w:rsidR="00700749" w:rsidRDefault="00700749">
      <w:pPr>
        <w:numPr>
          <w:ilvl w:val="0"/>
          <w:numId w:val="19"/>
        </w:numPr>
        <w:spacing w:line="240" w:lineRule="auto"/>
      </w:pPr>
      <w:r>
        <w:t>Нифедипин 1 таб. 3 раза в день</w:t>
      </w:r>
    </w:p>
    <w:p w:rsidR="00700749" w:rsidRDefault="00700749">
      <w:pPr>
        <w:numPr>
          <w:ilvl w:val="0"/>
          <w:numId w:val="19"/>
        </w:numPr>
        <w:spacing w:line="240" w:lineRule="auto"/>
      </w:pPr>
      <w:r>
        <w:t>Vit. А, Vit. Е.</w:t>
      </w:r>
    </w:p>
    <w:p w:rsidR="00700749" w:rsidRDefault="00700749">
      <w:pPr>
        <w:numPr>
          <w:ilvl w:val="0"/>
          <w:numId w:val="19"/>
        </w:numPr>
        <w:spacing w:line="240" w:lineRule="auto"/>
      </w:pPr>
      <w:r>
        <w:t>Диклофенак 1 таб. 3 раза в день</w:t>
      </w:r>
    </w:p>
    <w:p w:rsidR="00700749" w:rsidRDefault="00700749">
      <w:pPr>
        <w:numPr>
          <w:ilvl w:val="0"/>
          <w:numId w:val="19"/>
        </w:numPr>
        <w:spacing w:line="240" w:lineRule="auto"/>
      </w:pPr>
      <w:r>
        <w:t>Sol. Pyracetamy 5,0</w:t>
      </w:r>
    </w:p>
    <w:p w:rsidR="00700749" w:rsidRDefault="00700749">
      <w:pPr>
        <w:numPr>
          <w:ilvl w:val="0"/>
          <w:numId w:val="19"/>
        </w:numPr>
        <w:spacing w:line="240" w:lineRule="auto"/>
      </w:pPr>
      <w:r>
        <w:rPr>
          <w:lang w:val="en-US"/>
        </w:rPr>
        <w:t xml:space="preserve">Sol. </w:t>
      </w:r>
      <w:r>
        <w:t>АТФ 1,0 в/м</w:t>
      </w:r>
    </w:p>
    <w:p w:rsidR="00700749" w:rsidRDefault="00700749">
      <w:pPr>
        <w:numPr>
          <w:ilvl w:val="0"/>
          <w:numId w:val="19"/>
        </w:numPr>
        <w:spacing w:line="240" w:lineRule="auto"/>
      </w:pPr>
      <w:r>
        <w:rPr>
          <w:lang w:val="en-US"/>
        </w:rPr>
        <w:t>Sol. Vit. B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200 </w:t>
      </w:r>
      <w:r>
        <w:t>мг в/м</w:t>
      </w:r>
    </w:p>
    <w:p w:rsidR="00700749" w:rsidRDefault="00700749">
      <w:pPr>
        <w:pStyle w:val="3"/>
        <w:spacing w:line="240" w:lineRule="auto"/>
        <w:rPr>
          <w:caps/>
          <w:lang w:val="ru-RU"/>
        </w:rPr>
      </w:pPr>
      <w:r>
        <w:rPr>
          <w:caps/>
          <w:lang w:val="ru-RU"/>
        </w:rPr>
        <w:br w:type="page"/>
        <w:t>заключение</w:t>
      </w:r>
    </w:p>
    <w:p w:rsidR="00700749" w:rsidRDefault="00700749">
      <w:pPr>
        <w:numPr>
          <w:ilvl w:val="0"/>
          <w:numId w:val="20"/>
        </w:numPr>
        <w:spacing w:line="240" w:lineRule="auto"/>
        <w:rPr>
          <w:b/>
        </w:rPr>
      </w:pPr>
      <w:r>
        <w:rPr>
          <w:b/>
        </w:rPr>
        <w:t>Рациональность проводимой терапии:</w:t>
      </w:r>
    </w:p>
    <w:p w:rsidR="00700749" w:rsidRDefault="00700749">
      <w:pPr>
        <w:spacing w:line="240" w:lineRule="auto"/>
        <w:ind w:firstLine="0"/>
        <w:jc w:val="center"/>
      </w:pPr>
      <w:r>
        <w:rPr>
          <w:b/>
        </w:rPr>
        <w:t>Цинаризин</w:t>
      </w:r>
      <w:r>
        <w:t>.</w:t>
      </w:r>
    </w:p>
    <w:p w:rsidR="00700749" w:rsidRDefault="00700749">
      <w:pPr>
        <w:pStyle w:val="6"/>
        <w:spacing w:line="240" w:lineRule="auto"/>
      </w:pPr>
      <w:r>
        <w:t xml:space="preserve">Фармакологическое действие </w:t>
      </w:r>
    </w:p>
    <w:p w:rsidR="00700749" w:rsidRDefault="00700749">
      <w:pPr>
        <w:spacing w:line="240" w:lineRule="auto"/>
      </w:pPr>
      <w:r>
        <w:t xml:space="preserve">Блокатор кальциевых каналов IV класса с преимущественным влиянием на сосуды головного мозга, производное пиперазина. Улучшает мозговое, а также коронарное и периферическое кровообращение. Нарушает поступление ионов кальция в гладкомышечные клетки сосудов. Снижает тонус гладкой мускулатуры артериол, уменьшает реакции на биогенные сосудосуживающие вещества (адреналин, норадреналин, брадикинин). Уменьшает возбудимость вестибулярного аппарата. У пациентов с нарушением периферического кровообращения улучшает кровоснабжение и потенцирует постишемическую гиперемию. Повышает устойчивость тканей к гипоксии. </w:t>
      </w:r>
    </w:p>
    <w:p w:rsidR="00700749" w:rsidRDefault="00700749">
      <w:pPr>
        <w:pStyle w:val="6"/>
        <w:spacing w:line="240" w:lineRule="auto"/>
      </w:pPr>
      <w:r>
        <w:t xml:space="preserve">Фармакокинетика </w:t>
      </w:r>
    </w:p>
    <w:p w:rsidR="00700749" w:rsidRDefault="00700749">
      <w:pPr>
        <w:spacing w:line="240" w:lineRule="auto"/>
      </w:pPr>
      <w:r>
        <w:t xml:space="preserve">После приема внутрь циннаризин абсорбируется из ЖКТ, максимальная концентрация в плазме достигается через 1-4 ч. Связывание с белками плазмы составляет 91%. Подвергается метаболизму. Период полувыведения составляет 3-6 ч. Выводится через кишечник главным образом в неизмененном виде, с мочой - преимущественно в виде метаболитов. </w:t>
      </w:r>
    </w:p>
    <w:p w:rsidR="00700749" w:rsidRDefault="00700749">
      <w:pPr>
        <w:pStyle w:val="6"/>
        <w:spacing w:line="240" w:lineRule="auto"/>
      </w:pPr>
      <w:r>
        <w:t xml:space="preserve">Показания </w:t>
      </w:r>
    </w:p>
    <w:p w:rsidR="00700749" w:rsidRDefault="00700749">
      <w:pPr>
        <w:spacing w:line="240" w:lineRule="auto"/>
      </w:pPr>
      <w:r>
        <w:t xml:space="preserve">Нарушения мозгового кровообращения (в т.ч. при остаточных явлениях после инсульта). Лабиринтные расстройства (в т.ч. для поддерживающей терапии при головокружении, шуме в ушах, нистагме, тошноте и рвоте лабиринтного происхождения). Болезнь движения (как профилактическое средство). Профилактика приступов мигрени. Болезнь Меньера. Профилактика и лечение нарушений периферического кровообращения - облитерирующий атеросклероз, облитерирующий тромбангиит, болезнь Рейно, диабетическая ангиопатия, акроцианоз. </w:t>
      </w:r>
    </w:p>
    <w:p w:rsidR="00700749" w:rsidRDefault="00700749">
      <w:pPr>
        <w:pStyle w:val="6"/>
        <w:spacing w:line="240" w:lineRule="auto"/>
      </w:pPr>
      <w:r>
        <w:t xml:space="preserve">Режим дозирования </w:t>
      </w:r>
    </w:p>
    <w:p w:rsidR="00700749" w:rsidRDefault="00700749">
      <w:pPr>
        <w:spacing w:line="240" w:lineRule="auto"/>
      </w:pPr>
      <w:r>
        <w:t xml:space="preserve">Индивидуальный. Принимают внутрь по 25-50-75 мг 3 раза/сут после еды. При необходимости лечение можно начинать с 1/2 дозы, постепенно ее увеличивая. Для достижения оптимального терапевтического эффекта применяют непрерывно в течение нескольких месяцев. </w:t>
      </w:r>
    </w:p>
    <w:p w:rsidR="00700749" w:rsidRDefault="00700749">
      <w:pPr>
        <w:pStyle w:val="12"/>
      </w:pPr>
      <w:r>
        <w:t>Диклофенак</w:t>
      </w:r>
    </w:p>
    <w:p w:rsidR="00700749" w:rsidRDefault="00700749">
      <w:pPr>
        <w:pStyle w:val="6"/>
        <w:spacing w:line="240" w:lineRule="auto"/>
      </w:pPr>
      <w:r>
        <w:t xml:space="preserve">Фармакологическое действие </w:t>
      </w:r>
    </w:p>
    <w:p w:rsidR="00700749" w:rsidRDefault="00700749">
      <w:pPr>
        <w:spacing w:line="240" w:lineRule="auto"/>
      </w:pPr>
      <w:r>
        <w:t xml:space="preserve">НПВС, производное фенилуксусной кислоты. Оказывает выраженное противовоспалительное, анальгезирующее и умеренное жаропонижающее действие. Механизм действия связан с угнетением активности ЦОГ - основного фермента метаболизма арахидоновой кислоты, являющейся предшественником простагландинов, которые играют главную роль в патогенезе воспаления, боли и лихорадки. Анальгезирующее действие обусловлено двумя механизмами: периферическим (опосредованно, через подавление синтеза простагландинов) и центральным (за счет ингибирования синтеза простагландинов в центральной и периферической нервной системе). При ревматических заболеваниях уменьшает боли в суставах в покое и при движении, а также утреннюю скованность и припухлость суставов, способствует увеличению объема движений. При травматических и послеоперационных болях препарат уменьшает болевые ощущения в покое и при движении, а также воспалительный отек. Подавляет агрегацию тромбоцитов. При длительном применении оказывает десенсибилизирующее действие. По активности превосходит напроксен. При местном применении в офтальмологии уменьшает отек и боль при воспалительных процессах неинфекционной этиологии. </w:t>
      </w:r>
    </w:p>
    <w:p w:rsidR="00700749" w:rsidRDefault="00700749">
      <w:pPr>
        <w:pStyle w:val="6"/>
        <w:spacing w:line="240" w:lineRule="auto"/>
      </w:pPr>
      <w:r>
        <w:t xml:space="preserve">Фармакокинетика </w:t>
      </w:r>
    </w:p>
    <w:p w:rsidR="00700749" w:rsidRDefault="00700749">
      <w:pPr>
        <w:spacing w:line="240" w:lineRule="auto"/>
      </w:pPr>
      <w:r>
        <w:t xml:space="preserve">После приема внутрь всасывается из ЖКТ. Прием пищи замедляет скорость всасывания, степень абсорбции при этом не меняется. Около 50% активного вещества метаболизируется при "первом прохождении" через печень. При ректальном введении абсорбция происходит медленнее. Время достижения максимальной концентрации в плазме после приема внутрь составляет 2-4 ч в зависимости от применяемой лекарственной формы, после ректального введения - 1 ч, в/м введения - 20 мин. Концентрация активного вещества в плазме находится в линейной зависимости от величины применяемой дозы. Не кумулирует. Связывание с белками плазмы составляет 99.7% (преимущественно с альбумином). Проникает в синовиальную жидкость, максимальная концентрация достигается на 2-4 ч позже, чем в плазме. В значительной степени метаболизируется с образованием нескольких метаболитов, среди которых два фармакологически активны, но в меньшей степени, чем диклофенак. Системный клиренс активного вещества составляет примерно 263 мл/мин. Период полувыведения из плазмы составляет 1-2 ч, из синовиальной жидкости - 3-6 ч. Приблизительно 60% дозы выводится в виде метаболитов почками, менее 1% экскретируется с мочой в неизмененном виде, остальная часть выводится в виде метаболитов с желчью. </w:t>
      </w:r>
    </w:p>
    <w:p w:rsidR="00700749" w:rsidRDefault="00700749">
      <w:pPr>
        <w:pStyle w:val="6"/>
        <w:spacing w:line="240" w:lineRule="auto"/>
      </w:pPr>
      <w:r>
        <w:t xml:space="preserve">Показания </w:t>
      </w:r>
    </w:p>
    <w:p w:rsidR="00700749" w:rsidRDefault="00700749">
      <w:pPr>
        <w:pStyle w:val="32"/>
      </w:pPr>
      <w:r>
        <w:t xml:space="preserve">Суставной синдром (ревматоидный артрит, остеоартрит, анкилозирующий спондилит, подагра), дегенеративные и хронические воспалительные заболевания опорно-двигательного аппарата (остеохондроз, остеоартроз, периартропатии), посттравматическое воспаление мягких тканей и опорно-двигательного аппарата (растяжения, ушибы). Боли в позвоночнике, невралгии, миалгии, артралгии, болевой синдром и воспаление после операций и травм, болевой синдром при подагре, головная боль при мигрени, альгодисменорея, болевой синдром при аднексите, проктите, колики (желчная и почечная), болевой синдром при инфекционно-воспалительных заболеваниях ЛОР-органов. Для местного применения: ингибирование миоза во время операции по поводу катаракты, профилактика цистоидного макулярного отека, связанного с удалением и имплантацией хрусталика, воспалительные процессы глаза неинфекционной природы, посттравматический воспалительный процесс при проникающих и непроникающих ранениях глазного яблока. </w:t>
      </w:r>
    </w:p>
    <w:p w:rsidR="00700749" w:rsidRDefault="00700749">
      <w:pPr>
        <w:pStyle w:val="6"/>
        <w:spacing w:line="240" w:lineRule="auto"/>
      </w:pPr>
      <w:r>
        <w:t xml:space="preserve">Режим дозирования </w:t>
      </w:r>
    </w:p>
    <w:p w:rsidR="00700749" w:rsidRDefault="00700749">
      <w:pPr>
        <w:spacing w:line="240" w:lineRule="auto"/>
      </w:pPr>
      <w:r>
        <w:t xml:space="preserve">Для приема внутрь для взрослых разовая доза составляет 25-50 мг 2-3 раза/сут. Частота приема зависит от применяемой лекарственной формы, тяжести течения заболевания и составляет 1-3 раза/сут, ректально - 1 раз/сут. Для лечения острых состояний или купирования обострения хронического процесса применяют в/м в дозе 75 мг. Для детей старше 6 лет и подростков суточная доза составляет 2 мг/кг. Наружно применяют в дозе 2-4 г (в зависимости от площади болезненного участка) на пораженное место 3-4 раза/сут. При применении в офтальмологии частота и длительность введения определяются индивидуально. </w:t>
      </w:r>
      <w:r>
        <w:rPr>
          <w:i/>
        </w:rPr>
        <w:t>Максимальные дозы:</w:t>
      </w:r>
      <w:r>
        <w:t xml:space="preserve"> при приеме внутрь для взрослых - 150 мг/сут. </w:t>
      </w:r>
    </w:p>
    <w:p w:rsidR="00700749" w:rsidRDefault="00700749">
      <w:pPr>
        <w:pStyle w:val="12"/>
      </w:pPr>
      <w:r>
        <w:t>Нифедипин</w:t>
      </w:r>
    </w:p>
    <w:p w:rsidR="00700749" w:rsidRDefault="00700749">
      <w:pPr>
        <w:pStyle w:val="6"/>
        <w:spacing w:line="240" w:lineRule="auto"/>
      </w:pPr>
      <w:r>
        <w:t xml:space="preserve">Фармакологическое действие </w:t>
      </w:r>
    </w:p>
    <w:p w:rsidR="00700749" w:rsidRDefault="00700749">
      <w:pPr>
        <w:spacing w:line="240" w:lineRule="auto"/>
      </w:pPr>
      <w:r>
        <w:t xml:space="preserve">Селективный блокатор кальциевых каналов II класса, производное дигидропиридина. Тормозит поступление кальция в кардиомиоциты и клетки гладкой мускулатуры сосудов. Оказывает антиангинальное и гипотензивное действие. Снижает тонус гладкой мускулатуры сосудов. Расширяет коронарные и периферические артерии, снижает ОПСС, АД и незначительно - сократимость миокарда, уменьшает постнагрузку и потребность миокарда в кислороде. Улучшает коронарный кровоток. Практически не обладает антиаритмической активностью. Не угнетает проводимость миокарда. </w:t>
      </w:r>
    </w:p>
    <w:p w:rsidR="00700749" w:rsidRDefault="00700749">
      <w:pPr>
        <w:pStyle w:val="6"/>
        <w:spacing w:line="240" w:lineRule="auto"/>
      </w:pPr>
      <w:r>
        <w:t xml:space="preserve">Фармакокинетика </w:t>
      </w:r>
    </w:p>
    <w:p w:rsidR="00700749" w:rsidRDefault="00700749">
      <w:pPr>
        <w:spacing w:line="240" w:lineRule="auto"/>
      </w:pPr>
      <w:r>
        <w:t xml:space="preserve">При приеме внутрь быстро всасывается из ЖКТ. Подвергается метаболизму при "первом прохождении" через печень. Связывание с белками составляет 92-98%. Метаболизируется в печени с образованием неактивных метаболитов. Период полувыведения - около 2 ч. Выводится преимущественно почками в виде метаболитов и в следовых количествах в неизмененном виде; 20% выводится через кишечник в виде метаболитов. </w:t>
      </w:r>
    </w:p>
    <w:p w:rsidR="00700749" w:rsidRDefault="00700749">
      <w:pPr>
        <w:pStyle w:val="6"/>
        <w:spacing w:line="240" w:lineRule="auto"/>
      </w:pPr>
      <w:r>
        <w:t xml:space="preserve">Показания </w:t>
      </w:r>
    </w:p>
    <w:p w:rsidR="00700749" w:rsidRDefault="00700749">
      <w:pPr>
        <w:spacing w:line="240" w:lineRule="auto"/>
      </w:pPr>
      <w:r>
        <w:t xml:space="preserve">Профилактика приступов стенокардии (в т.ч. вазоспастической стенокардии), в отдельных случаях - купирование приступов стенокардии; артериальная гипертензия, гипертонические кризы; болезнь Рейно. </w:t>
      </w:r>
    </w:p>
    <w:p w:rsidR="00700749" w:rsidRDefault="00700749">
      <w:pPr>
        <w:pStyle w:val="6"/>
        <w:spacing w:line="240" w:lineRule="auto"/>
      </w:pPr>
      <w:r>
        <w:t xml:space="preserve">Режим дозирования </w:t>
      </w:r>
    </w:p>
    <w:p w:rsidR="00700749" w:rsidRDefault="00700749">
      <w:pPr>
        <w:spacing w:line="240" w:lineRule="auto"/>
      </w:pPr>
      <w:r>
        <w:t xml:space="preserve">Индивидуальный. Для приема внутрь начальная доза - по 10 мг 3-4 раза/сут. При необходимости дозу постепенно увеличивают до 20 мг 3-4 раза/сут. В особых случаях (вариантная стенокардия, тяжелая артериальная гипертензия) на короткое время дозу можно увеличить до 30 мг 3-4 раза/сут. Для купирования гипертонического криза, а также приступа стенокардии можно применять сублингвально по 10-20 мг (редко 30 мг). В/в для купирования приступа стенокардии или гипертонического криза - по 5 мг в течение 4-8 ч. Внутрикоронарно для купирования острых спазмов коронарных артерий вводят болюсом 100-200 мкг. При стенозах крупных коронарных сосудов начальная доза составляет 50-100 мкг. </w:t>
      </w:r>
      <w:r>
        <w:rPr>
          <w:i/>
        </w:rPr>
        <w:t>Максимальные дозы:</w:t>
      </w:r>
      <w:r>
        <w:t xml:space="preserve"> при приеме внутрь - 120 мг/сут, при в/в введении - 30 мг/сут. </w:t>
      </w:r>
    </w:p>
    <w:p w:rsidR="00700749" w:rsidRDefault="00700749">
      <w:pPr>
        <w:pStyle w:val="12"/>
      </w:pPr>
      <w:r>
        <w:t>Витамин Е</w:t>
      </w:r>
    </w:p>
    <w:p w:rsidR="00700749" w:rsidRDefault="00700749">
      <w:pPr>
        <w:pStyle w:val="6"/>
        <w:spacing w:line="240" w:lineRule="auto"/>
      </w:pPr>
      <w:r>
        <w:t xml:space="preserve">Фармакологическое действие </w:t>
      </w:r>
    </w:p>
    <w:p w:rsidR="00700749" w:rsidRDefault="00700749">
      <w:pPr>
        <w:spacing w:line="240" w:lineRule="auto"/>
      </w:pPr>
      <w:r>
        <w:t xml:space="preserve">Витамин E. Оказывает антиоксидантное действие, участвует в биосинтезе гема и белков, пролиферации клеток, тканевом дыхании, других важнейших процессах тканевого метаболизма, предупреждает гемолиз эритроцитов, препятствует повышенной проницаемости и ломкости капилляров. </w:t>
      </w:r>
    </w:p>
    <w:p w:rsidR="00700749" w:rsidRDefault="00700749">
      <w:pPr>
        <w:pStyle w:val="6"/>
        <w:spacing w:line="240" w:lineRule="auto"/>
      </w:pPr>
      <w:r>
        <w:t xml:space="preserve">Показания </w:t>
      </w:r>
    </w:p>
    <w:p w:rsidR="00700749" w:rsidRDefault="00700749">
      <w:pPr>
        <w:spacing w:line="240" w:lineRule="auto"/>
      </w:pPr>
      <w:r>
        <w:t xml:space="preserve">Гиповитаминоз, состояния реконвалесценции после заболеваний, протекавших с лихорадочным синдромом, высокие физические нагрузки, пожилой возраст, заболевания связочного аппарата и мышц. Климактерические вегетативные нарушения. Неврастения при переутомлении, астенический неврастенический синдром, первичная мышечная дистрофия, посттравматическая, постинфекционная вторичная миопатия. Дегенеративные и пролиферативные изменения суставов и связочного аппарата позвоночника и крупных суставов. </w:t>
      </w:r>
    </w:p>
    <w:p w:rsidR="00700749" w:rsidRDefault="00700749">
      <w:pPr>
        <w:pStyle w:val="6"/>
        <w:spacing w:line="240" w:lineRule="auto"/>
      </w:pPr>
      <w:r>
        <w:t xml:space="preserve">Режим дозирования </w:t>
      </w:r>
    </w:p>
    <w:p w:rsidR="00700749" w:rsidRDefault="00700749">
      <w:pPr>
        <w:spacing w:line="240" w:lineRule="auto"/>
      </w:pPr>
      <w:r>
        <w:t xml:space="preserve">Обычно назначают по 100-300 мг/сут. При необходимости дозу можно увеличить до 1 г/сут. </w:t>
      </w:r>
    </w:p>
    <w:p w:rsidR="00700749" w:rsidRDefault="00700749">
      <w:pPr>
        <w:pStyle w:val="12"/>
      </w:pPr>
    </w:p>
    <w:p w:rsidR="00700749" w:rsidRDefault="00700749">
      <w:pPr>
        <w:pStyle w:val="12"/>
      </w:pPr>
      <w:r>
        <w:t>Эффективность проведенной фармакотерапии</w:t>
      </w:r>
    </w:p>
    <w:p w:rsidR="00700749" w:rsidRDefault="00700749">
      <w:pPr>
        <w:spacing w:line="240" w:lineRule="auto"/>
      </w:pPr>
      <w:r>
        <w:tab/>
        <w:t>За время пребывания больного в стационаре его состояние значительно улучшилось, снизились цифры АД, уменьшилась частота возникновения болей в области сердца, исчезли головные боли, головокружение, сонливость, улучшилось общее самочувствие. Также больной отмечает некоторое улучшение зрения, снижение болезненности суставов.</w:t>
      </w:r>
    </w:p>
    <w:p w:rsidR="00700749" w:rsidRDefault="00700749">
      <w:pPr>
        <w:spacing w:line="240" w:lineRule="auto"/>
      </w:pPr>
      <w:r>
        <w:t>Это свидетельствует об адекватности применяемой фармакотерапии.</w:t>
      </w:r>
    </w:p>
    <w:p w:rsidR="00700749" w:rsidRDefault="00700749">
      <w:pPr>
        <w:pStyle w:val="3"/>
        <w:spacing w:line="240" w:lineRule="auto"/>
        <w:rPr>
          <w:caps/>
          <w:lang w:val="ru-RU"/>
        </w:rPr>
      </w:pPr>
      <w:r>
        <w:rPr>
          <w:caps/>
          <w:lang w:val="ru-RU"/>
        </w:rPr>
        <w:br w:type="page"/>
        <w:t>безопасность проводимой фармакотерапии</w:t>
      </w:r>
    </w:p>
    <w:p w:rsidR="00700749" w:rsidRDefault="00700749">
      <w:pPr>
        <w:spacing w:line="240" w:lineRule="auto"/>
      </w:pPr>
      <w:r>
        <w:t>Возможные побочные эффекты применяемых препаратов.</w:t>
      </w:r>
    </w:p>
    <w:p w:rsidR="00700749" w:rsidRDefault="00700749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Цинаризин</w:t>
      </w:r>
    </w:p>
    <w:p w:rsidR="00700749" w:rsidRDefault="00700749">
      <w:pPr>
        <w:spacing w:line="240" w:lineRule="auto"/>
      </w:pPr>
      <w:r>
        <w:rPr>
          <w:i/>
        </w:rPr>
        <w:t>Со стороны пищеварительной системы:</w:t>
      </w:r>
      <w:r>
        <w:t xml:space="preserve"> возможны диспептические явления, сухость во рту; редко - холестатическая желтуха. </w:t>
      </w:r>
      <w:r>
        <w:rPr>
          <w:i/>
        </w:rPr>
        <w:t>Со стороны ЦНС:</w:t>
      </w:r>
      <w:r>
        <w:t xml:space="preserve"> головные боли, сонливость; у пациентов старческого возраста при длительном применении возможны экстрапирамидные симптомы, депрессия. </w:t>
      </w:r>
      <w:r>
        <w:rPr>
          <w:i/>
        </w:rPr>
        <w:t>Аллергические реакции:</w:t>
      </w:r>
      <w:r>
        <w:t xml:space="preserve"> редко - кожная сыпь. </w:t>
      </w:r>
      <w:r>
        <w:rPr>
          <w:i/>
        </w:rPr>
        <w:t>Прочие:</w:t>
      </w:r>
      <w:r>
        <w:t xml:space="preserve"> увеличение массы тела, усиление потоотделения; в единичных случаях - волчаночноподобный синдром, красный плоский лишай. </w:t>
      </w:r>
    </w:p>
    <w:p w:rsidR="00700749" w:rsidRDefault="00700749">
      <w:pPr>
        <w:spacing w:line="240" w:lineRule="auto"/>
        <w:ind w:firstLine="0"/>
      </w:pPr>
      <w:r>
        <w:t>Диклофенак</w:t>
      </w:r>
    </w:p>
    <w:p w:rsidR="00700749" w:rsidRDefault="00700749">
      <w:pPr>
        <w:spacing w:line="240" w:lineRule="auto"/>
      </w:pPr>
      <w:r>
        <w:rPr>
          <w:i/>
        </w:rPr>
        <w:t>Со стороны пищеварительной системы:</w:t>
      </w:r>
      <w:r>
        <w:t xml:space="preserve"> возможны тошнота, рвота, анорексия, боли и неприятные ощущения в эпигастральной области, метеоризм, запор, диарея; в отдельных случаях - эрозивно-язвенные поражения, кровотечения и перфорации ЖКТ; редко - нарушение функции печени. При ректальном введении в единичных случаях отмечались воспаление толстой кишки с кровотечением, обострение язвенного колита. </w:t>
      </w:r>
      <w:r>
        <w:rPr>
          <w:i/>
        </w:rPr>
        <w:t>Со стороны ЦНС и периферической нервной системы:</w:t>
      </w:r>
      <w:r>
        <w:t xml:space="preserve"> возможны головокружение, головная боль, возбуждение, бессонница, раздражительность, чувство усталости; редко - парестезии, нарушения зрения (расплывчатость, диплопия), шум в ушах, расстройства сна, судороги, раздражительность, тремор, психические нарушения, депрессия. </w:t>
      </w:r>
      <w:r>
        <w:rPr>
          <w:i/>
        </w:rPr>
        <w:t>Со стороны системы кроветворения:</w:t>
      </w:r>
      <w:r>
        <w:t xml:space="preserve"> редко - анемия, лейкопения, тромбоцитопения, агранулоцитоз. </w:t>
      </w:r>
      <w:r>
        <w:rPr>
          <w:i/>
        </w:rPr>
        <w:t>Со стороны мочевыделительной системы:</w:t>
      </w:r>
      <w:r>
        <w:t xml:space="preserve"> редко - нарушение функции почек; у предрасположенных пациентов возможны отеки. </w:t>
      </w:r>
      <w:r>
        <w:rPr>
          <w:i/>
        </w:rPr>
        <w:t>Дерматологические реакции:</w:t>
      </w:r>
      <w:r>
        <w:t xml:space="preserve"> редко - выпадение волос. </w:t>
      </w:r>
      <w:r>
        <w:rPr>
          <w:i/>
        </w:rPr>
        <w:t>Аллергические реакции:</w:t>
      </w:r>
      <w:r>
        <w:t xml:space="preserve"> возможны кожная сыпь, зуд; при применении в форме глазных капель - зуд, покраснение, фотосенсибилизация. </w:t>
      </w:r>
      <w:r>
        <w:rPr>
          <w:i/>
        </w:rPr>
        <w:t>Местные реакции:</w:t>
      </w:r>
      <w:r>
        <w:t xml:space="preserve"> в месте в/м введения возможно жжение, в отдельных случаях - образование инфильтрата, абсцесса, некроз жировой ткани; при ректальном введении возможны местное раздражение, появление слизистых выделений с примесью крови, болезненная дефекация; при наружном применении в редких случаях - зуд, покраснение, сыпь, жжение местного характера; при местном применении в офтальмологии возможны преходящее чувство жжения и/или временная нечеткость зрения сразу после закапывания. При длительном наружном применении и/или нанесении на обширные поверхности тела возможны системные побочные эффекты вследствие резорбтивного действия диклофенака. </w:t>
      </w:r>
    </w:p>
    <w:p w:rsidR="00700749" w:rsidRDefault="00700749">
      <w:pPr>
        <w:spacing w:line="240" w:lineRule="auto"/>
        <w:ind w:firstLine="0"/>
      </w:pPr>
      <w:r>
        <w:t>Нифедипин</w:t>
      </w:r>
    </w:p>
    <w:p w:rsidR="00700749" w:rsidRDefault="00700749">
      <w:pPr>
        <w:spacing w:line="240" w:lineRule="auto"/>
      </w:pPr>
      <w:r>
        <w:rPr>
          <w:i/>
        </w:rPr>
        <w:t>Со стороны сердечно-сосудистой системы:</w:t>
      </w:r>
      <w:r>
        <w:t xml:space="preserve"> возможны гиперемия кожных покровов, ощущение тепла, тахикардия, артериальная гипотензия, периферические отеки; редко - брадикардия, желудочковая тахикардия, асистолия, усиление приступов стенокардии. </w:t>
      </w:r>
      <w:r>
        <w:rPr>
          <w:i/>
        </w:rPr>
        <w:t>Со стороны пищеварительной системы:</w:t>
      </w:r>
      <w:r>
        <w:t xml:space="preserve"> тошнота, изжога, диарея; редко - ухудшение функции печени; в единичных случаях - гиперплазия десен. При длительном приеме в высоких дозах возможны диспептические симптомы, повышение активности печеночных трансаминаз, внутрипеченочный холестаз. </w:t>
      </w:r>
      <w:r>
        <w:rPr>
          <w:i/>
        </w:rPr>
        <w:t>Со стороны ЦНС и периферической нервной системы:</w:t>
      </w:r>
      <w:r>
        <w:t xml:space="preserve"> головная боль. При длительном приеме в высоких дозах возможны парестезии, боли в мышцах, тремор, легкие расстройства зрения, нарушения сна. </w:t>
      </w:r>
      <w:r>
        <w:rPr>
          <w:i/>
        </w:rPr>
        <w:t>Со стороны системы кроветворения:</w:t>
      </w:r>
      <w:r>
        <w:t xml:space="preserve"> в единичных случаях - лейкопения, тромбоцитопения. </w:t>
      </w:r>
      <w:r>
        <w:rPr>
          <w:i/>
        </w:rPr>
        <w:t>Со стороны мочевыделительной системы:</w:t>
      </w:r>
      <w:r>
        <w:t xml:space="preserve"> увеличение суточного диуреза. При длительном приеме в высоких дозах возможны нарушения функции почек. </w:t>
      </w:r>
      <w:r>
        <w:rPr>
          <w:i/>
        </w:rPr>
        <w:t>Со стороны эндокринной системы:</w:t>
      </w:r>
      <w:r>
        <w:t xml:space="preserve"> в единичных случаях - гинекомастия. </w:t>
      </w:r>
      <w:r>
        <w:rPr>
          <w:i/>
        </w:rPr>
        <w:t>Аллергические реакции:</w:t>
      </w:r>
      <w:r>
        <w:t xml:space="preserve"> возможна кожная сыпь. </w:t>
      </w:r>
      <w:r>
        <w:rPr>
          <w:i/>
        </w:rPr>
        <w:t>Местные реакции:</w:t>
      </w:r>
      <w:r>
        <w:t xml:space="preserve"> при в/в введении возможно жжение в месте инъекции. В течение 1 мин после внутрикоронарного введения возможно проявление отрицательного инотропного действия нифедипина, увеличение ЧСС, артериальная гипотензия; эти симптомы постепенно исчезают через 5-15 мин. </w:t>
      </w:r>
    </w:p>
    <w:p w:rsidR="00700749" w:rsidRDefault="00700749">
      <w:pPr>
        <w:spacing w:line="240" w:lineRule="auto"/>
        <w:ind w:firstLine="0"/>
      </w:pPr>
      <w:r>
        <w:t>Витамин Е</w:t>
      </w:r>
    </w:p>
    <w:p w:rsidR="00700749" w:rsidRDefault="00700749">
      <w:pPr>
        <w:spacing w:line="240" w:lineRule="auto"/>
      </w:pPr>
      <w:r>
        <w:t xml:space="preserve">Аллергические реакции. При приеме в высоких дозах - диарея, боли в эпигастрии. </w:t>
      </w:r>
    </w:p>
    <w:p w:rsidR="00700749" w:rsidRDefault="00700749">
      <w:pPr>
        <w:pStyle w:val="3"/>
        <w:rPr>
          <w:caps/>
          <w:lang w:val="ru-RU"/>
        </w:rPr>
      </w:pPr>
      <w:r>
        <w:rPr>
          <w:caps/>
          <w:lang w:val="ru-RU"/>
        </w:rPr>
        <w:t>Рациональность сочетаний</w:t>
      </w:r>
    </w:p>
    <w:tbl>
      <w:tblPr>
        <w:tblW w:w="0" w:type="auto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1772"/>
        <w:gridCol w:w="1772"/>
        <w:gridCol w:w="1772"/>
        <w:gridCol w:w="1772"/>
      </w:tblGrid>
      <w:tr w:rsidR="00700749">
        <w:tc>
          <w:tcPr>
            <w:tcW w:w="177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</w:pPr>
          </w:p>
        </w:tc>
        <w:tc>
          <w:tcPr>
            <w:tcW w:w="1772" w:type="dxa"/>
            <w:tcBorders>
              <w:top w:val="thinThickSmallGap" w:sz="24" w:space="0" w:color="auto"/>
              <w:bottom w:val="nil"/>
            </w:tcBorders>
          </w:tcPr>
          <w:p w:rsidR="00700749" w:rsidRDefault="00700749">
            <w:pPr>
              <w:spacing w:line="240" w:lineRule="auto"/>
              <w:ind w:firstLine="0"/>
            </w:pPr>
            <w:r>
              <w:t>Цинаризин</w:t>
            </w:r>
          </w:p>
        </w:tc>
        <w:tc>
          <w:tcPr>
            <w:tcW w:w="1772" w:type="dxa"/>
            <w:tcBorders>
              <w:top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</w:pPr>
            <w:r>
              <w:t>Нифедипин</w:t>
            </w:r>
          </w:p>
        </w:tc>
        <w:tc>
          <w:tcPr>
            <w:tcW w:w="1772" w:type="dxa"/>
            <w:tcBorders>
              <w:top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</w:pPr>
            <w:r>
              <w:t>Диклофенак</w:t>
            </w:r>
          </w:p>
        </w:tc>
        <w:tc>
          <w:tcPr>
            <w:tcW w:w="1772" w:type="dxa"/>
            <w:tcBorders>
              <w:top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</w:pPr>
            <w:r>
              <w:t>Витамин Е</w:t>
            </w:r>
          </w:p>
        </w:tc>
        <w:tc>
          <w:tcPr>
            <w:tcW w:w="177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</w:pPr>
            <w:r>
              <w:t>Пирацетам</w:t>
            </w:r>
          </w:p>
        </w:tc>
      </w:tr>
      <w:tr w:rsidR="00700749">
        <w:tc>
          <w:tcPr>
            <w:tcW w:w="1772" w:type="dxa"/>
            <w:tcBorders>
              <w:left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</w:pPr>
            <w:r>
              <w:t>Цинаризин</w:t>
            </w:r>
          </w:p>
        </w:tc>
        <w:tc>
          <w:tcPr>
            <w:tcW w:w="1772" w:type="dxa"/>
            <w:shd w:val="pct25" w:color="auto" w:fill="FFFFFF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  <w:tcBorders>
              <w:right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00749">
        <w:tc>
          <w:tcPr>
            <w:tcW w:w="1772" w:type="dxa"/>
            <w:tcBorders>
              <w:left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</w:pPr>
            <w:r>
              <w:t>Нифедипин</w:t>
            </w:r>
          </w:p>
        </w:tc>
        <w:tc>
          <w:tcPr>
            <w:tcW w:w="1772" w:type="dxa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  <w:shd w:val="pct25" w:color="auto" w:fill="FFFFFF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  <w:tcBorders>
              <w:right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00749">
        <w:tc>
          <w:tcPr>
            <w:tcW w:w="1772" w:type="dxa"/>
            <w:tcBorders>
              <w:left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</w:pPr>
            <w:r>
              <w:t>Диклофенак</w:t>
            </w:r>
          </w:p>
        </w:tc>
        <w:tc>
          <w:tcPr>
            <w:tcW w:w="1772" w:type="dxa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</w:tcPr>
          <w:p w:rsidR="00700749" w:rsidRDefault="00700749">
            <w:pPr>
              <w:pStyle w:val="22"/>
              <w:spacing w:after="120" w:line="240" w:lineRule="auto"/>
            </w:pPr>
            <w:r>
              <w:t>+</w:t>
            </w:r>
          </w:p>
        </w:tc>
        <w:tc>
          <w:tcPr>
            <w:tcW w:w="1772" w:type="dxa"/>
            <w:shd w:val="pct25" w:color="auto" w:fill="FFFFFF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  <w:tcBorders>
              <w:right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00749">
        <w:tc>
          <w:tcPr>
            <w:tcW w:w="1772" w:type="dxa"/>
            <w:tcBorders>
              <w:left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</w:pPr>
            <w:r>
              <w:t>Витамин Е</w:t>
            </w:r>
          </w:p>
        </w:tc>
        <w:tc>
          <w:tcPr>
            <w:tcW w:w="1772" w:type="dxa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  <w:shd w:val="pct25" w:color="auto" w:fill="FFFFFF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bottom w:val="nil"/>
              <w:right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00749">
        <w:tc>
          <w:tcPr>
            <w:tcW w:w="177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</w:pPr>
            <w:r>
              <w:t>Пирацетам</w:t>
            </w:r>
          </w:p>
        </w:tc>
        <w:tc>
          <w:tcPr>
            <w:tcW w:w="1772" w:type="dxa"/>
            <w:tcBorders>
              <w:bottom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  <w:tcBorders>
              <w:bottom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  <w:tcBorders>
              <w:bottom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  <w:tcBorders>
              <w:bottom w:val="thinThickSmallGap" w:sz="24" w:space="0" w:color="auto"/>
            </w:tcBorders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72" w:type="dxa"/>
            <w:tcBorders>
              <w:bottom w:val="thinThickSmallGap" w:sz="24" w:space="0" w:color="auto"/>
              <w:right w:val="thinThickSmallGap" w:sz="24" w:space="0" w:color="auto"/>
            </w:tcBorders>
            <w:shd w:val="pct25" w:color="auto" w:fill="FFFFFF"/>
          </w:tcPr>
          <w:p w:rsidR="00700749" w:rsidRDefault="00700749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</w:tbl>
    <w:p w:rsidR="00700749" w:rsidRDefault="00700749">
      <w:pPr>
        <w:ind w:firstLine="0"/>
      </w:pPr>
    </w:p>
    <w:p w:rsidR="00700749" w:rsidRDefault="00700749"/>
    <w:p w:rsidR="00700749" w:rsidRDefault="00700749">
      <w:bookmarkStart w:id="0" w:name="_GoBack"/>
      <w:bookmarkEnd w:id="0"/>
    </w:p>
    <w:sectPr w:rsidR="00700749">
      <w:footerReference w:type="even" r:id="rId7"/>
      <w:footerReference w:type="default" r:id="rId8"/>
      <w:pgSz w:w="11906" w:h="16838"/>
      <w:pgMar w:top="1134" w:right="1134" w:bottom="1134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749" w:rsidRDefault="00700749">
      <w:pPr>
        <w:spacing w:line="240" w:lineRule="auto"/>
      </w:pPr>
      <w:r>
        <w:separator/>
      </w:r>
    </w:p>
  </w:endnote>
  <w:endnote w:type="continuationSeparator" w:id="0">
    <w:p w:rsidR="00700749" w:rsidRDefault="0070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49" w:rsidRDefault="00700749">
    <w:pPr>
      <w:pStyle w:val="a9"/>
      <w:framePr w:wrap="around" w:vAnchor="text" w:hAnchor="margin" w:xAlign="center" w:y="1"/>
      <w:rPr>
        <w:rStyle w:val="aa"/>
      </w:rPr>
    </w:pPr>
  </w:p>
  <w:p w:rsidR="00700749" w:rsidRDefault="0070074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49" w:rsidRDefault="00090AEA">
    <w:pPr>
      <w:pStyle w:val="a9"/>
      <w:framePr w:wrap="around" w:vAnchor="text" w:hAnchor="margin" w:xAlign="center" w:y="1"/>
      <w:rPr>
        <w:rStyle w:val="aa"/>
        <w:sz w:val="20"/>
      </w:rPr>
    </w:pPr>
    <w:r>
      <w:rPr>
        <w:rStyle w:val="aa"/>
        <w:noProof/>
        <w:sz w:val="20"/>
      </w:rPr>
      <w:t>2</w:t>
    </w:r>
  </w:p>
  <w:p w:rsidR="00700749" w:rsidRDefault="00700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749" w:rsidRDefault="00700749">
      <w:pPr>
        <w:spacing w:line="240" w:lineRule="auto"/>
      </w:pPr>
      <w:r>
        <w:separator/>
      </w:r>
    </w:p>
  </w:footnote>
  <w:footnote w:type="continuationSeparator" w:id="0">
    <w:p w:rsidR="00700749" w:rsidRDefault="007007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59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143805"/>
    <w:multiLevelType w:val="singleLevel"/>
    <w:tmpl w:val="AB4ADFD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0F7C3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0A34E0"/>
    <w:multiLevelType w:val="singleLevel"/>
    <w:tmpl w:val="142C548C"/>
    <w:lvl w:ilvl="0">
      <w:start w:val="1"/>
      <w:numFmt w:val="bullet"/>
      <w:pStyle w:val="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5C434D"/>
    <w:multiLevelType w:val="singleLevel"/>
    <w:tmpl w:val="B7A01F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9A59BB"/>
    <w:multiLevelType w:val="singleLevel"/>
    <w:tmpl w:val="624446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9977502"/>
    <w:multiLevelType w:val="singleLevel"/>
    <w:tmpl w:val="72FA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9470851"/>
    <w:multiLevelType w:val="singleLevel"/>
    <w:tmpl w:val="53488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8">
    <w:nsid w:val="69F5272D"/>
    <w:multiLevelType w:val="singleLevel"/>
    <w:tmpl w:val="644E62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">
    <w:nsid w:val="75A45BBD"/>
    <w:multiLevelType w:val="singleLevel"/>
    <w:tmpl w:val="583EAB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6A326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F2039BC"/>
    <w:multiLevelType w:val="singleLevel"/>
    <w:tmpl w:val="2FDC63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  <w:num w:numId="14">
    <w:abstractNumId w:val="1"/>
  </w:num>
  <w:num w:numId="15">
    <w:abstractNumId w:val="0"/>
  </w:num>
  <w:num w:numId="16">
    <w:abstractNumId w:val="2"/>
  </w:num>
  <w:num w:numId="17">
    <w:abstractNumId w:val="4"/>
  </w:num>
  <w:num w:numId="18">
    <w:abstractNumId w:val="8"/>
  </w:num>
  <w:num w:numId="19">
    <w:abstractNumId w:val="11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AEA"/>
    <w:rsid w:val="00090AEA"/>
    <w:rsid w:val="004B5760"/>
    <w:rsid w:val="00700749"/>
    <w:rsid w:val="009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B3B21-E734-4AA3-8D15-49254BA3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8"/>
    </w:rPr>
  </w:style>
  <w:style w:type="paragraph" w:styleId="10">
    <w:name w:val="heading 1"/>
    <w:basedOn w:val="a"/>
    <w:next w:val="a"/>
    <w:qFormat/>
    <w:pPr>
      <w:keepNext/>
      <w:spacing w:after="120"/>
      <w:outlineLvl w:val="0"/>
    </w:pPr>
    <w:rPr>
      <w:b/>
      <w:noProof/>
    </w:rPr>
  </w:style>
  <w:style w:type="paragraph" w:styleId="2">
    <w:name w:val="heading 2"/>
    <w:basedOn w:val="a"/>
    <w:next w:val="a"/>
    <w:qFormat/>
    <w:pPr>
      <w:keepNext/>
      <w:spacing w:after="120"/>
      <w:outlineLvl w:val="1"/>
    </w:pPr>
    <w:rPr>
      <w:b/>
      <w:noProof/>
    </w:rPr>
  </w:style>
  <w:style w:type="paragraph" w:styleId="3">
    <w:name w:val="heading 3"/>
    <w:basedOn w:val="a"/>
    <w:next w:val="a"/>
    <w:qFormat/>
    <w:pPr>
      <w:keepNext/>
      <w:spacing w:after="120"/>
      <w:jc w:val="center"/>
      <w:outlineLvl w:val="2"/>
    </w:pPr>
    <w:rPr>
      <w:b/>
      <w:i/>
      <w:lang w:val="uk-UA"/>
    </w:rPr>
  </w:style>
  <w:style w:type="paragraph" w:styleId="40">
    <w:name w:val="heading 4"/>
    <w:basedOn w:val="a"/>
    <w:next w:val="a"/>
    <w:qFormat/>
    <w:pPr>
      <w:keepNext/>
      <w:spacing w:after="120"/>
      <w:jc w:val="center"/>
      <w:outlineLvl w:val="3"/>
    </w:pPr>
    <w:rPr>
      <w:rFonts w:ascii="Impact" w:hAnsi="Impact"/>
      <w:b/>
      <w:caps/>
      <w:shadow/>
      <w:spacing w:val="80"/>
      <w:sz w:val="100"/>
      <w:lang w:val="uk-UA"/>
    </w:rPr>
  </w:style>
  <w:style w:type="paragraph" w:styleId="5">
    <w:name w:val="heading 5"/>
    <w:basedOn w:val="a"/>
    <w:next w:val="a"/>
    <w:qFormat/>
    <w:pPr>
      <w:keepNext/>
      <w:spacing w:after="120"/>
      <w:jc w:val="center"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spacing w:after="120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pPr>
      <w:pageBreakBefore/>
      <w:tabs>
        <w:tab w:val="left" w:pos="7655"/>
      </w:tabs>
      <w:spacing w:after="120"/>
      <w:jc w:val="center"/>
    </w:pPr>
    <w:rPr>
      <w:b/>
      <w:sz w:val="36"/>
      <w:lang w:val="uk-UA"/>
    </w:rPr>
  </w:style>
  <w:style w:type="paragraph" w:customStyle="1" w:styleId="20">
    <w:name w:val="2"/>
    <w:basedOn w:val="a"/>
    <w:pPr>
      <w:tabs>
        <w:tab w:val="left" w:pos="7655"/>
      </w:tabs>
      <w:spacing w:after="120"/>
      <w:jc w:val="center"/>
    </w:pPr>
    <w:rPr>
      <w:b/>
      <w:caps/>
      <w:lang w:val="uk-UA"/>
    </w:rPr>
  </w:style>
  <w:style w:type="paragraph" w:customStyle="1" w:styleId="30">
    <w:name w:val="3"/>
    <w:basedOn w:val="a"/>
    <w:pPr>
      <w:tabs>
        <w:tab w:val="left" w:pos="7655"/>
      </w:tabs>
      <w:ind w:firstLine="851"/>
    </w:pPr>
    <w:rPr>
      <w:lang w:val="uk-UA"/>
    </w:rPr>
  </w:style>
  <w:style w:type="paragraph" w:customStyle="1" w:styleId="4">
    <w:name w:val="4"/>
    <w:basedOn w:val="30"/>
    <w:pPr>
      <w:numPr>
        <w:numId w:val="10"/>
      </w:numPr>
      <w:tabs>
        <w:tab w:val="clear" w:pos="7655"/>
        <w:tab w:val="left" w:pos="1701"/>
      </w:tabs>
      <w:spacing w:after="60"/>
    </w:pPr>
  </w:style>
  <w:style w:type="paragraph" w:customStyle="1" w:styleId="12">
    <w:name w:val="Стиль1"/>
    <w:basedOn w:val="a3"/>
    <w:next w:val="a"/>
    <w:autoRedefine/>
    <w:pPr>
      <w:spacing w:line="240" w:lineRule="auto"/>
      <w:ind w:firstLine="0"/>
      <w:jc w:val="center"/>
      <w:outlineLvl w:val="0"/>
    </w:pPr>
    <w:rPr>
      <w:b/>
      <w:i/>
      <w:lang w:val="ru-RU"/>
    </w:rPr>
  </w:style>
  <w:style w:type="paragraph" w:styleId="a3">
    <w:name w:val="Note Heading"/>
    <w:basedOn w:val="a"/>
    <w:next w:val="a"/>
    <w:semiHidden/>
    <w:pPr>
      <w:spacing w:after="120"/>
    </w:pPr>
    <w:rPr>
      <w:lang w:val="uk-UA"/>
    </w:rPr>
  </w:style>
  <w:style w:type="paragraph" w:customStyle="1" w:styleId="a4">
    <w:name w:val="Заглавие"/>
    <w:basedOn w:val="a3"/>
    <w:next w:val="a"/>
    <w:pPr>
      <w:ind w:firstLine="0"/>
      <w:jc w:val="center"/>
      <w:outlineLvl w:val="0"/>
    </w:pPr>
    <w:rPr>
      <w:b/>
      <w:caps/>
      <w:spacing w:val="40"/>
      <w:sz w:val="24"/>
    </w:rPr>
  </w:style>
  <w:style w:type="paragraph" w:customStyle="1" w:styleId="13">
    <w:name w:val="Заглавие1"/>
    <w:basedOn w:val="a4"/>
    <w:next w:val="a"/>
    <w:rPr>
      <w:i/>
    </w:rPr>
  </w:style>
  <w:style w:type="paragraph" w:customStyle="1" w:styleId="a5">
    <w:name w:val="Заглавие малое"/>
    <w:basedOn w:val="a4"/>
    <w:next w:val="a"/>
    <w:autoRedefine/>
    <w:rPr>
      <w:caps w:val="0"/>
    </w:rPr>
  </w:style>
  <w:style w:type="paragraph" w:customStyle="1" w:styleId="a6">
    <w:name w:val="заглавие в строке"/>
    <w:basedOn w:val="a4"/>
    <w:autoRedefine/>
    <w:pPr>
      <w:spacing w:before="120" w:after="0" w:line="240" w:lineRule="auto"/>
      <w:jc w:val="both"/>
    </w:pPr>
    <w:rPr>
      <w:spacing w:val="0"/>
    </w:rPr>
  </w:style>
  <w:style w:type="paragraph" w:styleId="a7">
    <w:name w:val="Plain Text"/>
    <w:basedOn w:val="a"/>
    <w:semiHidden/>
    <w:pPr>
      <w:spacing w:line="240" w:lineRule="auto"/>
      <w:jc w:val="left"/>
    </w:pPr>
    <w:rPr>
      <w:rFonts w:ascii="Courier New" w:hAnsi="Courier New"/>
      <w:sz w:val="20"/>
    </w:rPr>
  </w:style>
  <w:style w:type="paragraph" w:styleId="a8">
    <w:name w:val="Body Text Indent"/>
    <w:basedOn w:val="a"/>
    <w:semiHidden/>
    <w:pPr>
      <w:spacing w:after="120"/>
      <w:ind w:left="4253" w:hanging="3119"/>
    </w:pPr>
    <w:rPr>
      <w:lang w:val="uk-UA"/>
    </w:rPr>
  </w:style>
  <w:style w:type="paragraph" w:styleId="21">
    <w:name w:val="Body Text Indent 2"/>
    <w:basedOn w:val="a"/>
    <w:semiHidden/>
    <w:pPr>
      <w:tabs>
        <w:tab w:val="left" w:pos="0"/>
      </w:tabs>
      <w:spacing w:after="120"/>
      <w:ind w:firstLine="560"/>
    </w:pPr>
    <w:rPr>
      <w:rFonts w:ascii="TimesET" w:hAnsi="TimesET"/>
      <w:noProof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  <w:spacing w:after="120"/>
    </w:pPr>
    <w:rPr>
      <w:lang w:val="uk-UA"/>
    </w:rPr>
  </w:style>
  <w:style w:type="character" w:styleId="aa">
    <w:name w:val="page number"/>
    <w:basedOn w:val="a0"/>
    <w:semiHidden/>
  </w:style>
  <w:style w:type="paragraph" w:customStyle="1" w:styleId="ab">
    <w:name w:val="Автозамена"/>
  </w:style>
  <w:style w:type="paragraph" w:styleId="ac">
    <w:name w:val="Title"/>
    <w:basedOn w:val="a"/>
    <w:qFormat/>
    <w:pPr>
      <w:spacing w:line="480" w:lineRule="auto"/>
      <w:jc w:val="center"/>
    </w:pPr>
    <w:rPr>
      <w:rFonts w:ascii="Arial" w:hAnsi="Arial"/>
      <w:b/>
      <w:caps/>
      <w:spacing w:val="40"/>
      <w:sz w:val="20"/>
    </w:rPr>
  </w:style>
  <w:style w:type="paragraph" w:customStyle="1" w:styleId="1">
    <w:name w:val="текст1"/>
    <w:basedOn w:val="a7"/>
    <w:autoRedefine/>
    <w:pPr>
      <w:numPr>
        <w:numId w:val="17"/>
      </w:numPr>
      <w:tabs>
        <w:tab w:val="clear" w:pos="360"/>
      </w:tabs>
      <w:spacing w:line="360" w:lineRule="auto"/>
      <w:ind w:left="2127" w:hanging="916"/>
      <w:jc w:val="both"/>
    </w:pPr>
    <w:rPr>
      <w:rFonts w:ascii="Times New Roman" w:hAnsi="Times New Roman"/>
      <w:sz w:val="28"/>
    </w:rPr>
  </w:style>
  <w:style w:type="paragraph" w:customStyle="1" w:styleId="22">
    <w:name w:val="текст2"/>
    <w:basedOn w:val="a7"/>
    <w:autoRedefine/>
    <w:pPr>
      <w:spacing w:line="360" w:lineRule="auto"/>
      <w:jc w:val="center"/>
    </w:pPr>
    <w:rPr>
      <w:rFonts w:ascii="Times New Roman" w:hAnsi="Times New Roman"/>
      <w:b/>
      <w:sz w:val="28"/>
    </w:rPr>
  </w:style>
  <w:style w:type="paragraph" w:customStyle="1" w:styleId="31">
    <w:name w:val="Стиль3"/>
    <w:basedOn w:val="a7"/>
    <w:autoRedefine/>
    <w:pPr>
      <w:spacing w:line="360" w:lineRule="auto"/>
      <w:jc w:val="both"/>
    </w:pPr>
    <w:rPr>
      <w:rFonts w:ascii="Times New Roman" w:hAnsi="Times New Roman"/>
      <w:i/>
      <w:sz w:val="28"/>
    </w:rPr>
  </w:style>
  <w:style w:type="paragraph" w:styleId="ad">
    <w:name w:val="header"/>
    <w:basedOn w:val="a"/>
    <w:semiHidden/>
    <w:pPr>
      <w:tabs>
        <w:tab w:val="center" w:pos="4153"/>
        <w:tab w:val="right" w:pos="8306"/>
      </w:tabs>
      <w:spacing w:after="120"/>
    </w:pPr>
    <w:rPr>
      <w:lang w:val="uk-UA"/>
    </w:rPr>
  </w:style>
  <w:style w:type="paragraph" w:styleId="32">
    <w:name w:val="Body Text Indent 3"/>
    <w:basedOn w:val="a"/>
    <w:semiHidden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ДНІПРОПЕТРОВСЬКА ДЕРЖАВНА МЕДИЧНА АКАДЕМІЯ</vt:lpstr>
    </vt:vector>
  </TitlesOfParts>
  <Company> </Company>
  <LinksUpToDate>false</LinksUpToDate>
  <CharactersWithSpaces>17025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ДНІПРОПЕТРОВСЬКА ДЕРЖАВНА МЕДИЧНА АКАДЕМІЯ</dc:title>
  <dc:subject/>
  <dc:creator>vovan</dc:creator>
  <cp:keywords/>
  <cp:lastModifiedBy>admin</cp:lastModifiedBy>
  <cp:revision>2</cp:revision>
  <dcterms:created xsi:type="dcterms:W3CDTF">2014-02-07T07:09:00Z</dcterms:created>
  <dcterms:modified xsi:type="dcterms:W3CDTF">2014-02-07T07:09:00Z</dcterms:modified>
</cp:coreProperties>
</file>