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C2" w:rsidRDefault="008F48C2" w:rsidP="00BE6E08">
      <w:pPr>
        <w:jc w:val="center"/>
        <w:rPr>
          <w:b/>
          <w:i/>
          <w:sz w:val="40"/>
          <w:szCs w:val="40"/>
        </w:rPr>
      </w:pPr>
    </w:p>
    <w:p w:rsidR="00FA6A50" w:rsidRPr="00D35D91" w:rsidRDefault="00FA6A50" w:rsidP="00BE6E08">
      <w:pPr>
        <w:jc w:val="center"/>
        <w:rPr>
          <w:b/>
          <w:i/>
          <w:sz w:val="40"/>
          <w:szCs w:val="40"/>
        </w:rPr>
      </w:pPr>
      <w:r w:rsidRPr="00D35D91">
        <w:rPr>
          <w:b/>
          <w:i/>
          <w:sz w:val="40"/>
          <w:szCs w:val="40"/>
        </w:rPr>
        <w:t>Реферат.</w:t>
      </w:r>
    </w:p>
    <w:p w:rsidR="00FA6A50" w:rsidRDefault="00FA6A50" w:rsidP="00D35D91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Анализ</w:t>
      </w:r>
      <w:r w:rsidRPr="00EA42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состояния и развития мирового</w:t>
      </w:r>
    </w:p>
    <w:p w:rsidR="00FA6A50" w:rsidRDefault="00FA6A50" w:rsidP="00D35D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фармацевтического рынка.</w:t>
      </w:r>
    </w:p>
    <w:p w:rsidR="00FA6A50" w:rsidRDefault="00FA6A50" w:rsidP="00E237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701">
        <w:rPr>
          <w:sz w:val="28"/>
          <w:szCs w:val="28"/>
        </w:rPr>
        <w:t>В настоящее время большинство фармацевтических к</w:t>
      </w:r>
      <w:r>
        <w:rPr>
          <w:sz w:val="28"/>
          <w:szCs w:val="28"/>
        </w:rPr>
        <w:t>омпаний придерживается</w:t>
      </w:r>
      <w:r w:rsidRPr="00E23701">
        <w:rPr>
          <w:sz w:val="28"/>
          <w:szCs w:val="28"/>
        </w:rPr>
        <w:t xml:space="preserve"> социально-ответственного маркетинга, которая предусматривает определение нужд, потребностей и интересов целевых групп потребителей и удовлетворение их запросов более эффективными, чем у конкурентов, способами при сохранении и укреплении благополучия потребителя и общества в целом.</w:t>
      </w:r>
    </w:p>
    <w:p w:rsidR="00FA6A50" w:rsidRPr="00E23701" w:rsidRDefault="00FA6A50" w:rsidP="00E237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701">
        <w:rPr>
          <w:sz w:val="28"/>
          <w:szCs w:val="28"/>
        </w:rPr>
        <w:t>Маркетинг в фармацевтической промышленности (лекарственных препаратов) существенно отличается от других сфер производства тем, что продукция производится в строго необходимых количествах, не поставляется непосредственно потребителю, ценообразование прямо или косвенно определяется правительством, на национальных рынках присутствует огромное количество конкурентов, и ни одна из фирм не имеет существенной доли рынка. В то же время на долю фирмы “</w:t>
      </w:r>
      <w:r w:rsidRPr="00E23701">
        <w:rPr>
          <w:sz w:val="28"/>
          <w:szCs w:val="28"/>
          <w:lang w:val="en-US"/>
        </w:rPr>
        <w:t>Glaxo</w:t>
      </w:r>
      <w:r w:rsidRPr="00E23701">
        <w:rPr>
          <w:sz w:val="28"/>
          <w:szCs w:val="28"/>
        </w:rPr>
        <w:t xml:space="preserve"> </w:t>
      </w:r>
      <w:r w:rsidRPr="00E23701">
        <w:rPr>
          <w:sz w:val="28"/>
          <w:szCs w:val="28"/>
          <w:lang w:val="en-US"/>
        </w:rPr>
        <w:t>SmithKline</w:t>
      </w:r>
      <w:r w:rsidRPr="00E23701">
        <w:rPr>
          <w:sz w:val="28"/>
          <w:szCs w:val="28"/>
        </w:rPr>
        <w:t>” приходится 7,3% мирового фармацевтического рынка; «</w:t>
      </w:r>
      <w:r w:rsidRPr="00E23701">
        <w:rPr>
          <w:sz w:val="28"/>
          <w:szCs w:val="28"/>
          <w:lang w:val="en-US"/>
        </w:rPr>
        <w:t>Pfizer</w:t>
      </w:r>
      <w:r w:rsidRPr="00E23701">
        <w:rPr>
          <w:sz w:val="28"/>
          <w:szCs w:val="28"/>
        </w:rPr>
        <w:t>» (+</w:t>
      </w:r>
      <w:r w:rsidRPr="00E23701">
        <w:rPr>
          <w:sz w:val="28"/>
          <w:szCs w:val="28"/>
          <w:lang w:val="en-US"/>
        </w:rPr>
        <w:t>Warner</w:t>
      </w:r>
      <w:r w:rsidRPr="00E23701">
        <w:rPr>
          <w:sz w:val="28"/>
          <w:szCs w:val="28"/>
        </w:rPr>
        <w:t xml:space="preserve"> </w:t>
      </w:r>
      <w:r w:rsidRPr="00E23701">
        <w:rPr>
          <w:sz w:val="28"/>
          <w:szCs w:val="28"/>
          <w:lang w:val="en-US"/>
        </w:rPr>
        <w:t>Lambert</w:t>
      </w:r>
      <w:r w:rsidRPr="00E23701">
        <w:rPr>
          <w:sz w:val="28"/>
          <w:szCs w:val="28"/>
        </w:rPr>
        <w:t>) — 6,7%; «</w:t>
      </w:r>
      <w:r w:rsidRPr="00E23701">
        <w:rPr>
          <w:sz w:val="28"/>
          <w:szCs w:val="28"/>
          <w:lang w:val="en-US"/>
        </w:rPr>
        <w:t>Astra</w:t>
      </w:r>
      <w:r w:rsidRPr="00E23701">
        <w:rPr>
          <w:sz w:val="28"/>
          <w:szCs w:val="28"/>
        </w:rPr>
        <w:t xml:space="preserve"> </w:t>
      </w:r>
      <w:r w:rsidRPr="00E23701">
        <w:rPr>
          <w:sz w:val="28"/>
          <w:szCs w:val="28"/>
          <w:lang w:val="en-US"/>
        </w:rPr>
        <w:t>Zeneca</w:t>
      </w:r>
      <w:r w:rsidRPr="00E23701">
        <w:rPr>
          <w:sz w:val="28"/>
          <w:szCs w:val="28"/>
        </w:rPr>
        <w:t>» — 4,6%; «</w:t>
      </w:r>
      <w:r w:rsidRPr="00E23701">
        <w:rPr>
          <w:sz w:val="28"/>
          <w:szCs w:val="28"/>
          <w:lang w:val="en-US"/>
        </w:rPr>
        <w:t>Aventis</w:t>
      </w:r>
      <w:r w:rsidRPr="00E23701">
        <w:rPr>
          <w:sz w:val="28"/>
          <w:szCs w:val="28"/>
        </w:rPr>
        <w:t>» — 4,4%; «</w:t>
      </w:r>
      <w:r w:rsidRPr="00E23701">
        <w:rPr>
          <w:sz w:val="28"/>
          <w:szCs w:val="28"/>
          <w:lang w:val="en-US"/>
        </w:rPr>
        <w:t>Merck</w:t>
      </w:r>
      <w:r w:rsidRPr="00E23701">
        <w:rPr>
          <w:sz w:val="28"/>
          <w:szCs w:val="28"/>
        </w:rPr>
        <w:t>» — 4,4%; «</w:t>
      </w:r>
      <w:r w:rsidRPr="00E23701">
        <w:rPr>
          <w:sz w:val="28"/>
          <w:szCs w:val="28"/>
          <w:lang w:val="en-US"/>
        </w:rPr>
        <w:t>Novartis</w:t>
      </w:r>
      <w:r w:rsidRPr="00E23701">
        <w:rPr>
          <w:sz w:val="28"/>
          <w:szCs w:val="28"/>
        </w:rPr>
        <w:t>»— 4,1%; «</w:t>
      </w:r>
      <w:r w:rsidRPr="00E23701">
        <w:rPr>
          <w:sz w:val="28"/>
          <w:szCs w:val="28"/>
          <w:lang w:val="en-US"/>
        </w:rPr>
        <w:t>Bristol</w:t>
      </w:r>
      <w:r w:rsidRPr="00E23701">
        <w:rPr>
          <w:sz w:val="28"/>
          <w:szCs w:val="28"/>
        </w:rPr>
        <w:t>-</w:t>
      </w:r>
      <w:r w:rsidRPr="00E23701">
        <w:rPr>
          <w:sz w:val="28"/>
          <w:szCs w:val="28"/>
          <w:lang w:val="en-US"/>
        </w:rPr>
        <w:t>Myers</w:t>
      </w:r>
      <w:r w:rsidRPr="00E23701">
        <w:rPr>
          <w:sz w:val="28"/>
          <w:szCs w:val="28"/>
        </w:rPr>
        <w:t xml:space="preserve"> </w:t>
      </w:r>
      <w:r w:rsidRPr="00E23701">
        <w:rPr>
          <w:sz w:val="28"/>
          <w:szCs w:val="28"/>
          <w:lang w:val="en-US"/>
        </w:rPr>
        <w:t>Squibb</w:t>
      </w:r>
      <w:r w:rsidRPr="00E23701">
        <w:rPr>
          <w:sz w:val="28"/>
          <w:szCs w:val="28"/>
        </w:rPr>
        <w:t>» — 4,1%; «</w:t>
      </w:r>
      <w:r w:rsidRPr="00E23701">
        <w:rPr>
          <w:sz w:val="28"/>
          <w:szCs w:val="28"/>
          <w:lang w:val="en-US"/>
        </w:rPr>
        <w:t>Johnson</w:t>
      </w:r>
      <w:r w:rsidRPr="00E23701">
        <w:rPr>
          <w:sz w:val="28"/>
          <w:szCs w:val="28"/>
        </w:rPr>
        <w:t xml:space="preserve"> &amp; </w:t>
      </w:r>
      <w:r w:rsidRPr="00E23701">
        <w:rPr>
          <w:sz w:val="28"/>
          <w:szCs w:val="28"/>
          <w:lang w:val="en-US"/>
        </w:rPr>
        <w:t>Johnson</w:t>
      </w:r>
      <w:r w:rsidRPr="00E23701">
        <w:rPr>
          <w:sz w:val="28"/>
          <w:szCs w:val="28"/>
        </w:rPr>
        <w:t>»— 3,6%; «</w:t>
      </w:r>
      <w:r w:rsidRPr="00E23701">
        <w:rPr>
          <w:sz w:val="28"/>
          <w:szCs w:val="28"/>
          <w:lang w:val="en-US"/>
        </w:rPr>
        <w:t>Roche</w:t>
      </w:r>
      <w:r w:rsidRPr="00E23701">
        <w:rPr>
          <w:sz w:val="28"/>
          <w:szCs w:val="28"/>
        </w:rPr>
        <w:t>» — 3,2; «</w:t>
      </w:r>
      <w:r w:rsidRPr="00E23701">
        <w:rPr>
          <w:sz w:val="28"/>
          <w:szCs w:val="28"/>
          <w:lang w:val="en-US"/>
        </w:rPr>
        <w:t>Lilly</w:t>
      </w:r>
      <w:r>
        <w:rPr>
          <w:sz w:val="28"/>
          <w:szCs w:val="28"/>
        </w:rPr>
        <w:t>» — 3,1%</w:t>
      </w:r>
      <w:r w:rsidRPr="00E23701">
        <w:rPr>
          <w:sz w:val="28"/>
          <w:szCs w:val="28"/>
        </w:rPr>
        <w:t>. Кроме того, к ведущим мировым фармацевтическим фирмам относятся «</w:t>
      </w:r>
      <w:r w:rsidRPr="00E23701">
        <w:rPr>
          <w:sz w:val="28"/>
          <w:szCs w:val="28"/>
          <w:lang w:val="en-US"/>
        </w:rPr>
        <w:t>Sandoz</w:t>
      </w:r>
      <w:r w:rsidRPr="00E23701">
        <w:rPr>
          <w:sz w:val="28"/>
          <w:szCs w:val="28"/>
        </w:rPr>
        <w:t>», «</w:t>
      </w:r>
      <w:r w:rsidRPr="00E23701">
        <w:rPr>
          <w:sz w:val="28"/>
          <w:szCs w:val="28"/>
          <w:lang w:val="en-US"/>
        </w:rPr>
        <w:t>Bayer</w:t>
      </w:r>
      <w:r w:rsidRPr="00E23701">
        <w:rPr>
          <w:sz w:val="28"/>
          <w:szCs w:val="28"/>
        </w:rPr>
        <w:t>», «</w:t>
      </w:r>
      <w:r w:rsidRPr="00E23701">
        <w:rPr>
          <w:sz w:val="28"/>
          <w:szCs w:val="28"/>
          <w:lang w:val="en-US"/>
        </w:rPr>
        <w:t>Abbott</w:t>
      </w:r>
      <w:r w:rsidRPr="00E23701">
        <w:rPr>
          <w:sz w:val="28"/>
          <w:szCs w:val="28"/>
        </w:rPr>
        <w:t xml:space="preserve">» и др. Рынок фармацевтических </w:t>
      </w:r>
      <w:r>
        <w:rPr>
          <w:sz w:val="28"/>
          <w:szCs w:val="28"/>
        </w:rPr>
        <w:t>препаратов оценивается более чем в 280</w:t>
      </w:r>
      <w:r w:rsidRPr="00E23701">
        <w:rPr>
          <w:sz w:val="28"/>
          <w:szCs w:val="28"/>
        </w:rPr>
        <w:t xml:space="preserve"> млрд долларов в год. При этом на долю США приходится 43,3%, Японии — 23,8%, Германии — 7,8%, Франции — 7,0%, Италии — 4,6%, Великобритании — 4,4%, Испании — 2,7%, Канады — 2,3%, Бразилии — 2,3%, Мексики — 2,0%</w:t>
      </w:r>
      <w:r>
        <w:rPr>
          <w:sz w:val="28"/>
          <w:szCs w:val="28"/>
        </w:rPr>
        <w:t>.</w:t>
      </w:r>
      <w:r w:rsidRPr="00E23701">
        <w:rPr>
          <w:sz w:val="28"/>
          <w:szCs w:val="28"/>
        </w:rPr>
        <w:t xml:space="preserve"> </w:t>
      </w:r>
    </w:p>
    <w:p w:rsidR="00FA6A50" w:rsidRDefault="00FA6A50" w:rsidP="003E7E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701">
        <w:rPr>
          <w:sz w:val="28"/>
          <w:szCs w:val="28"/>
        </w:rPr>
        <w:t>Анализ участия России в международном товарообороте лекарственных средств показывает, что этот процесс носит выраженный односторонний характер, то есть Россия, в основном, импортирует продукцию и лишь незначительная часть известных и воспроизведенных препаратов экспортируется. Проблемы возникают даже при оказании Россией гуманитарной помощи другим странам, когда с благодарностью принимаются все товары, кроме лекарственных средств.</w:t>
      </w:r>
      <w:r>
        <w:rPr>
          <w:sz w:val="28"/>
          <w:szCs w:val="28"/>
        </w:rPr>
        <w:t xml:space="preserve"> </w:t>
      </w:r>
      <w:r w:rsidRPr="00E23701">
        <w:rPr>
          <w:sz w:val="28"/>
          <w:szCs w:val="28"/>
        </w:rPr>
        <w:t>Объемы продаж лекарственных препаратов на рынке</w:t>
      </w:r>
      <w:r>
        <w:rPr>
          <w:sz w:val="28"/>
          <w:szCs w:val="28"/>
        </w:rPr>
        <w:t xml:space="preserve"> Российской Федерации в </w:t>
      </w:r>
      <w:r w:rsidRPr="00E23701">
        <w:rPr>
          <w:sz w:val="28"/>
          <w:szCs w:val="28"/>
        </w:rPr>
        <w:t>составили около 1,8 млрд долларов в ценах производителей. При этом до 37% этой суммы (658 млн долларов) приходится на фармацевтическую продукцию, изготовленную внутри стр</w:t>
      </w:r>
      <w:r>
        <w:rPr>
          <w:sz w:val="28"/>
          <w:szCs w:val="28"/>
        </w:rPr>
        <w:t>аны. Д</w:t>
      </w:r>
      <w:r w:rsidRPr="00E23701">
        <w:rPr>
          <w:sz w:val="28"/>
          <w:szCs w:val="28"/>
        </w:rPr>
        <w:t>оля России в мировом фармрынке ничтожно мала — по различным оценкам, от 0,5 до 1% (для сравнения: в 1996—1997 гг. она колебалась от 1,5 до 2,5%).</w:t>
      </w:r>
    </w:p>
    <w:p w:rsidR="00FA6A50" w:rsidRDefault="00FA6A50" w:rsidP="003E7E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701">
        <w:rPr>
          <w:sz w:val="28"/>
          <w:szCs w:val="28"/>
        </w:rPr>
        <w:t xml:space="preserve">Среди десяти фармакотерапевтических групп препаратов на мировом рынке по объемам реализации через аптечные учреждения лидировали препараты для лечения сердечно-сосудистой системы, розничные продажи которых на 12 крупнейших региональных рынках мира достигли 40,8 млрд долларов. За ними, по данным </w:t>
      </w:r>
      <w:r w:rsidRPr="00E23701">
        <w:rPr>
          <w:sz w:val="28"/>
          <w:szCs w:val="28"/>
          <w:lang w:val="en-US"/>
        </w:rPr>
        <w:t>IMS</w:t>
      </w:r>
      <w:r w:rsidRPr="00E23701">
        <w:rPr>
          <w:sz w:val="28"/>
          <w:szCs w:val="28"/>
        </w:rPr>
        <w:t>, следуют препараты, действующие на пищеварительную систему и метаболизм (32,4 млрд долларов, + 8%), и средства для лечения больных с нарушениями центральной нервной системы (31,5 млрд долларов, + 13%).</w:t>
      </w:r>
    </w:p>
    <w:p w:rsidR="00FA6A50" w:rsidRPr="00E23701" w:rsidRDefault="00FA6A50" w:rsidP="003E7E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Н</w:t>
      </w:r>
      <w:r w:rsidRPr="00E23701">
        <w:rPr>
          <w:sz w:val="28"/>
          <w:szCs w:val="28"/>
        </w:rPr>
        <w:t>а первое место по росту объемов продаж вышли препараты, предназначенные для лечения заболеваний опорно-двигательного аппарата (продажи увеличились на 18%). Второе место разделили цитостатики и средства, действующие на нервную систему (прирост 13%). На третьем месте также две группы препаратов — средства, влияющие на систему крови и гемопоэз, и диагностические средства (увеличение объема продаж на 12</w:t>
      </w:r>
      <w:r>
        <w:rPr>
          <w:sz w:val="28"/>
          <w:szCs w:val="28"/>
        </w:rPr>
        <w:t>%.</w:t>
      </w:r>
    </w:p>
    <w:p w:rsidR="00FA6A50" w:rsidRDefault="00FA6A50" w:rsidP="003E7E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701">
        <w:rPr>
          <w:sz w:val="28"/>
          <w:szCs w:val="28"/>
        </w:rPr>
        <w:t xml:space="preserve">Доля рынка сердечно-сосудистых средств колеблется от 22,5% в Великобритании до 31% во Франции. Крупнейшие рынки сердечно-сосудистых препаратов (млрд долларов): США — 8,6, Франция — 3,3, Германия — 2,9, Италия </w:t>
      </w:r>
      <w:r>
        <w:rPr>
          <w:sz w:val="28"/>
          <w:szCs w:val="28"/>
        </w:rPr>
        <w:t>— 2,3, Великобритания — 0,9</w:t>
      </w:r>
      <w:r w:rsidRPr="00E23701">
        <w:rPr>
          <w:sz w:val="28"/>
          <w:szCs w:val="28"/>
        </w:rPr>
        <w:t>. Для рынка сердечно-сосудистых средств характерно то, что бета-адреноблокаторы наиболее активно используются в Великобритании, сосудорасширяющие средства — во Франции. Это объясняется главным образом различиями в медицинском образовании и политике возмещения стоимости лекарств, традициями и другими факторами.</w:t>
      </w:r>
    </w:p>
    <w:p w:rsidR="00FA6A50" w:rsidRPr="00E23701" w:rsidRDefault="00FA6A50" w:rsidP="003E7E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701">
        <w:rPr>
          <w:sz w:val="28"/>
          <w:szCs w:val="28"/>
        </w:rPr>
        <w:t xml:space="preserve">Удельный вес Северной Америки в общем объеме мирового рынка противоинфекционных средств составляет 35%, антибактериальных — 33%, антивирусных — 42%, противогрибковых — 35%. Доля Европы на мировом рынке противоинфекционных средств составляет 26%, антибактериальных препаратов — 25%, антивирусных — 33%, противогрибковых — 25%. Япония на рынке противоинфекционных, антибактериальных, антивирусных и противогрибковых средств охватывает 30, </w:t>
      </w:r>
      <w:r>
        <w:rPr>
          <w:sz w:val="28"/>
          <w:szCs w:val="28"/>
        </w:rPr>
        <w:t>32, 17 и 30% соответственно</w:t>
      </w:r>
      <w:r w:rsidRPr="00E23701">
        <w:rPr>
          <w:sz w:val="28"/>
          <w:szCs w:val="28"/>
        </w:rPr>
        <w:t>.</w:t>
      </w:r>
    </w:p>
    <w:p w:rsidR="00FA6A50" w:rsidRDefault="00FA6A50" w:rsidP="00CB002F">
      <w:pPr>
        <w:spacing w:after="0"/>
        <w:rPr>
          <w:sz w:val="28"/>
          <w:szCs w:val="28"/>
        </w:rPr>
      </w:pPr>
      <w:r w:rsidRPr="00E23701">
        <w:rPr>
          <w:sz w:val="28"/>
          <w:szCs w:val="28"/>
        </w:rPr>
        <w:t>Первое место в мире по объему продаж рецептурных лекарственных препаратов заняла компания «</w:t>
      </w:r>
      <w:r w:rsidRPr="00E23701">
        <w:rPr>
          <w:sz w:val="28"/>
          <w:szCs w:val="28"/>
          <w:lang w:val="en-US"/>
        </w:rPr>
        <w:t>Merck</w:t>
      </w:r>
      <w:r w:rsidRPr="00E23701">
        <w:rPr>
          <w:sz w:val="28"/>
          <w:szCs w:val="28"/>
        </w:rPr>
        <w:t xml:space="preserve"> &amp; </w:t>
      </w:r>
      <w:r w:rsidRPr="00E23701">
        <w:rPr>
          <w:sz w:val="28"/>
          <w:szCs w:val="28"/>
          <w:lang w:val="en-US"/>
        </w:rPr>
        <w:t>Co</w:t>
      </w:r>
      <w:r w:rsidRPr="00E23701">
        <w:rPr>
          <w:sz w:val="28"/>
          <w:szCs w:val="28"/>
        </w:rPr>
        <w:t xml:space="preserve">.»: более 8 млрд долларов (19%-ный прирост по сравнению </w:t>
      </w:r>
      <w:r w:rsidRPr="00E23701">
        <w:rPr>
          <w:sz w:val="28"/>
          <w:szCs w:val="28"/>
          <w:lang w:val="en-US"/>
        </w:rPr>
        <w:t>c</w:t>
      </w:r>
      <w:r w:rsidRPr="00E23701">
        <w:rPr>
          <w:sz w:val="28"/>
          <w:szCs w:val="28"/>
        </w:rPr>
        <w:t xml:space="preserve"> аналогичным периодом 1998 г.). Второе место у «</w:t>
      </w:r>
      <w:r w:rsidRPr="00E23701">
        <w:rPr>
          <w:sz w:val="28"/>
          <w:szCs w:val="28"/>
          <w:lang w:val="en-US"/>
        </w:rPr>
        <w:t>Pfizer</w:t>
      </w:r>
      <w:r w:rsidRPr="00E23701">
        <w:rPr>
          <w:sz w:val="28"/>
          <w:szCs w:val="28"/>
        </w:rPr>
        <w:t>» — 7,7 млрд долларов (21%-ный прирост), у «</w:t>
      </w:r>
      <w:r w:rsidRPr="00E23701">
        <w:rPr>
          <w:sz w:val="28"/>
          <w:szCs w:val="28"/>
          <w:lang w:val="en-US"/>
        </w:rPr>
        <w:t>GlaxoWellcome</w:t>
      </w:r>
      <w:r w:rsidRPr="00E23701">
        <w:rPr>
          <w:sz w:val="28"/>
          <w:szCs w:val="28"/>
        </w:rPr>
        <w:t>» — третье мест</w:t>
      </w:r>
      <w:r>
        <w:rPr>
          <w:sz w:val="28"/>
          <w:szCs w:val="28"/>
        </w:rPr>
        <w:t xml:space="preserve">о. </w:t>
      </w:r>
      <w:r w:rsidRPr="00E23701">
        <w:rPr>
          <w:sz w:val="28"/>
          <w:szCs w:val="28"/>
        </w:rPr>
        <w:t>Рост «</w:t>
      </w:r>
      <w:r w:rsidRPr="00E23701">
        <w:rPr>
          <w:sz w:val="28"/>
          <w:szCs w:val="28"/>
          <w:lang w:val="en-US"/>
        </w:rPr>
        <w:t>GlaxoWellcome</w:t>
      </w:r>
      <w:r w:rsidRPr="00E23701">
        <w:rPr>
          <w:sz w:val="28"/>
          <w:szCs w:val="28"/>
        </w:rPr>
        <w:t xml:space="preserve">» сдерживался снижением объема реализации препарата </w:t>
      </w:r>
      <w:r w:rsidRPr="00E23701">
        <w:rPr>
          <w:sz w:val="28"/>
          <w:szCs w:val="28"/>
          <w:lang w:val="en-US"/>
        </w:rPr>
        <w:t>Zantac</w:t>
      </w:r>
      <w:r w:rsidRPr="00E23701">
        <w:rPr>
          <w:sz w:val="28"/>
          <w:szCs w:val="28"/>
        </w:rPr>
        <w:t xml:space="preserve"> (</w:t>
      </w:r>
      <w:r w:rsidRPr="00E23701">
        <w:rPr>
          <w:sz w:val="28"/>
          <w:szCs w:val="28"/>
          <w:lang w:val="en-US"/>
        </w:rPr>
        <w:t>ranitidine</w:t>
      </w:r>
      <w:r w:rsidRPr="00E23701">
        <w:rPr>
          <w:sz w:val="28"/>
          <w:szCs w:val="28"/>
        </w:rPr>
        <w:t>) на 19%, что связано с истечением срока патентной защиты на ак</w:t>
      </w:r>
      <w:r>
        <w:rPr>
          <w:sz w:val="28"/>
          <w:szCs w:val="28"/>
        </w:rPr>
        <w:t xml:space="preserve">тивное вещество этого препарата. </w:t>
      </w:r>
      <w:r w:rsidRPr="00E23701">
        <w:rPr>
          <w:sz w:val="28"/>
          <w:szCs w:val="28"/>
        </w:rPr>
        <w:t>Компания «</w:t>
      </w:r>
      <w:r w:rsidRPr="00E23701">
        <w:rPr>
          <w:sz w:val="28"/>
          <w:szCs w:val="28"/>
          <w:lang w:val="en-US"/>
        </w:rPr>
        <w:t>Bristol</w:t>
      </w:r>
      <w:r w:rsidRPr="00E23701">
        <w:rPr>
          <w:sz w:val="28"/>
          <w:szCs w:val="28"/>
        </w:rPr>
        <w:t>-</w:t>
      </w:r>
      <w:r w:rsidRPr="00E23701">
        <w:rPr>
          <w:sz w:val="28"/>
          <w:szCs w:val="28"/>
          <w:lang w:val="en-US"/>
        </w:rPr>
        <w:t>Myers</w:t>
      </w:r>
      <w:r w:rsidRPr="00E23701">
        <w:rPr>
          <w:sz w:val="28"/>
          <w:szCs w:val="28"/>
        </w:rPr>
        <w:t xml:space="preserve"> </w:t>
      </w:r>
      <w:r w:rsidRPr="00E23701">
        <w:rPr>
          <w:sz w:val="28"/>
          <w:szCs w:val="28"/>
          <w:lang w:val="en-US"/>
        </w:rPr>
        <w:t>Squibb</w:t>
      </w:r>
      <w:r w:rsidRPr="00E23701">
        <w:rPr>
          <w:sz w:val="28"/>
          <w:szCs w:val="28"/>
        </w:rPr>
        <w:t>» осталась на четвертом месте, а компания «</w:t>
      </w:r>
      <w:r w:rsidRPr="00E23701">
        <w:rPr>
          <w:sz w:val="28"/>
          <w:szCs w:val="28"/>
          <w:lang w:val="en-US"/>
        </w:rPr>
        <w:t>Roche</w:t>
      </w:r>
      <w:r w:rsidRPr="00E23701">
        <w:rPr>
          <w:sz w:val="28"/>
          <w:szCs w:val="28"/>
        </w:rPr>
        <w:t>» заняла пятое место. Успеху компании «</w:t>
      </w:r>
      <w:r w:rsidRPr="00E23701">
        <w:rPr>
          <w:sz w:val="28"/>
          <w:szCs w:val="28"/>
          <w:lang w:val="en-US"/>
        </w:rPr>
        <w:t>Roche</w:t>
      </w:r>
      <w:r w:rsidRPr="00E23701">
        <w:rPr>
          <w:sz w:val="28"/>
          <w:szCs w:val="28"/>
        </w:rPr>
        <w:t xml:space="preserve">» способствовало взрывоподобное увеличение спроса на лекарственный препарат для коррекции избыточного веса </w:t>
      </w:r>
      <w:r w:rsidRPr="00E23701">
        <w:rPr>
          <w:sz w:val="28"/>
          <w:szCs w:val="28"/>
          <w:lang w:val="en-US"/>
        </w:rPr>
        <w:t>Xenical</w:t>
      </w:r>
      <w:r w:rsidRPr="00E23701">
        <w:rPr>
          <w:sz w:val="28"/>
          <w:szCs w:val="28"/>
        </w:rPr>
        <w:t xml:space="preserve"> (</w:t>
      </w:r>
      <w:r w:rsidRPr="00E23701">
        <w:rPr>
          <w:sz w:val="28"/>
          <w:szCs w:val="28"/>
          <w:lang w:val="en-US"/>
        </w:rPr>
        <w:t>orlistat</w:t>
      </w:r>
      <w:r w:rsidRPr="00E23701">
        <w:rPr>
          <w:sz w:val="28"/>
          <w:szCs w:val="28"/>
        </w:rPr>
        <w:t xml:space="preserve">), а также рост объемов реализации других инновационных препаратов, которые используются для предотвращения отторжения трансплантата почек, таких как </w:t>
      </w:r>
      <w:r w:rsidRPr="00E23701">
        <w:rPr>
          <w:sz w:val="28"/>
          <w:szCs w:val="28"/>
          <w:lang w:val="en-US"/>
        </w:rPr>
        <w:t>CellCept</w:t>
      </w:r>
      <w:r w:rsidRPr="00E23701">
        <w:rPr>
          <w:sz w:val="28"/>
          <w:szCs w:val="28"/>
        </w:rPr>
        <w:t xml:space="preserve"> (</w:t>
      </w:r>
      <w:r w:rsidRPr="00E23701">
        <w:rPr>
          <w:sz w:val="28"/>
          <w:szCs w:val="28"/>
          <w:lang w:val="en-US"/>
        </w:rPr>
        <w:t>micophenolate</w:t>
      </w:r>
      <w:r w:rsidRPr="00E23701">
        <w:rPr>
          <w:sz w:val="28"/>
          <w:szCs w:val="28"/>
        </w:rPr>
        <w:t xml:space="preserve"> </w:t>
      </w:r>
      <w:r w:rsidRPr="00E23701">
        <w:rPr>
          <w:sz w:val="28"/>
          <w:szCs w:val="28"/>
          <w:lang w:val="en-US"/>
        </w:rPr>
        <w:t>mofetil</w:t>
      </w:r>
      <w:r w:rsidRPr="00E23701">
        <w:rPr>
          <w:sz w:val="28"/>
          <w:szCs w:val="28"/>
        </w:rPr>
        <w:t xml:space="preserve">) и </w:t>
      </w:r>
      <w:r w:rsidRPr="00E23701">
        <w:rPr>
          <w:sz w:val="28"/>
          <w:szCs w:val="28"/>
          <w:lang w:val="en-US"/>
        </w:rPr>
        <w:t>Zenapax</w:t>
      </w:r>
      <w:r w:rsidRPr="00E23701">
        <w:rPr>
          <w:sz w:val="28"/>
          <w:szCs w:val="28"/>
        </w:rPr>
        <w:t xml:space="preserve"> (</w:t>
      </w:r>
      <w:r w:rsidRPr="00E23701">
        <w:rPr>
          <w:sz w:val="28"/>
          <w:szCs w:val="28"/>
          <w:lang w:val="en-US"/>
        </w:rPr>
        <w:t>daclizumab</w:t>
      </w:r>
      <w:r w:rsidRPr="00E23701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E23701">
        <w:rPr>
          <w:sz w:val="28"/>
          <w:szCs w:val="28"/>
        </w:rPr>
        <w:t>Компания «</w:t>
      </w:r>
      <w:r w:rsidRPr="00E23701">
        <w:rPr>
          <w:sz w:val="28"/>
          <w:szCs w:val="28"/>
          <w:lang w:val="en-US"/>
        </w:rPr>
        <w:t>Johnson</w:t>
      </w:r>
      <w:r w:rsidRPr="00E23701">
        <w:rPr>
          <w:sz w:val="28"/>
          <w:szCs w:val="28"/>
        </w:rPr>
        <w:t xml:space="preserve"> &amp; </w:t>
      </w:r>
      <w:r w:rsidRPr="00E23701">
        <w:rPr>
          <w:sz w:val="28"/>
          <w:szCs w:val="28"/>
          <w:lang w:val="en-US"/>
        </w:rPr>
        <w:t>Johnson</w:t>
      </w:r>
      <w:r w:rsidRPr="00E23701">
        <w:rPr>
          <w:sz w:val="28"/>
          <w:szCs w:val="28"/>
        </w:rPr>
        <w:t xml:space="preserve">» показала </w:t>
      </w:r>
      <w:r>
        <w:rPr>
          <w:sz w:val="28"/>
          <w:szCs w:val="28"/>
        </w:rPr>
        <w:t>большо</w:t>
      </w:r>
      <w:r w:rsidRPr="00E23701">
        <w:rPr>
          <w:sz w:val="28"/>
          <w:szCs w:val="28"/>
        </w:rPr>
        <w:t>й рост объема продаж. Компания «</w:t>
      </w:r>
      <w:r w:rsidRPr="00E23701">
        <w:rPr>
          <w:sz w:val="28"/>
          <w:szCs w:val="28"/>
          <w:lang w:val="en-US"/>
        </w:rPr>
        <w:t>Novartis</w:t>
      </w:r>
      <w:r>
        <w:rPr>
          <w:sz w:val="28"/>
          <w:szCs w:val="28"/>
        </w:rPr>
        <w:t>»,тоже</w:t>
      </w:r>
      <w:r w:rsidRPr="00E23701">
        <w:rPr>
          <w:sz w:val="28"/>
          <w:szCs w:val="28"/>
        </w:rPr>
        <w:t xml:space="preserve"> демонстрир</w:t>
      </w:r>
      <w:r w:rsidRPr="00732F17">
        <w:rPr>
          <w:sz w:val="28"/>
          <w:szCs w:val="28"/>
        </w:rPr>
        <w:t>ует</w:t>
      </w:r>
      <w:r w:rsidRPr="00E23701">
        <w:rPr>
          <w:sz w:val="28"/>
          <w:szCs w:val="28"/>
        </w:rPr>
        <w:t xml:space="preserve"> положительную динамику роста объемов пр</w:t>
      </w:r>
      <w:r>
        <w:rPr>
          <w:sz w:val="28"/>
          <w:szCs w:val="28"/>
        </w:rPr>
        <w:t xml:space="preserve">одаж фармацевтической продукции. </w:t>
      </w:r>
    </w:p>
    <w:p w:rsidR="00FA6A50" w:rsidRDefault="00FA6A50" w:rsidP="00412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701">
        <w:rPr>
          <w:sz w:val="28"/>
          <w:szCs w:val="28"/>
        </w:rPr>
        <w:t>Доля крупнейших производителей лекарственных препаратов, таких как корпорации «</w:t>
      </w:r>
      <w:r w:rsidRPr="00E23701">
        <w:rPr>
          <w:sz w:val="28"/>
          <w:szCs w:val="28"/>
          <w:lang w:val="en-US"/>
        </w:rPr>
        <w:t>Merck</w:t>
      </w:r>
      <w:r w:rsidRPr="00E23701">
        <w:rPr>
          <w:sz w:val="28"/>
          <w:szCs w:val="28"/>
        </w:rPr>
        <w:t xml:space="preserve"> &amp; </w:t>
      </w:r>
      <w:r w:rsidRPr="00E23701">
        <w:rPr>
          <w:sz w:val="28"/>
          <w:szCs w:val="28"/>
          <w:lang w:val="en-US"/>
        </w:rPr>
        <w:t>Co</w:t>
      </w:r>
      <w:r w:rsidRPr="00E23701">
        <w:rPr>
          <w:sz w:val="28"/>
          <w:szCs w:val="28"/>
        </w:rPr>
        <w:t>.», “</w:t>
      </w:r>
      <w:r w:rsidRPr="00E23701">
        <w:rPr>
          <w:sz w:val="28"/>
          <w:szCs w:val="28"/>
          <w:lang w:val="en-US"/>
        </w:rPr>
        <w:t>Novartis</w:t>
      </w:r>
      <w:r w:rsidRPr="00E23701">
        <w:rPr>
          <w:sz w:val="28"/>
          <w:szCs w:val="28"/>
        </w:rPr>
        <w:t xml:space="preserve">”, на мировом рынке не превышает 5%. В то же время ситуация в фармацевтическом бизнесе складывается таким образом, что только укрупнение может позволить компаниям выжить и развиваться в условиях жесткой конкуренции и высоких темпов роста расходов на научные исследования и разработки, которые у некоторых фирм выше, чем темпы роста объемов реализации. </w:t>
      </w:r>
    </w:p>
    <w:p w:rsidR="00FA6A50" w:rsidRPr="00E23701" w:rsidRDefault="00FA6A50" w:rsidP="00412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701">
        <w:rPr>
          <w:sz w:val="28"/>
          <w:szCs w:val="28"/>
        </w:rPr>
        <w:t xml:space="preserve">Слияние крупных международных фармацевтических фирм и образование мегакорпораций сегодня особенно актуально. Во-первых, по прогнозам большинства аналитиков, в ближайшие 5—10 лет в мировой фармации следует ожидать кризиса разработок — ныне существующие лекарственные препараты войдут в нисходящую стадию жизненного цикла, когда объемы их продаж будут постепенно снижаться, а научные лаборатории, принадлежащие компаниям-производителям, равно как и независимые биотехнологические фирмы, еще не смогут предложить рынку принципиально новые лекарственные средства. Во-вторых, срок патентной защиты многих препаратов-лидеров продаж истекает, и уже в ближайшие два-три года доля рынка, принадлежащая компаниям-производителям, уменьшится в результате появления на рынке препаратов-дженериков. Очевидно, оптимальным решением в данной ситуации является концентрация ресурсов в сфере исследований и объединение предлагаемых на рынке номенклатур продукции. Кроме того, с каждым годом возрастают затраты на проведение научных исследований в области фармации. В последнее время расходы фармацевтических компаний на научные исследования и разработки значительно возросли. Например, если в 1976 г. такие расходы на один новый препарат составляли в среднем 125 млн долларов, то в </w:t>
      </w:r>
      <w:r>
        <w:rPr>
          <w:sz w:val="28"/>
          <w:szCs w:val="28"/>
        </w:rPr>
        <w:t>наше время — около 300—6</w:t>
      </w:r>
      <w:r w:rsidRPr="00E23701">
        <w:rPr>
          <w:sz w:val="28"/>
          <w:szCs w:val="28"/>
        </w:rPr>
        <w:t>00 млн долларов.</w:t>
      </w:r>
    </w:p>
    <w:p w:rsidR="00FA6A50" w:rsidRDefault="00FA6A50" w:rsidP="006D1B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701">
        <w:rPr>
          <w:sz w:val="28"/>
          <w:szCs w:val="28"/>
        </w:rPr>
        <w:t>В результате слияний фармацевтических фирм 10 крупнейших фармкомпаний мира заняли почти половину мирового фармацевтического рынка</w:t>
      </w:r>
      <w:r>
        <w:rPr>
          <w:sz w:val="28"/>
          <w:szCs w:val="28"/>
        </w:rPr>
        <w:t xml:space="preserve">. </w:t>
      </w:r>
      <w:r w:rsidRPr="00E23701">
        <w:rPr>
          <w:sz w:val="28"/>
          <w:szCs w:val="28"/>
        </w:rPr>
        <w:t>Что касается России, то в целом продукция десяти крупнейших мировых компаний (с учетом их слияния) охватывает около 12% российского рынка.</w:t>
      </w:r>
    </w:p>
    <w:p w:rsidR="00FA6A50" w:rsidRDefault="00FA6A50" w:rsidP="006D1B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701">
        <w:rPr>
          <w:sz w:val="28"/>
          <w:szCs w:val="28"/>
        </w:rPr>
        <w:t>Эффективность и качество лекарственного обслуживания населения во многом определяются полнотой ассортимента лекарственных средств в аптеках и оптимизацией управления запасами медикаментов, не допуская, с одной стороны, дефицита, с другой — превышения установленных нормативов товарных запасов.</w:t>
      </w:r>
    </w:p>
    <w:p w:rsidR="00FA6A50" w:rsidRPr="00E23701" w:rsidRDefault="00FA6A50" w:rsidP="006D1B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701">
        <w:rPr>
          <w:sz w:val="28"/>
          <w:szCs w:val="28"/>
        </w:rPr>
        <w:t>Спрос на лекарственные препараты представляет собой форму выражения потребностей (действительных, реализованных и неудовлетворенных) и может выявл</w:t>
      </w:r>
      <w:r>
        <w:rPr>
          <w:sz w:val="28"/>
          <w:szCs w:val="28"/>
        </w:rPr>
        <w:t>яться социологическими методами.</w:t>
      </w:r>
    </w:p>
    <w:p w:rsidR="00FA6A50" w:rsidRDefault="00FA6A50" w:rsidP="0000086E">
      <w:pPr>
        <w:spacing w:after="0"/>
        <w:rPr>
          <w:sz w:val="28"/>
          <w:szCs w:val="28"/>
        </w:rPr>
      </w:pPr>
      <w:r w:rsidRPr="00E23701">
        <w:rPr>
          <w:sz w:val="28"/>
          <w:szCs w:val="28"/>
        </w:rPr>
        <w:t>Анализ закономерностей, влияющих на потребление лекарств, позволяет совершенствовать систему удовлетворения потребностей населения и ЛПУ в лекарственных средствах. Их потребление зависит от появления новых методов лечения и препаратов, наличия аналогов. Значительная часть номенклатуры мирового рынка лекарственных средств (до 70%) приходится на препараты-аналоги. В то же время с учетом различного качества препаратов-аналогов и антимонопольных позиций желательно иметь достато</w:t>
      </w:r>
      <w:r>
        <w:rPr>
          <w:sz w:val="28"/>
          <w:szCs w:val="28"/>
        </w:rPr>
        <w:t>чно большой выбор препаратов</w:t>
      </w:r>
      <w:r w:rsidRPr="00E23701">
        <w:rPr>
          <w:sz w:val="28"/>
          <w:szCs w:val="28"/>
        </w:rPr>
        <w:t>. Динамика потребления лекарственных средств носит сезонный характер и из год</w:t>
      </w:r>
      <w:r>
        <w:rPr>
          <w:sz w:val="28"/>
          <w:szCs w:val="28"/>
        </w:rPr>
        <w:t>а в год существенно меняется</w:t>
      </w:r>
      <w:r w:rsidRPr="00E23701">
        <w:rPr>
          <w:sz w:val="28"/>
          <w:szCs w:val="28"/>
        </w:rPr>
        <w:t>.</w:t>
      </w:r>
    </w:p>
    <w:p w:rsidR="00FA6A50" w:rsidRDefault="00FA6A50" w:rsidP="00B965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Маркетинговые исследования</w:t>
      </w:r>
      <w:r w:rsidRPr="00E23701">
        <w:rPr>
          <w:sz w:val="28"/>
          <w:szCs w:val="28"/>
        </w:rPr>
        <w:t xml:space="preserve"> показали, что потребление лекарств увеличивается с возрастом и выше у женщин, чем у мужчин. Наиболее часто применяются лекарственные средства следующих групп: анальгетики, антипиретики, антибиотики, сосудорасширяющие, противоревма</w:t>
      </w:r>
      <w:r>
        <w:rPr>
          <w:sz w:val="28"/>
          <w:szCs w:val="28"/>
        </w:rPr>
        <w:t>тические средства, нейролептики. Также выявлено,</w:t>
      </w:r>
      <w:r w:rsidRPr="00E23701">
        <w:rPr>
          <w:sz w:val="28"/>
          <w:szCs w:val="28"/>
        </w:rPr>
        <w:t xml:space="preserve"> что спрос на лекарственные препараты зависит от пола, возраста и социальной структуры населения. Более 81% спроса на сердечно-сосудистые средства приходится на население старше 40 лет; возраст активного спроса для женщин составляет 55—59 лет, для мужчин — старше 60 лет. Интенсивность спроса на сердечно-сосудистые препараты у лиц, имеющих высшее образование, на 4,6% выше, чем у лиц со средним образованием</w:t>
      </w:r>
      <w:r w:rsidRPr="00B9653C">
        <w:rPr>
          <w:sz w:val="28"/>
          <w:szCs w:val="28"/>
        </w:rPr>
        <w:t>.</w:t>
      </w:r>
    </w:p>
    <w:p w:rsidR="00FA6A50" w:rsidRPr="00B9653C" w:rsidRDefault="00FA6A50" w:rsidP="00B965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653C">
        <w:rPr>
          <w:sz w:val="28"/>
          <w:szCs w:val="28"/>
        </w:rPr>
        <w:t>Маркетинг лекарственных препаратов должен осуществляться не только на макроуровне (государства, крупные фирмы-производители), но и на микроуровне — в аптечной сети. В идеале каждая аптека должна иметь в своем ассортименте все фармакологические группы препаратов. Однако в каждой из этих групп содержится разное количество препаратов, причем не все виды лекарств взаимозаменяемы. Очевидно, фармакологические группы с высокой взаимозаменяемостью препаратов можно представить относительно меньшим числом наименований. В противном случае аптекам пришлось бы иметь хотя бы по одной упаковке каждого вида препаратов. Хотя такой ассортимент можно считать идеальным, все же он не всегда выгоден для аптеки с точки зрения ее доходов. Чтобы добиться оптимального сочетания рентабельности аптеки с ассортиментом лекарственных средств, нужно учитывать как прибыльность каждой отдельной фармакологической группы, так и количество имеющихся в продаже препаратов из этой группы.</w:t>
      </w:r>
    </w:p>
    <w:p w:rsidR="00FA6A50" w:rsidRPr="00E23701" w:rsidRDefault="00FA6A50" w:rsidP="000008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3701">
        <w:rPr>
          <w:sz w:val="28"/>
          <w:szCs w:val="28"/>
        </w:rPr>
        <w:t>По уровню доходности все фармпрепараты можно условно разделить на пять видов. К первому виду относятся антибиотики, а также инсулины и синтетические противодиабетические средства, противоастматические препараты, транквилизаторы, гиполипидемические средства и витамины. Препараты этого вида пользуются высоким устойчивым спросом и считаются наиболее рентабельными: обычно они обеспечивают аптекам примерно 75—80% дневного дохода.</w:t>
      </w:r>
    </w:p>
    <w:p w:rsidR="00FA6A50" w:rsidRDefault="00FA6A50" w:rsidP="00B141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3701">
        <w:rPr>
          <w:sz w:val="28"/>
          <w:szCs w:val="28"/>
        </w:rPr>
        <w:t xml:space="preserve">На следующем уровне доходности находятся медикаменты второго вида: противоязвенные, антиангинальные, седативные, гипотензивные, противопаркинсонические, противовоспалительные, противоревматические и жаропонижающие средства, анальгетики, пищеварительные ферменты, противогрибковые препараты. Средняя доходность препаратов второго вида примерно на 20—25% ниже, чем первого. </w:t>
      </w:r>
    </w:p>
    <w:p w:rsidR="00FA6A50" w:rsidRPr="00E23701" w:rsidRDefault="00FA6A50" w:rsidP="00B141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3701">
        <w:rPr>
          <w:sz w:val="28"/>
          <w:szCs w:val="28"/>
        </w:rPr>
        <w:t>К третьему виду фармпрепаратов относятся спазмолитики, ноотропы, отхаркивающие, синтетические и антибактериальные препараты, антитиреоидные и антиаллергические средства. Рентабельность этих препаратов вдвое ниже рентабельности препаратов первого вида.</w:t>
      </w:r>
    </w:p>
    <w:p w:rsidR="00FA6A50" w:rsidRDefault="00FA6A50" w:rsidP="007360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3701">
        <w:rPr>
          <w:sz w:val="28"/>
          <w:szCs w:val="28"/>
        </w:rPr>
        <w:t>Фармпрепаратами четвертого вида являются противоглаукомные, противопротозойные и противопаразитарные средства, антиаритмики, диуретики, препараты для лечения и профилактики венерических заболеваний, оральные контрацептивы, противоэпилептические средства и средства от кашля.</w:t>
      </w:r>
    </w:p>
    <w:p w:rsidR="00FA6A50" w:rsidRPr="00E23701" w:rsidRDefault="00FA6A50" w:rsidP="007360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3701">
        <w:rPr>
          <w:sz w:val="28"/>
          <w:szCs w:val="28"/>
        </w:rPr>
        <w:t>К фармпрепаратам пятого вида относятся сердечные гликозиды, противовирусные препараты, средства против катаракты, антидиуретики и слабительные. Продажа этих препаратов приносит аптекам весьма незначительную прибыль</w:t>
      </w:r>
      <w:r>
        <w:rPr>
          <w:sz w:val="28"/>
          <w:szCs w:val="28"/>
        </w:rPr>
        <w:t>.</w:t>
      </w:r>
    </w:p>
    <w:p w:rsidR="00FA6A50" w:rsidRPr="00E23701" w:rsidRDefault="00FA6A50" w:rsidP="00E23701">
      <w:pPr>
        <w:rPr>
          <w:sz w:val="28"/>
          <w:szCs w:val="28"/>
        </w:rPr>
      </w:pPr>
    </w:p>
    <w:p w:rsidR="00FA6A50" w:rsidRPr="00E23701" w:rsidRDefault="00FA6A50" w:rsidP="00EA4208">
      <w:pPr>
        <w:rPr>
          <w:b/>
          <w:sz w:val="28"/>
          <w:szCs w:val="28"/>
        </w:rPr>
      </w:pPr>
      <w:bookmarkStart w:id="0" w:name="_GoBack"/>
      <w:bookmarkEnd w:id="0"/>
    </w:p>
    <w:sectPr w:rsidR="00FA6A50" w:rsidRPr="00E23701" w:rsidSect="006E5B6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50" w:rsidRDefault="00FA6A50" w:rsidP="00EA4208">
      <w:pPr>
        <w:spacing w:after="0" w:line="240" w:lineRule="auto"/>
      </w:pPr>
      <w:r>
        <w:separator/>
      </w:r>
    </w:p>
  </w:endnote>
  <w:endnote w:type="continuationSeparator" w:id="0">
    <w:p w:rsidR="00FA6A50" w:rsidRDefault="00FA6A50" w:rsidP="00EA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50" w:rsidRDefault="00FA6A5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48C2">
      <w:rPr>
        <w:noProof/>
      </w:rPr>
      <w:t>1</w:t>
    </w:r>
    <w:r>
      <w:fldChar w:fldCharType="end"/>
    </w:r>
  </w:p>
  <w:p w:rsidR="00FA6A50" w:rsidRDefault="00FA6A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50" w:rsidRDefault="00FA6A50" w:rsidP="00EA4208">
      <w:pPr>
        <w:spacing w:after="0" w:line="240" w:lineRule="auto"/>
      </w:pPr>
      <w:r>
        <w:separator/>
      </w:r>
    </w:p>
  </w:footnote>
  <w:footnote w:type="continuationSeparator" w:id="0">
    <w:p w:rsidR="00FA6A50" w:rsidRDefault="00FA6A50" w:rsidP="00EA4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208"/>
    <w:rsid w:val="0000086E"/>
    <w:rsid w:val="00010026"/>
    <w:rsid w:val="0004104F"/>
    <w:rsid w:val="000535ED"/>
    <w:rsid w:val="001343A0"/>
    <w:rsid w:val="003E7EC2"/>
    <w:rsid w:val="00412ACC"/>
    <w:rsid w:val="00454D0C"/>
    <w:rsid w:val="004E5D59"/>
    <w:rsid w:val="00577A56"/>
    <w:rsid w:val="006371B3"/>
    <w:rsid w:val="006D1BA8"/>
    <w:rsid w:val="006E5B61"/>
    <w:rsid w:val="00732F17"/>
    <w:rsid w:val="0073609B"/>
    <w:rsid w:val="00790910"/>
    <w:rsid w:val="008622C7"/>
    <w:rsid w:val="008F48C2"/>
    <w:rsid w:val="00B1418B"/>
    <w:rsid w:val="00B9653C"/>
    <w:rsid w:val="00BE6E08"/>
    <w:rsid w:val="00C53AC1"/>
    <w:rsid w:val="00CB002F"/>
    <w:rsid w:val="00CD1C96"/>
    <w:rsid w:val="00CE19FA"/>
    <w:rsid w:val="00D35D91"/>
    <w:rsid w:val="00D3665D"/>
    <w:rsid w:val="00D63A6B"/>
    <w:rsid w:val="00E23701"/>
    <w:rsid w:val="00EA4208"/>
    <w:rsid w:val="00ED6D66"/>
    <w:rsid w:val="00F77CD1"/>
    <w:rsid w:val="00F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96CE5-231F-4A9F-88F3-EAD5DF48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A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semiHidden/>
    <w:locked/>
    <w:rsid w:val="00EA4208"/>
    <w:rPr>
      <w:rFonts w:cs="Times New Roman"/>
    </w:rPr>
  </w:style>
  <w:style w:type="paragraph" w:styleId="a5">
    <w:name w:val="footer"/>
    <w:basedOn w:val="a"/>
    <w:link w:val="a6"/>
    <w:rsid w:val="00EA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locked/>
    <w:rsid w:val="00EA42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Irina</cp:lastModifiedBy>
  <cp:revision>2</cp:revision>
  <cp:lastPrinted>2009-02-23T19:38:00Z</cp:lastPrinted>
  <dcterms:created xsi:type="dcterms:W3CDTF">2014-08-17T09:08:00Z</dcterms:created>
  <dcterms:modified xsi:type="dcterms:W3CDTF">2014-08-17T09:08:00Z</dcterms:modified>
</cp:coreProperties>
</file>