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CE" w:rsidRDefault="002B21CE" w:rsidP="002646CF">
      <w:pPr>
        <w:pStyle w:val="a4"/>
        <w:spacing w:after="0" w:line="360" w:lineRule="auto"/>
        <w:ind w:left="0"/>
      </w:pPr>
    </w:p>
    <w:p w:rsidR="00EB5A4F" w:rsidRDefault="00EB5A4F" w:rsidP="002646CF">
      <w:pPr>
        <w:pStyle w:val="a4"/>
        <w:spacing w:after="0" w:line="360" w:lineRule="auto"/>
        <w:ind w:left="0"/>
      </w:pPr>
    </w:p>
    <w:p w:rsidR="00EB5A4F" w:rsidRDefault="00EB5A4F" w:rsidP="002646CF">
      <w:pPr>
        <w:pStyle w:val="1"/>
        <w:rPr>
          <w:rFonts w:ascii="Times New Roman" w:hAnsi="Times New Roman" w:cs="Times New Roman"/>
          <w:sz w:val="28"/>
          <w:szCs w:val="28"/>
        </w:rPr>
      </w:pPr>
      <w:bookmarkStart w:id="0" w:name="_Toc246960759"/>
      <w:bookmarkStart w:id="1" w:name="_Toc246960674"/>
      <w:bookmarkStart w:id="2" w:name="_Toc245496530"/>
      <w:bookmarkStart w:id="3" w:name="_Toc245278928"/>
      <w:bookmarkStart w:id="4" w:name="_Toc245199333"/>
      <w:bookmarkStart w:id="5" w:name="_Toc245017584"/>
      <w:bookmarkStart w:id="6" w:name="_Toc245017448"/>
      <w:r>
        <w:rPr>
          <w:rFonts w:ascii="Times New Roman" w:hAnsi="Times New Roman" w:cs="Times New Roman"/>
          <w:sz w:val="28"/>
          <w:szCs w:val="28"/>
        </w:rPr>
        <w:t>Глава 2. Анализ управления пассивами в ОАО ФСКБ «Примсоцбанк»</w:t>
      </w:r>
    </w:p>
    <w:p w:rsidR="00EB5A4F" w:rsidRDefault="00EB5A4F" w:rsidP="002646CF">
      <w:pPr>
        <w:pStyle w:val="1"/>
        <w:rPr>
          <w:rFonts w:ascii="Times New Roman" w:hAnsi="Times New Roman" w:cs="Times New Roman"/>
          <w:sz w:val="28"/>
          <w:szCs w:val="28"/>
        </w:rPr>
      </w:pPr>
      <w:r>
        <w:rPr>
          <w:rFonts w:ascii="Times New Roman" w:hAnsi="Times New Roman" w:cs="Times New Roman"/>
          <w:sz w:val="28"/>
          <w:szCs w:val="28"/>
        </w:rPr>
        <w:t xml:space="preserve">  2.1 Краткая характеристика деятельности банка</w:t>
      </w:r>
      <w:bookmarkEnd w:id="0"/>
      <w:bookmarkEnd w:id="1"/>
      <w:bookmarkEnd w:id="2"/>
      <w:bookmarkEnd w:id="3"/>
      <w:bookmarkEnd w:id="4"/>
      <w:bookmarkEnd w:id="5"/>
      <w:bookmarkEnd w:id="6"/>
    </w:p>
    <w:p w:rsidR="00EB5A4F" w:rsidRPr="002646CF" w:rsidRDefault="00EB5A4F" w:rsidP="002646CF"/>
    <w:p w:rsidR="00EB5A4F" w:rsidRDefault="00EB5A4F" w:rsidP="002646CF">
      <w:pPr>
        <w:ind w:firstLine="709"/>
        <w:rPr>
          <w:sz w:val="28"/>
          <w:szCs w:val="24"/>
        </w:rPr>
      </w:pPr>
      <w:r>
        <w:rPr>
          <w:sz w:val="28"/>
          <w:szCs w:val="24"/>
        </w:rPr>
        <w:t xml:space="preserve"> Социальный Коммерческий Банк Приморья (сокращенное название - "Примсоцбанк") - это один из крупнейших банков Приморского края. </w:t>
      </w:r>
    </w:p>
    <w:p w:rsidR="00EB5A4F" w:rsidRDefault="00EB5A4F" w:rsidP="002646CF">
      <w:pPr>
        <w:ind w:firstLine="709"/>
        <w:rPr>
          <w:sz w:val="28"/>
          <w:szCs w:val="24"/>
        </w:rPr>
      </w:pPr>
      <w:r>
        <w:rPr>
          <w:sz w:val="28"/>
          <w:szCs w:val="24"/>
        </w:rPr>
        <w:t xml:space="preserve">Свою деятельность «Примсоцбанк» осуществляет на основании лицензии Центрального Банка Российской Федерации, которая разрешает ?обслуживать операции юридических и физических лиц в рублях и иностранной валюте, совершать операции на рынке ценных бумаг. </w:t>
      </w:r>
    </w:p>
    <w:p w:rsidR="00EB5A4F" w:rsidRDefault="00EB5A4F" w:rsidP="002646CF">
      <w:pPr>
        <w:ind w:firstLine="709"/>
        <w:rPr>
          <w:sz w:val="28"/>
          <w:szCs w:val="24"/>
        </w:rPr>
      </w:pPr>
      <w:r>
        <w:rPr>
          <w:sz w:val="28"/>
          <w:szCs w:val="24"/>
        </w:rPr>
        <w:t>Центральный офис банка и около?????три его отделения  расположены во всех районах г. Владивостока. Развитая сеть филиалов по краю -Уссурийск, Находка, Дальнегорск, Кавалерово, Большой камень, Арсеньев, Пограничный, Преображение и на Камчатке .</w:t>
      </w:r>
    </w:p>
    <w:p w:rsidR="00EB5A4F" w:rsidRDefault="00EB5A4F" w:rsidP="002646CF">
      <w:pPr>
        <w:ind w:firstLine="709"/>
        <w:rPr>
          <w:sz w:val="28"/>
          <w:szCs w:val="28"/>
        </w:rPr>
      </w:pPr>
      <w:r>
        <w:rPr>
          <w:sz w:val="28"/>
          <w:szCs w:val="24"/>
        </w:rPr>
        <w:t xml:space="preserve">???ДАТА открытия?В Петропавловске-Камчатском банк находится по адресу: </w:t>
      </w:r>
      <w:r>
        <w:rPr>
          <w:sz w:val="28"/>
          <w:szCs w:val="28"/>
        </w:rPr>
        <w:t xml:space="preserve">683003, </w:t>
      </w:r>
      <w:r>
        <w:rPr>
          <w:bCs/>
          <w:sz w:val="28"/>
          <w:szCs w:val="28"/>
        </w:rPr>
        <w:t>Камчатский</w:t>
      </w:r>
      <w:r>
        <w:rPr>
          <w:sz w:val="28"/>
          <w:szCs w:val="28"/>
        </w:rPr>
        <w:t xml:space="preserve"> край, г. </w:t>
      </w:r>
      <w:r>
        <w:rPr>
          <w:bCs/>
          <w:sz w:val="28"/>
          <w:szCs w:val="28"/>
        </w:rPr>
        <w:t>Петропавловск</w:t>
      </w:r>
      <w:r>
        <w:rPr>
          <w:sz w:val="28"/>
          <w:szCs w:val="28"/>
        </w:rPr>
        <w:t>-</w:t>
      </w:r>
      <w:r>
        <w:rPr>
          <w:bCs/>
          <w:sz w:val="28"/>
          <w:szCs w:val="28"/>
        </w:rPr>
        <w:t>Камчатский</w:t>
      </w:r>
      <w:r>
        <w:rPr>
          <w:sz w:val="28"/>
          <w:szCs w:val="28"/>
        </w:rPr>
        <w:t>, ул. Ленинградская, д.1.</w:t>
      </w:r>
    </w:p>
    <w:p w:rsidR="00EB5A4F" w:rsidRDefault="00EB5A4F" w:rsidP="002646CF">
      <w:pPr>
        <w:ind w:firstLine="709"/>
        <w:rPr>
          <w:sz w:val="28"/>
          <w:szCs w:val="24"/>
        </w:rPr>
      </w:pPr>
      <w:r>
        <w:rPr>
          <w:sz w:val="28"/>
          <w:szCs w:val="24"/>
        </w:rPr>
        <w:t xml:space="preserve">???Примсоцбанк? обладает самыми современными банковскими технологиями для обслуживания своих клиентов. Особое внимание Примсоцбанк уделяет обслуживанию торговых операций и расчетов компаний и платежей физических лиц с Китаем. </w:t>
      </w:r>
    </w:p>
    <w:p w:rsidR="00EB5A4F" w:rsidRDefault="00EB5A4F" w:rsidP="002646CF">
      <w:pPr>
        <w:ind w:firstLine="709"/>
        <w:rPr>
          <w:sz w:val="28"/>
        </w:rPr>
      </w:pPr>
      <w:r>
        <w:rPr>
          <w:sz w:val="28"/>
        </w:rPr>
        <w:t xml:space="preserve">????Банк предоставляет следующие виды банковских услуг: </w:t>
      </w:r>
    </w:p>
    <w:p w:rsidR="00EB5A4F" w:rsidRDefault="00EB5A4F" w:rsidP="002646CF">
      <w:pPr>
        <w:ind w:firstLine="709"/>
        <w:rPr>
          <w:sz w:val="28"/>
        </w:rPr>
      </w:pPr>
      <w:r>
        <w:rPr>
          <w:sz w:val="28"/>
        </w:rPr>
        <w:t xml:space="preserve">- расчетно-кассовое обслуживание; </w:t>
      </w:r>
    </w:p>
    <w:p w:rsidR="00EB5A4F" w:rsidRDefault="00EB5A4F" w:rsidP="002646CF">
      <w:pPr>
        <w:ind w:firstLine="709"/>
        <w:rPr>
          <w:sz w:val="28"/>
        </w:rPr>
      </w:pPr>
    </w:p>
    <w:p w:rsidR="00EB5A4F" w:rsidRDefault="00EB5A4F" w:rsidP="002646CF">
      <w:pPr>
        <w:ind w:firstLine="709"/>
        <w:rPr>
          <w:sz w:val="28"/>
        </w:rPr>
      </w:pPr>
      <w:r>
        <w:rPr>
          <w:sz w:val="28"/>
        </w:rPr>
        <w:t xml:space="preserve"> - депозитные услуги;</w:t>
      </w:r>
    </w:p>
    <w:p w:rsidR="00EB5A4F" w:rsidRDefault="00EB5A4F" w:rsidP="002646CF">
      <w:pPr>
        <w:ind w:firstLine="709"/>
        <w:rPr>
          <w:sz w:val="28"/>
        </w:rPr>
      </w:pPr>
      <w:r>
        <w:rPr>
          <w:sz w:val="28"/>
        </w:rPr>
        <w:t xml:space="preserve"> - брокерские услуги на рынке ценных бумаг; </w:t>
      </w:r>
    </w:p>
    <w:p w:rsidR="00EB5A4F" w:rsidRDefault="00EB5A4F" w:rsidP="002646CF">
      <w:pPr>
        <w:ind w:firstLine="709"/>
        <w:rPr>
          <w:sz w:val="28"/>
        </w:rPr>
      </w:pPr>
      <w:r>
        <w:rPr>
          <w:sz w:val="28"/>
        </w:rPr>
        <w:t xml:space="preserve">- услуги по доверительному управлению; </w:t>
      </w:r>
    </w:p>
    <w:p w:rsidR="00EB5A4F" w:rsidRDefault="00EB5A4F" w:rsidP="002646CF">
      <w:pPr>
        <w:ind w:firstLine="709"/>
        <w:rPr>
          <w:sz w:val="28"/>
        </w:rPr>
      </w:pPr>
      <w:r>
        <w:rPr>
          <w:sz w:val="28"/>
        </w:rPr>
        <w:t xml:space="preserve">- депозитарные услуги; </w:t>
      </w:r>
    </w:p>
    <w:p w:rsidR="00EB5A4F" w:rsidRDefault="00EB5A4F" w:rsidP="002646CF">
      <w:pPr>
        <w:ind w:firstLine="709"/>
        <w:rPr>
          <w:sz w:val="28"/>
        </w:rPr>
      </w:pPr>
      <w:r>
        <w:rPr>
          <w:sz w:val="28"/>
        </w:rPr>
        <w:t>- услуги по операциям с наличной валютой;</w:t>
      </w:r>
    </w:p>
    <w:p w:rsidR="00EB5A4F" w:rsidRDefault="00EB5A4F" w:rsidP="002646CF">
      <w:pPr>
        <w:ind w:firstLine="709"/>
        <w:rPr>
          <w:sz w:val="28"/>
        </w:rPr>
      </w:pPr>
      <w:r>
        <w:rPr>
          <w:sz w:val="28"/>
        </w:rPr>
        <w:t xml:space="preserve"> - обслуживание валютных контрактов; </w:t>
      </w:r>
    </w:p>
    <w:p w:rsidR="00EB5A4F" w:rsidRDefault="00EB5A4F" w:rsidP="002646CF">
      <w:pPr>
        <w:ind w:firstLine="709"/>
        <w:rPr>
          <w:sz w:val="28"/>
        </w:rPr>
      </w:pPr>
      <w:r>
        <w:rPr>
          <w:sz w:val="28"/>
        </w:rPr>
        <w:t>- услуги по электронному банковскому обслуживанию через Интернет;</w:t>
      </w:r>
    </w:p>
    <w:p w:rsidR="00EB5A4F" w:rsidRDefault="00EB5A4F" w:rsidP="002646CF">
      <w:pPr>
        <w:ind w:firstLine="709"/>
        <w:rPr>
          <w:sz w:val="28"/>
        </w:rPr>
      </w:pPr>
      <w:r>
        <w:rPr>
          <w:sz w:val="28"/>
        </w:rPr>
        <w:t xml:space="preserve"> - расчеты с использованием микропроцессорной карточки платежной системы "Золотая корона";</w:t>
      </w:r>
    </w:p>
    <w:p w:rsidR="00EB5A4F" w:rsidRDefault="00EB5A4F" w:rsidP="002646CF">
      <w:pPr>
        <w:ind w:firstLine="709"/>
        <w:rPr>
          <w:sz w:val="28"/>
        </w:rPr>
      </w:pPr>
      <w:r>
        <w:rPr>
          <w:sz w:val="28"/>
        </w:rPr>
        <w:t xml:space="preserve"> - сдача в аренду индивидуальных сейфов;</w:t>
      </w:r>
    </w:p>
    <w:p w:rsidR="00EB5A4F" w:rsidRDefault="00EB5A4F" w:rsidP="002646CF">
      <w:pPr>
        <w:ind w:firstLine="709"/>
        <w:rPr>
          <w:sz w:val="28"/>
        </w:rPr>
      </w:pPr>
      <w:r>
        <w:rPr>
          <w:sz w:val="28"/>
        </w:rPr>
        <w:t xml:space="preserve"> - консультационно-методические услуги. </w:t>
      </w:r>
    </w:p>
    <w:p w:rsidR="00EB5A4F" w:rsidRDefault="00EB5A4F" w:rsidP="002646CF">
      <w:pPr>
        <w:ind w:firstLine="709"/>
        <w:rPr>
          <w:sz w:val="28"/>
        </w:rPr>
      </w:pPr>
      <w:r>
        <w:rPr>
          <w:sz w:val="28"/>
        </w:rPr>
        <w:t xml:space="preserve">В области международных операций банк предоставляет услуги по международным расчетам через систему SWIFT, Western Union, ?перечисление??, услуги по торговому финансированию. </w:t>
      </w:r>
    </w:p>
    <w:p w:rsidR="00EB5A4F" w:rsidRDefault="00EB5A4F" w:rsidP="002646CF">
      <w:pPr>
        <w:ind w:firstLine="709"/>
        <w:rPr>
          <w:sz w:val="28"/>
        </w:rPr>
      </w:pPr>
      <w:r>
        <w:rPr>
          <w:sz w:val="28"/>
        </w:rPr>
        <w:t xml:space="preserve">За последние годы банк показывает стабильные темпы роста. По данным агентства «РБК», Примсоцбанк занимает: </w:t>
      </w:r>
    </w:p>
    <w:p w:rsidR="00EB5A4F" w:rsidRDefault="00EB5A4F" w:rsidP="002646CF">
      <w:pPr>
        <w:ind w:firstLine="709"/>
        <w:rPr>
          <w:sz w:val="28"/>
        </w:rPr>
      </w:pPr>
      <w:r>
        <w:rPr>
          <w:sz w:val="28"/>
        </w:rPr>
        <w:t>- 146 место по величине чистых активов;</w:t>
      </w:r>
    </w:p>
    <w:p w:rsidR="00EB5A4F" w:rsidRDefault="00EB5A4F" w:rsidP="002646CF">
      <w:pPr>
        <w:ind w:firstLine="709"/>
        <w:rPr>
          <w:sz w:val="28"/>
        </w:rPr>
      </w:pPr>
      <w:r>
        <w:rPr>
          <w:sz w:val="28"/>
        </w:rPr>
        <w:t xml:space="preserve">- 74 место по ликвидным активам; </w:t>
      </w:r>
    </w:p>
    <w:p w:rsidR="00EB5A4F" w:rsidRDefault="00EB5A4F" w:rsidP="002646CF">
      <w:pPr>
        <w:ind w:firstLine="709"/>
        <w:rPr>
          <w:sz w:val="28"/>
        </w:rPr>
      </w:pPr>
      <w:r>
        <w:rPr>
          <w:sz w:val="28"/>
        </w:rPr>
        <w:t xml:space="preserve">- 138 место по кредитному портфелю; </w:t>
      </w:r>
    </w:p>
    <w:p w:rsidR="00EB5A4F" w:rsidRDefault="00EB5A4F" w:rsidP="002646CF">
      <w:pPr>
        <w:ind w:firstLine="709"/>
        <w:rPr>
          <w:sz w:val="28"/>
        </w:rPr>
      </w:pPr>
      <w:r>
        <w:rPr>
          <w:sz w:val="28"/>
        </w:rPr>
        <w:t xml:space="preserve">- 86 место по потребительским кредитам; </w:t>
      </w:r>
    </w:p>
    <w:p w:rsidR="00EB5A4F" w:rsidRDefault="00EB5A4F" w:rsidP="002646CF">
      <w:pPr>
        <w:ind w:firstLine="709"/>
        <w:rPr>
          <w:sz w:val="28"/>
        </w:rPr>
      </w:pPr>
      <w:r>
        <w:rPr>
          <w:sz w:val="28"/>
        </w:rPr>
        <w:t xml:space="preserve">- 21 место по количеству выданных ипотечных кредитов; </w:t>
      </w:r>
    </w:p>
    <w:p w:rsidR="00EB5A4F" w:rsidRDefault="00EB5A4F" w:rsidP="002646CF">
      <w:pPr>
        <w:ind w:firstLine="709"/>
        <w:rPr>
          <w:sz w:val="28"/>
        </w:rPr>
      </w:pPr>
      <w:r>
        <w:rPr>
          <w:sz w:val="28"/>
        </w:rPr>
        <w:t xml:space="preserve">- 86 место по депозитам физических лиц. </w:t>
      </w:r>
    </w:p>
    <w:p w:rsidR="00EB5A4F" w:rsidRDefault="00EB5A4F" w:rsidP="002646CF">
      <w:pPr>
        <w:ind w:firstLine="709"/>
        <w:rPr>
          <w:bCs/>
          <w:sz w:val="28"/>
          <w:szCs w:val="28"/>
        </w:rPr>
      </w:pPr>
      <w:r>
        <w:rPr>
          <w:sz w:val="28"/>
        </w:rPr>
        <w:t xml:space="preserve">Примсоцбанк уверенно входит в «Top 300 универсальных банков» </w:t>
      </w:r>
      <w:r>
        <w:rPr>
          <w:bCs/>
          <w:sz w:val="28"/>
          <w:szCs w:val="28"/>
        </w:rPr>
        <w:t>агентства «РБК». По итогам 1 квартала 2010 года банк занимает 112 строчку данного рейтинга.</w:t>
      </w:r>
    </w:p>
    <w:p w:rsidR="00EB5A4F" w:rsidRDefault="00EB5A4F" w:rsidP="002646CF">
      <w:pPr>
        <w:ind w:firstLine="709"/>
        <w:rPr>
          <w:bCs/>
          <w:sz w:val="28"/>
          <w:szCs w:val="28"/>
        </w:rPr>
      </w:pPr>
      <w:r>
        <w:rPr>
          <w:bCs/>
          <w:sz w:val="28"/>
          <w:szCs w:val="28"/>
        </w:rPr>
        <w:t>3 февраля 2009 года международное рейтинговое агентство Fitch Ratings присвоило банку следующие рейтинги:</w:t>
      </w:r>
    </w:p>
    <w:p w:rsidR="00EB5A4F" w:rsidRDefault="00EB5A4F" w:rsidP="002646CF">
      <w:pPr>
        <w:ind w:firstLine="709"/>
        <w:rPr>
          <w:bCs/>
          <w:sz w:val="28"/>
          <w:szCs w:val="28"/>
        </w:rPr>
      </w:pPr>
      <w:r>
        <w:rPr>
          <w:bCs/>
          <w:sz w:val="28"/>
          <w:szCs w:val="28"/>
        </w:rPr>
        <w:t>- долгосрочный рейтинг дефолта эмитента (РДЭ) «B-» (B минус), прогноз «Стабильный»;</w:t>
      </w:r>
    </w:p>
    <w:p w:rsidR="00EB5A4F" w:rsidRDefault="00EB5A4F" w:rsidP="002646CF">
      <w:pPr>
        <w:ind w:firstLine="709"/>
        <w:rPr>
          <w:bCs/>
          <w:sz w:val="28"/>
          <w:szCs w:val="28"/>
        </w:rPr>
      </w:pPr>
      <w:r>
        <w:rPr>
          <w:bCs/>
          <w:sz w:val="28"/>
          <w:szCs w:val="28"/>
        </w:rPr>
        <w:t>- краткосрочный РДЭ «B»;</w:t>
      </w:r>
    </w:p>
    <w:p w:rsidR="00EB5A4F" w:rsidRDefault="00EB5A4F" w:rsidP="002646CF">
      <w:pPr>
        <w:ind w:firstLine="709"/>
        <w:rPr>
          <w:bCs/>
          <w:sz w:val="28"/>
          <w:szCs w:val="28"/>
        </w:rPr>
      </w:pPr>
      <w:r>
        <w:rPr>
          <w:bCs/>
          <w:sz w:val="28"/>
          <w:szCs w:val="28"/>
        </w:rPr>
        <w:t>- рейтинг поддержки «5»;</w:t>
      </w:r>
    </w:p>
    <w:p w:rsidR="00EB5A4F" w:rsidRDefault="00EB5A4F" w:rsidP="002646CF">
      <w:pPr>
        <w:ind w:firstLine="709"/>
        <w:rPr>
          <w:bCs/>
          <w:sz w:val="28"/>
          <w:szCs w:val="28"/>
        </w:rPr>
      </w:pPr>
      <w:r>
        <w:rPr>
          <w:bCs/>
          <w:sz w:val="28"/>
          <w:szCs w:val="28"/>
        </w:rPr>
        <w:t>- уровень поддержки долгосрочного РДЭ «нет уровня поддержки»;</w:t>
      </w:r>
    </w:p>
    <w:p w:rsidR="00EB5A4F" w:rsidRDefault="00EB5A4F" w:rsidP="002646CF">
      <w:pPr>
        <w:ind w:firstLine="709"/>
        <w:rPr>
          <w:bCs/>
          <w:sz w:val="28"/>
          <w:szCs w:val="28"/>
        </w:rPr>
      </w:pPr>
      <w:r>
        <w:rPr>
          <w:bCs/>
          <w:sz w:val="28"/>
          <w:szCs w:val="28"/>
        </w:rPr>
        <w:t>- национальный долгосрочный рейтинг «BB(rus)», прогноз «Стабильный»;</w:t>
      </w:r>
    </w:p>
    <w:p w:rsidR="00EB5A4F" w:rsidRDefault="00EB5A4F" w:rsidP="002646CF">
      <w:pPr>
        <w:ind w:firstLine="709"/>
        <w:rPr>
          <w:bCs/>
          <w:sz w:val="28"/>
          <w:szCs w:val="28"/>
        </w:rPr>
      </w:pPr>
      <w:r>
        <w:rPr>
          <w:bCs/>
          <w:sz w:val="28"/>
          <w:szCs w:val="28"/>
        </w:rPr>
        <w:t>- индивидуальный рейтинг «D/E».</w:t>
      </w:r>
    </w:p>
    <w:p w:rsidR="00EB5A4F" w:rsidRDefault="00EB5A4F" w:rsidP="002646CF">
      <w:pPr>
        <w:ind w:firstLine="709"/>
        <w:rPr>
          <w:bCs/>
          <w:sz w:val="28"/>
          <w:szCs w:val="28"/>
        </w:rPr>
      </w:pPr>
      <w:r>
        <w:rPr>
          <w:bCs/>
          <w:sz w:val="28"/>
          <w:szCs w:val="28"/>
        </w:rPr>
        <w:t>Присвоение международного рейтинга свидетельствует о прочных позициях банка в области капитала, качества активов, ликвидности, прибыльности и корпоративного управления.</w:t>
      </w:r>
    </w:p>
    <w:p w:rsidR="00EB5A4F" w:rsidRDefault="00EB5A4F" w:rsidP="002646CF">
      <w:pPr>
        <w:ind w:firstLine="709"/>
        <w:rPr>
          <w:sz w:val="28"/>
        </w:rPr>
      </w:pPr>
      <w:r>
        <w:rPr>
          <w:bCs/>
          <w:sz w:val="28"/>
          <w:szCs w:val="28"/>
        </w:rPr>
        <w:t xml:space="preserve">В состав акционеров Примсоцбанка входит Европейский банк реконструкции и развития (ЕБРР). </w:t>
      </w:r>
    </w:p>
    <w:p w:rsidR="00EB5A4F" w:rsidRDefault="00EB5A4F" w:rsidP="002646CF">
      <w:pPr>
        <w:rPr>
          <w:sz w:val="28"/>
          <w:szCs w:val="28"/>
        </w:rPr>
      </w:pPr>
      <w:r>
        <w:rPr>
          <w:b/>
        </w:rPr>
        <w:t xml:space="preserve">             </w:t>
      </w:r>
      <w:r>
        <w:rPr>
          <w:sz w:val="28"/>
          <w:szCs w:val="28"/>
        </w:rPr>
        <w:t>Оценим финансовые результаты  деятельности банка за</w:t>
      </w:r>
      <w:r>
        <w:rPr>
          <w:b/>
        </w:rPr>
        <w:t xml:space="preserve"> </w:t>
      </w:r>
      <w:r w:rsidRPr="00DC4BC1">
        <w:rPr>
          <w:b/>
          <w:sz w:val="28"/>
          <w:szCs w:val="28"/>
        </w:rPr>
        <w:t>2007-2009</w:t>
      </w:r>
      <w:r>
        <w:rPr>
          <w:b/>
          <w:sz w:val="28"/>
          <w:szCs w:val="28"/>
        </w:rPr>
        <w:t>гг</w:t>
      </w:r>
      <w:r>
        <w:rPr>
          <w:sz w:val="28"/>
          <w:szCs w:val="28"/>
        </w:rPr>
        <w:t>.</w:t>
      </w:r>
    </w:p>
    <w:p w:rsidR="00EB5A4F" w:rsidRDefault="00EB5A4F" w:rsidP="002646C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Таблица 1</w:t>
      </w:r>
    </w:p>
    <w:p w:rsidR="00EB5A4F" w:rsidRDefault="00EB5A4F" w:rsidP="009C20FE">
      <w:pPr>
        <w:ind w:firstLine="708"/>
        <w:rPr>
          <w:sz w:val="24"/>
          <w:szCs w:val="24"/>
          <w:u w:val="single"/>
        </w:rPr>
      </w:pPr>
      <w:r>
        <w:rPr>
          <w:sz w:val="24"/>
          <w:szCs w:val="24"/>
        </w:rPr>
        <w:t>Финансовые результаты  деятельности банка за 2007-</w:t>
      </w:r>
      <w:smartTag w:uri="urn:schemas-microsoft-com:office:smarttags" w:element="metricconverter">
        <w:smartTagPr>
          <w:attr w:name="ProductID" w:val="2009 г"/>
        </w:smartTagPr>
        <w:r>
          <w:rPr>
            <w:sz w:val="24"/>
            <w:szCs w:val="24"/>
          </w:rPr>
          <w:t>2009 г</w:t>
        </w:r>
      </w:smartTag>
      <w:r>
        <w:rPr>
          <w:sz w:val="24"/>
          <w:szCs w:val="24"/>
        </w:rPr>
        <w:t>.г. (млн. рублей)</w:t>
      </w:r>
      <w:r>
        <w:rPr>
          <w:sz w:val="24"/>
          <w:szCs w:val="24"/>
          <w:u w:val="single"/>
        </w:rPr>
        <w:t xml:space="preserve"> </w:t>
      </w:r>
    </w:p>
    <w:tbl>
      <w:tblPr>
        <w:tblW w:w="0" w:type="auto"/>
        <w:tblInd w:w="93" w:type="dxa"/>
        <w:tblLayout w:type="fixed"/>
        <w:tblLook w:val="00A0" w:firstRow="1" w:lastRow="0" w:firstColumn="1" w:lastColumn="0" w:noHBand="0" w:noVBand="0"/>
      </w:tblPr>
      <w:tblGrid>
        <w:gridCol w:w="4515"/>
        <w:gridCol w:w="1080"/>
        <w:gridCol w:w="1080"/>
        <w:gridCol w:w="1080"/>
        <w:gridCol w:w="1080"/>
        <w:gridCol w:w="926"/>
      </w:tblGrid>
      <w:tr w:rsidR="00EB5A4F" w:rsidTr="00DC4BC1">
        <w:trPr>
          <w:trHeight w:val="255"/>
        </w:trPr>
        <w:tc>
          <w:tcPr>
            <w:tcW w:w="4515" w:type="dxa"/>
            <w:vMerge w:val="restart"/>
            <w:tcBorders>
              <w:top w:val="single" w:sz="8" w:space="0" w:color="auto"/>
              <w:left w:val="single" w:sz="8" w:space="0" w:color="auto"/>
              <w:bottom w:val="single" w:sz="8" w:space="0" w:color="000000"/>
              <w:right w:val="single" w:sz="8" w:space="0" w:color="auto"/>
            </w:tcBorders>
            <w:noWrap/>
            <w:vAlign w:val="bottom"/>
          </w:tcPr>
          <w:p w:rsidR="00EB5A4F" w:rsidRDefault="00EB5A4F" w:rsidP="00DC4BC1">
            <w:pPr>
              <w:spacing w:line="240" w:lineRule="auto"/>
              <w:jc w:val="center"/>
              <w:rPr>
                <w:b/>
                <w:bCs/>
                <w:sz w:val="24"/>
                <w:szCs w:val="24"/>
              </w:rPr>
            </w:pPr>
            <w:r>
              <w:rPr>
                <w:b/>
                <w:bCs/>
                <w:sz w:val="24"/>
                <w:szCs w:val="24"/>
              </w:rPr>
              <w:t>Наименование</w:t>
            </w:r>
          </w:p>
        </w:tc>
        <w:tc>
          <w:tcPr>
            <w:tcW w:w="3240" w:type="dxa"/>
            <w:gridSpan w:val="3"/>
            <w:tcBorders>
              <w:top w:val="single" w:sz="8" w:space="0" w:color="auto"/>
              <w:left w:val="nil"/>
              <w:bottom w:val="single" w:sz="4" w:space="0" w:color="auto"/>
              <w:right w:val="single" w:sz="8" w:space="0" w:color="000000"/>
            </w:tcBorders>
            <w:noWrap/>
            <w:vAlign w:val="bottom"/>
          </w:tcPr>
          <w:p w:rsidR="00EB5A4F" w:rsidRDefault="00EB5A4F" w:rsidP="00DC4BC1">
            <w:pPr>
              <w:spacing w:line="240" w:lineRule="auto"/>
              <w:jc w:val="center"/>
              <w:rPr>
                <w:b/>
                <w:bCs/>
                <w:sz w:val="24"/>
                <w:szCs w:val="24"/>
              </w:rPr>
            </w:pPr>
            <w:r>
              <w:rPr>
                <w:b/>
                <w:bCs/>
                <w:sz w:val="24"/>
                <w:szCs w:val="24"/>
              </w:rPr>
              <w:t>Факт</w:t>
            </w:r>
          </w:p>
        </w:tc>
        <w:tc>
          <w:tcPr>
            <w:tcW w:w="2006" w:type="dxa"/>
            <w:gridSpan w:val="2"/>
            <w:tcBorders>
              <w:top w:val="single" w:sz="8" w:space="0" w:color="auto"/>
              <w:left w:val="single" w:sz="8" w:space="0" w:color="auto"/>
              <w:bottom w:val="nil"/>
              <w:right w:val="single" w:sz="8" w:space="0" w:color="auto"/>
            </w:tcBorders>
            <w:vAlign w:val="bottom"/>
          </w:tcPr>
          <w:p w:rsidR="00EB5A4F" w:rsidRDefault="00EB5A4F" w:rsidP="00DC4BC1">
            <w:pPr>
              <w:spacing w:line="240" w:lineRule="auto"/>
              <w:jc w:val="center"/>
              <w:rPr>
                <w:sz w:val="24"/>
                <w:szCs w:val="24"/>
              </w:rPr>
            </w:pPr>
            <w:r>
              <w:rPr>
                <w:b/>
                <w:bCs/>
                <w:sz w:val="24"/>
                <w:szCs w:val="24"/>
              </w:rPr>
              <w:t>Темп прироста за год</w:t>
            </w:r>
          </w:p>
        </w:tc>
      </w:tr>
      <w:tr w:rsidR="00EB5A4F" w:rsidTr="00DC4BC1">
        <w:trPr>
          <w:trHeight w:val="525"/>
        </w:trPr>
        <w:tc>
          <w:tcPr>
            <w:tcW w:w="4515" w:type="dxa"/>
            <w:vMerge/>
            <w:tcBorders>
              <w:top w:val="single" w:sz="8" w:space="0" w:color="auto"/>
              <w:left w:val="single" w:sz="8" w:space="0" w:color="auto"/>
              <w:bottom w:val="single" w:sz="8" w:space="0" w:color="000000"/>
              <w:right w:val="single" w:sz="8" w:space="0" w:color="auto"/>
            </w:tcBorders>
            <w:vAlign w:val="center"/>
          </w:tcPr>
          <w:p w:rsidR="00EB5A4F" w:rsidRDefault="00EB5A4F" w:rsidP="00DC4BC1">
            <w:pPr>
              <w:spacing w:line="240" w:lineRule="auto"/>
              <w:jc w:val="left"/>
              <w:rPr>
                <w:b/>
                <w:bCs/>
                <w:sz w:val="24"/>
                <w:szCs w:val="24"/>
              </w:rPr>
            </w:pPr>
          </w:p>
        </w:tc>
        <w:tc>
          <w:tcPr>
            <w:tcW w:w="1080" w:type="dxa"/>
            <w:tcBorders>
              <w:top w:val="single" w:sz="4" w:space="0" w:color="auto"/>
              <w:left w:val="single" w:sz="4" w:space="0" w:color="auto"/>
              <w:bottom w:val="single" w:sz="4" w:space="0" w:color="auto"/>
              <w:right w:val="single" w:sz="4" w:space="0" w:color="auto"/>
            </w:tcBorders>
            <w:vAlign w:val="bottom"/>
          </w:tcPr>
          <w:p w:rsidR="00EB5A4F" w:rsidRDefault="00EB5A4F" w:rsidP="00DC4BC1">
            <w:pPr>
              <w:spacing w:line="240" w:lineRule="auto"/>
              <w:jc w:val="center"/>
              <w:rPr>
                <w:b/>
                <w:bCs/>
                <w:sz w:val="24"/>
                <w:szCs w:val="24"/>
              </w:rPr>
            </w:pPr>
            <w:r>
              <w:rPr>
                <w:b/>
                <w:bCs/>
                <w:sz w:val="24"/>
                <w:szCs w:val="24"/>
              </w:rPr>
              <w:t>на 01.01.08</w:t>
            </w:r>
          </w:p>
        </w:tc>
        <w:tc>
          <w:tcPr>
            <w:tcW w:w="1080" w:type="dxa"/>
            <w:tcBorders>
              <w:top w:val="single" w:sz="4" w:space="0" w:color="auto"/>
              <w:left w:val="nil"/>
              <w:bottom w:val="single" w:sz="4" w:space="0" w:color="auto"/>
              <w:right w:val="single" w:sz="4" w:space="0" w:color="auto"/>
            </w:tcBorders>
            <w:vAlign w:val="bottom"/>
          </w:tcPr>
          <w:p w:rsidR="00EB5A4F" w:rsidRDefault="00EB5A4F" w:rsidP="00DC4BC1">
            <w:pPr>
              <w:spacing w:line="240" w:lineRule="auto"/>
              <w:jc w:val="center"/>
              <w:rPr>
                <w:b/>
                <w:bCs/>
                <w:sz w:val="24"/>
                <w:szCs w:val="24"/>
              </w:rPr>
            </w:pPr>
            <w:r>
              <w:rPr>
                <w:b/>
                <w:bCs/>
                <w:sz w:val="24"/>
                <w:szCs w:val="24"/>
              </w:rPr>
              <w:t>на 01.01.09</w:t>
            </w:r>
          </w:p>
        </w:tc>
        <w:tc>
          <w:tcPr>
            <w:tcW w:w="1080" w:type="dxa"/>
            <w:tcBorders>
              <w:top w:val="single" w:sz="4" w:space="0" w:color="auto"/>
              <w:left w:val="nil"/>
              <w:bottom w:val="single" w:sz="4" w:space="0" w:color="auto"/>
              <w:right w:val="single" w:sz="4" w:space="0" w:color="auto"/>
            </w:tcBorders>
            <w:vAlign w:val="bottom"/>
          </w:tcPr>
          <w:p w:rsidR="00EB5A4F" w:rsidRDefault="00EB5A4F" w:rsidP="00DC4BC1">
            <w:pPr>
              <w:spacing w:line="240" w:lineRule="auto"/>
              <w:jc w:val="center"/>
              <w:rPr>
                <w:b/>
                <w:bCs/>
                <w:sz w:val="24"/>
                <w:szCs w:val="24"/>
              </w:rPr>
            </w:pPr>
            <w:r>
              <w:rPr>
                <w:b/>
                <w:bCs/>
                <w:sz w:val="24"/>
                <w:szCs w:val="24"/>
              </w:rPr>
              <w:t>на 01.01.10</w:t>
            </w:r>
          </w:p>
        </w:tc>
        <w:tc>
          <w:tcPr>
            <w:tcW w:w="1080" w:type="dxa"/>
            <w:tcBorders>
              <w:top w:val="single" w:sz="4" w:space="0" w:color="auto"/>
              <w:left w:val="single" w:sz="4" w:space="0" w:color="auto"/>
              <w:bottom w:val="nil"/>
              <w:right w:val="single" w:sz="4" w:space="0" w:color="auto"/>
            </w:tcBorders>
            <w:vAlign w:val="bottom"/>
          </w:tcPr>
          <w:p w:rsidR="00EB5A4F" w:rsidRDefault="00EB5A4F" w:rsidP="00DC4BC1">
            <w:pPr>
              <w:spacing w:line="240" w:lineRule="auto"/>
              <w:jc w:val="center"/>
              <w:rPr>
                <w:b/>
                <w:bCs/>
                <w:sz w:val="24"/>
                <w:szCs w:val="24"/>
              </w:rPr>
            </w:pPr>
            <w:r>
              <w:rPr>
                <w:b/>
                <w:bCs/>
                <w:sz w:val="24"/>
                <w:szCs w:val="24"/>
              </w:rPr>
              <w:t>2008</w:t>
            </w:r>
          </w:p>
        </w:tc>
        <w:tc>
          <w:tcPr>
            <w:tcW w:w="926" w:type="dxa"/>
            <w:tcBorders>
              <w:top w:val="single" w:sz="4" w:space="0" w:color="auto"/>
              <w:left w:val="nil"/>
              <w:bottom w:val="nil"/>
              <w:right w:val="single" w:sz="8" w:space="0" w:color="auto"/>
            </w:tcBorders>
            <w:noWrap/>
            <w:vAlign w:val="bottom"/>
          </w:tcPr>
          <w:p w:rsidR="00EB5A4F" w:rsidRDefault="00EB5A4F" w:rsidP="00DC4BC1">
            <w:pPr>
              <w:spacing w:line="240" w:lineRule="auto"/>
              <w:jc w:val="center"/>
              <w:rPr>
                <w:b/>
                <w:bCs/>
                <w:sz w:val="24"/>
                <w:szCs w:val="24"/>
              </w:rPr>
            </w:pPr>
            <w:r>
              <w:rPr>
                <w:b/>
                <w:bCs/>
                <w:sz w:val="24"/>
                <w:szCs w:val="24"/>
              </w:rPr>
              <w:t>2009</w:t>
            </w:r>
          </w:p>
        </w:tc>
      </w:tr>
      <w:tr w:rsidR="00EB5A4F" w:rsidTr="00DC4BC1">
        <w:trPr>
          <w:trHeight w:val="255"/>
        </w:trPr>
        <w:tc>
          <w:tcPr>
            <w:tcW w:w="4515" w:type="dxa"/>
            <w:tcBorders>
              <w:top w:val="nil"/>
              <w:left w:val="single" w:sz="8" w:space="0" w:color="auto"/>
              <w:bottom w:val="single" w:sz="4" w:space="0" w:color="auto"/>
              <w:right w:val="single" w:sz="4" w:space="0" w:color="auto"/>
            </w:tcBorders>
            <w:vAlign w:val="bottom"/>
          </w:tcPr>
          <w:p w:rsidR="00EB5A4F" w:rsidRDefault="00EB5A4F" w:rsidP="00DC4BC1">
            <w:pPr>
              <w:spacing w:line="240" w:lineRule="auto"/>
              <w:rPr>
                <w:sz w:val="24"/>
                <w:szCs w:val="24"/>
              </w:rPr>
            </w:pPr>
            <w:r>
              <w:rPr>
                <w:sz w:val="24"/>
                <w:szCs w:val="24"/>
              </w:rPr>
              <w:t>Активы</w:t>
            </w:r>
          </w:p>
        </w:tc>
        <w:tc>
          <w:tcPr>
            <w:tcW w:w="1080" w:type="dxa"/>
            <w:tcBorders>
              <w:top w:val="single" w:sz="4" w:space="0" w:color="auto"/>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10 345</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10 474</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12 832</w:t>
            </w:r>
          </w:p>
        </w:tc>
        <w:tc>
          <w:tcPr>
            <w:tcW w:w="1080" w:type="dxa"/>
            <w:tcBorders>
              <w:top w:val="single" w:sz="8" w:space="0" w:color="auto"/>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1.3%</w:t>
            </w:r>
          </w:p>
        </w:tc>
        <w:tc>
          <w:tcPr>
            <w:tcW w:w="926" w:type="dxa"/>
            <w:tcBorders>
              <w:top w:val="single" w:sz="8" w:space="0" w:color="auto"/>
              <w:left w:val="nil"/>
              <w:bottom w:val="single" w:sz="4" w:space="0" w:color="auto"/>
              <w:right w:val="single" w:sz="8" w:space="0" w:color="auto"/>
            </w:tcBorders>
            <w:noWrap/>
            <w:vAlign w:val="bottom"/>
          </w:tcPr>
          <w:p w:rsidR="00EB5A4F" w:rsidRDefault="00EB5A4F" w:rsidP="00DC4BC1">
            <w:pPr>
              <w:spacing w:line="240" w:lineRule="auto"/>
              <w:jc w:val="center"/>
              <w:rPr>
                <w:sz w:val="24"/>
                <w:szCs w:val="24"/>
              </w:rPr>
            </w:pPr>
            <w:r>
              <w:rPr>
                <w:sz w:val="24"/>
                <w:szCs w:val="24"/>
              </w:rPr>
              <w:t>22.5%</w:t>
            </w:r>
          </w:p>
        </w:tc>
      </w:tr>
      <w:tr w:rsidR="00EB5A4F" w:rsidTr="00DC4BC1">
        <w:trPr>
          <w:trHeight w:val="255"/>
        </w:trPr>
        <w:tc>
          <w:tcPr>
            <w:tcW w:w="4515" w:type="dxa"/>
            <w:tcBorders>
              <w:top w:val="nil"/>
              <w:left w:val="single" w:sz="8" w:space="0" w:color="auto"/>
              <w:bottom w:val="single" w:sz="4" w:space="0" w:color="auto"/>
              <w:right w:val="single" w:sz="4" w:space="0" w:color="auto"/>
            </w:tcBorders>
            <w:vAlign w:val="bottom"/>
          </w:tcPr>
          <w:p w:rsidR="00EB5A4F" w:rsidRDefault="00EB5A4F" w:rsidP="00DC4BC1">
            <w:pPr>
              <w:spacing w:line="240" w:lineRule="auto"/>
              <w:rPr>
                <w:sz w:val="24"/>
                <w:szCs w:val="24"/>
              </w:rPr>
            </w:pPr>
            <w:r>
              <w:rPr>
                <w:sz w:val="24"/>
                <w:szCs w:val="24"/>
              </w:rPr>
              <w:t>Обороты банка (млрд. руб.)</w:t>
            </w:r>
          </w:p>
        </w:tc>
        <w:tc>
          <w:tcPr>
            <w:tcW w:w="1080" w:type="dxa"/>
            <w:tcBorders>
              <w:top w:val="single" w:sz="4" w:space="0" w:color="auto"/>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1 152</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1 425</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1 645</w:t>
            </w:r>
          </w:p>
        </w:tc>
        <w:tc>
          <w:tcPr>
            <w:tcW w:w="1080" w:type="dxa"/>
            <w:tcBorders>
              <w:top w:val="nil"/>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23.7%</w:t>
            </w:r>
          </w:p>
        </w:tc>
        <w:tc>
          <w:tcPr>
            <w:tcW w:w="926" w:type="dxa"/>
            <w:tcBorders>
              <w:top w:val="nil"/>
              <w:left w:val="nil"/>
              <w:bottom w:val="single" w:sz="4" w:space="0" w:color="auto"/>
              <w:right w:val="single" w:sz="8" w:space="0" w:color="auto"/>
            </w:tcBorders>
            <w:noWrap/>
            <w:vAlign w:val="bottom"/>
          </w:tcPr>
          <w:p w:rsidR="00EB5A4F" w:rsidRDefault="00EB5A4F" w:rsidP="00DC4BC1">
            <w:pPr>
              <w:spacing w:line="240" w:lineRule="auto"/>
              <w:jc w:val="center"/>
              <w:rPr>
                <w:sz w:val="24"/>
                <w:szCs w:val="24"/>
              </w:rPr>
            </w:pPr>
            <w:r>
              <w:rPr>
                <w:sz w:val="24"/>
                <w:szCs w:val="24"/>
              </w:rPr>
              <w:t>15.4%</w:t>
            </w:r>
          </w:p>
        </w:tc>
      </w:tr>
      <w:tr w:rsidR="00EB5A4F" w:rsidTr="00DC4BC1">
        <w:trPr>
          <w:trHeight w:val="255"/>
        </w:trPr>
        <w:tc>
          <w:tcPr>
            <w:tcW w:w="4515" w:type="dxa"/>
            <w:tcBorders>
              <w:top w:val="nil"/>
              <w:left w:val="single" w:sz="8" w:space="0" w:color="auto"/>
              <w:bottom w:val="single" w:sz="4" w:space="0" w:color="auto"/>
              <w:right w:val="single" w:sz="4" w:space="0" w:color="auto"/>
            </w:tcBorders>
            <w:vAlign w:val="bottom"/>
          </w:tcPr>
          <w:p w:rsidR="00EB5A4F" w:rsidRDefault="00EB5A4F" w:rsidP="00DC4BC1">
            <w:pPr>
              <w:spacing w:line="240" w:lineRule="auto"/>
              <w:rPr>
                <w:sz w:val="24"/>
                <w:szCs w:val="24"/>
              </w:rPr>
            </w:pPr>
            <w:r>
              <w:rPr>
                <w:sz w:val="24"/>
                <w:szCs w:val="24"/>
              </w:rPr>
              <w:t>Средства клиентов</w:t>
            </w:r>
          </w:p>
        </w:tc>
        <w:tc>
          <w:tcPr>
            <w:tcW w:w="1080" w:type="dxa"/>
            <w:tcBorders>
              <w:top w:val="single" w:sz="4" w:space="0" w:color="auto"/>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8 410</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8 049</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10 858</w:t>
            </w:r>
          </w:p>
        </w:tc>
        <w:tc>
          <w:tcPr>
            <w:tcW w:w="1080" w:type="dxa"/>
            <w:tcBorders>
              <w:top w:val="nil"/>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-4.3%</w:t>
            </w:r>
          </w:p>
        </w:tc>
        <w:tc>
          <w:tcPr>
            <w:tcW w:w="926" w:type="dxa"/>
            <w:tcBorders>
              <w:top w:val="nil"/>
              <w:left w:val="nil"/>
              <w:bottom w:val="single" w:sz="4" w:space="0" w:color="auto"/>
              <w:right w:val="single" w:sz="8" w:space="0" w:color="auto"/>
            </w:tcBorders>
            <w:noWrap/>
            <w:vAlign w:val="bottom"/>
          </w:tcPr>
          <w:p w:rsidR="00EB5A4F" w:rsidRDefault="00EB5A4F" w:rsidP="00DC4BC1">
            <w:pPr>
              <w:spacing w:line="240" w:lineRule="auto"/>
              <w:jc w:val="center"/>
              <w:rPr>
                <w:sz w:val="24"/>
                <w:szCs w:val="24"/>
              </w:rPr>
            </w:pPr>
            <w:r>
              <w:rPr>
                <w:sz w:val="24"/>
                <w:szCs w:val="24"/>
              </w:rPr>
              <w:t>34.9%</w:t>
            </w:r>
          </w:p>
        </w:tc>
      </w:tr>
      <w:tr w:rsidR="00EB5A4F" w:rsidTr="00DC4BC1">
        <w:trPr>
          <w:trHeight w:val="255"/>
        </w:trPr>
        <w:tc>
          <w:tcPr>
            <w:tcW w:w="4515" w:type="dxa"/>
            <w:tcBorders>
              <w:top w:val="nil"/>
              <w:left w:val="single" w:sz="8" w:space="0" w:color="auto"/>
              <w:bottom w:val="single" w:sz="4" w:space="0" w:color="auto"/>
              <w:right w:val="single" w:sz="4" w:space="0" w:color="auto"/>
            </w:tcBorders>
            <w:vAlign w:val="bottom"/>
          </w:tcPr>
          <w:p w:rsidR="00EB5A4F" w:rsidRDefault="00EB5A4F" w:rsidP="00DC4BC1">
            <w:pPr>
              <w:spacing w:line="240" w:lineRule="auto"/>
              <w:rPr>
                <w:sz w:val="24"/>
                <w:szCs w:val="24"/>
              </w:rPr>
            </w:pPr>
            <w:r>
              <w:rPr>
                <w:sz w:val="24"/>
                <w:szCs w:val="24"/>
              </w:rPr>
              <w:t>Чистая ссудная задолженность</w:t>
            </w:r>
          </w:p>
        </w:tc>
        <w:tc>
          <w:tcPr>
            <w:tcW w:w="1080" w:type="dxa"/>
            <w:tcBorders>
              <w:top w:val="single" w:sz="4" w:space="0" w:color="auto"/>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7 980</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6 823</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7 676</w:t>
            </w:r>
          </w:p>
        </w:tc>
        <w:tc>
          <w:tcPr>
            <w:tcW w:w="1080" w:type="dxa"/>
            <w:tcBorders>
              <w:top w:val="nil"/>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-14.5%</w:t>
            </w:r>
          </w:p>
        </w:tc>
        <w:tc>
          <w:tcPr>
            <w:tcW w:w="926" w:type="dxa"/>
            <w:tcBorders>
              <w:top w:val="nil"/>
              <w:left w:val="nil"/>
              <w:bottom w:val="single" w:sz="4" w:space="0" w:color="auto"/>
              <w:right w:val="single" w:sz="8" w:space="0" w:color="auto"/>
            </w:tcBorders>
            <w:noWrap/>
            <w:vAlign w:val="bottom"/>
          </w:tcPr>
          <w:p w:rsidR="00EB5A4F" w:rsidRDefault="00EB5A4F" w:rsidP="00DC4BC1">
            <w:pPr>
              <w:spacing w:line="240" w:lineRule="auto"/>
              <w:jc w:val="center"/>
              <w:rPr>
                <w:sz w:val="24"/>
                <w:szCs w:val="24"/>
              </w:rPr>
            </w:pPr>
            <w:r>
              <w:rPr>
                <w:sz w:val="24"/>
                <w:szCs w:val="24"/>
              </w:rPr>
              <w:t>12.5%</w:t>
            </w:r>
          </w:p>
        </w:tc>
      </w:tr>
      <w:tr w:rsidR="00EB5A4F" w:rsidTr="00DC4BC1">
        <w:trPr>
          <w:trHeight w:val="255"/>
        </w:trPr>
        <w:tc>
          <w:tcPr>
            <w:tcW w:w="4515" w:type="dxa"/>
            <w:tcBorders>
              <w:top w:val="nil"/>
              <w:left w:val="single" w:sz="8" w:space="0" w:color="auto"/>
              <w:bottom w:val="single" w:sz="4" w:space="0" w:color="auto"/>
              <w:right w:val="single" w:sz="4" w:space="0" w:color="auto"/>
            </w:tcBorders>
            <w:vAlign w:val="bottom"/>
          </w:tcPr>
          <w:p w:rsidR="00EB5A4F" w:rsidRDefault="00EB5A4F" w:rsidP="00DC4BC1">
            <w:pPr>
              <w:spacing w:line="240" w:lineRule="auto"/>
              <w:rPr>
                <w:sz w:val="24"/>
                <w:szCs w:val="24"/>
              </w:rPr>
            </w:pPr>
            <w:r>
              <w:rPr>
                <w:sz w:val="24"/>
                <w:szCs w:val="24"/>
              </w:rPr>
              <w:t>Собственные средства</w:t>
            </w:r>
          </w:p>
        </w:tc>
        <w:tc>
          <w:tcPr>
            <w:tcW w:w="1080" w:type="dxa"/>
            <w:tcBorders>
              <w:top w:val="single" w:sz="4" w:space="0" w:color="auto"/>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952</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1 284</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1 386</w:t>
            </w:r>
          </w:p>
        </w:tc>
        <w:tc>
          <w:tcPr>
            <w:tcW w:w="1080" w:type="dxa"/>
            <w:tcBorders>
              <w:top w:val="nil"/>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34.8%</w:t>
            </w:r>
          </w:p>
        </w:tc>
        <w:tc>
          <w:tcPr>
            <w:tcW w:w="926" w:type="dxa"/>
            <w:tcBorders>
              <w:top w:val="nil"/>
              <w:left w:val="nil"/>
              <w:bottom w:val="single" w:sz="4" w:space="0" w:color="auto"/>
              <w:right w:val="single" w:sz="8" w:space="0" w:color="auto"/>
            </w:tcBorders>
            <w:noWrap/>
            <w:vAlign w:val="bottom"/>
          </w:tcPr>
          <w:p w:rsidR="00EB5A4F" w:rsidRDefault="00EB5A4F" w:rsidP="00DC4BC1">
            <w:pPr>
              <w:spacing w:line="240" w:lineRule="auto"/>
              <w:jc w:val="center"/>
              <w:rPr>
                <w:sz w:val="24"/>
                <w:szCs w:val="24"/>
              </w:rPr>
            </w:pPr>
            <w:r>
              <w:rPr>
                <w:sz w:val="24"/>
                <w:szCs w:val="24"/>
              </w:rPr>
              <w:t>7.9%</w:t>
            </w:r>
          </w:p>
        </w:tc>
      </w:tr>
      <w:tr w:rsidR="00EB5A4F" w:rsidTr="00DC4BC1">
        <w:trPr>
          <w:trHeight w:val="255"/>
        </w:trPr>
        <w:tc>
          <w:tcPr>
            <w:tcW w:w="4515" w:type="dxa"/>
            <w:tcBorders>
              <w:top w:val="nil"/>
              <w:left w:val="single" w:sz="8" w:space="0" w:color="auto"/>
              <w:bottom w:val="single" w:sz="4" w:space="0" w:color="auto"/>
              <w:right w:val="single" w:sz="4" w:space="0" w:color="auto"/>
            </w:tcBorders>
            <w:vAlign w:val="bottom"/>
          </w:tcPr>
          <w:p w:rsidR="00EB5A4F" w:rsidRDefault="00EB5A4F" w:rsidP="00DC4BC1">
            <w:pPr>
              <w:spacing w:line="240" w:lineRule="auto"/>
              <w:rPr>
                <w:sz w:val="24"/>
                <w:szCs w:val="24"/>
              </w:rPr>
            </w:pPr>
            <w:r>
              <w:rPr>
                <w:sz w:val="24"/>
                <w:szCs w:val="24"/>
              </w:rPr>
              <w:t xml:space="preserve">Чистая прибыль </w:t>
            </w:r>
          </w:p>
        </w:tc>
        <w:tc>
          <w:tcPr>
            <w:tcW w:w="1080" w:type="dxa"/>
            <w:tcBorders>
              <w:top w:val="single" w:sz="4" w:space="0" w:color="auto"/>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247.5</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320.3</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101.8</w:t>
            </w:r>
          </w:p>
        </w:tc>
        <w:tc>
          <w:tcPr>
            <w:tcW w:w="1080" w:type="dxa"/>
            <w:tcBorders>
              <w:top w:val="nil"/>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29.4%</w:t>
            </w:r>
          </w:p>
        </w:tc>
        <w:tc>
          <w:tcPr>
            <w:tcW w:w="926" w:type="dxa"/>
            <w:tcBorders>
              <w:top w:val="nil"/>
              <w:left w:val="nil"/>
              <w:bottom w:val="single" w:sz="4" w:space="0" w:color="auto"/>
              <w:right w:val="single" w:sz="8" w:space="0" w:color="auto"/>
            </w:tcBorders>
            <w:noWrap/>
            <w:vAlign w:val="bottom"/>
          </w:tcPr>
          <w:p w:rsidR="00EB5A4F" w:rsidRDefault="00EB5A4F" w:rsidP="00DC4BC1">
            <w:pPr>
              <w:spacing w:line="240" w:lineRule="auto"/>
              <w:jc w:val="center"/>
              <w:rPr>
                <w:sz w:val="24"/>
                <w:szCs w:val="24"/>
              </w:rPr>
            </w:pPr>
            <w:r>
              <w:rPr>
                <w:sz w:val="24"/>
                <w:szCs w:val="24"/>
              </w:rPr>
              <w:t>-68.2%</w:t>
            </w:r>
          </w:p>
        </w:tc>
      </w:tr>
      <w:tr w:rsidR="00EB5A4F" w:rsidTr="00DC4BC1">
        <w:trPr>
          <w:trHeight w:val="255"/>
        </w:trPr>
        <w:tc>
          <w:tcPr>
            <w:tcW w:w="4515" w:type="dxa"/>
            <w:tcBorders>
              <w:top w:val="nil"/>
              <w:left w:val="single" w:sz="8" w:space="0" w:color="auto"/>
              <w:bottom w:val="single" w:sz="4" w:space="0" w:color="auto"/>
              <w:right w:val="single" w:sz="4" w:space="0" w:color="auto"/>
            </w:tcBorders>
            <w:vAlign w:val="bottom"/>
          </w:tcPr>
          <w:p w:rsidR="00EB5A4F" w:rsidRDefault="00EB5A4F" w:rsidP="00DC4BC1">
            <w:pPr>
              <w:spacing w:line="240" w:lineRule="auto"/>
              <w:rPr>
                <w:sz w:val="24"/>
                <w:szCs w:val="24"/>
              </w:rPr>
            </w:pPr>
            <w:r>
              <w:rPr>
                <w:sz w:val="24"/>
                <w:szCs w:val="24"/>
              </w:rPr>
              <w:t>Рентабельность собственных средств (капитала)</w:t>
            </w:r>
          </w:p>
        </w:tc>
        <w:tc>
          <w:tcPr>
            <w:tcW w:w="1080" w:type="dxa"/>
            <w:tcBorders>
              <w:top w:val="single" w:sz="4" w:space="0" w:color="auto"/>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37.1%</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28.4%</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7.6%</w:t>
            </w:r>
          </w:p>
        </w:tc>
        <w:tc>
          <w:tcPr>
            <w:tcW w:w="1080" w:type="dxa"/>
            <w:tcBorders>
              <w:top w:val="nil"/>
              <w:left w:val="single" w:sz="4" w:space="0" w:color="auto"/>
              <w:bottom w:val="single" w:sz="4" w:space="0" w:color="auto"/>
              <w:right w:val="single" w:sz="4" w:space="0" w:color="auto"/>
            </w:tcBorders>
            <w:noWrap/>
            <w:vAlign w:val="bottom"/>
          </w:tcPr>
          <w:p w:rsidR="00EB5A4F" w:rsidRDefault="00EB5A4F" w:rsidP="00DC4BC1">
            <w:pPr>
              <w:spacing w:line="240" w:lineRule="auto"/>
              <w:rPr>
                <w:sz w:val="24"/>
                <w:szCs w:val="24"/>
              </w:rPr>
            </w:pPr>
            <w:r>
              <w:rPr>
                <w:sz w:val="24"/>
                <w:szCs w:val="24"/>
              </w:rPr>
              <w:t>-23.5%</w:t>
            </w:r>
          </w:p>
        </w:tc>
        <w:tc>
          <w:tcPr>
            <w:tcW w:w="926" w:type="dxa"/>
            <w:tcBorders>
              <w:top w:val="nil"/>
              <w:left w:val="nil"/>
              <w:bottom w:val="single" w:sz="4" w:space="0" w:color="auto"/>
              <w:right w:val="single" w:sz="8" w:space="0" w:color="auto"/>
            </w:tcBorders>
            <w:noWrap/>
            <w:vAlign w:val="bottom"/>
          </w:tcPr>
          <w:p w:rsidR="00EB5A4F" w:rsidRDefault="00EB5A4F" w:rsidP="00DC4BC1">
            <w:pPr>
              <w:spacing w:line="240" w:lineRule="auto"/>
              <w:jc w:val="center"/>
              <w:rPr>
                <w:sz w:val="24"/>
                <w:szCs w:val="24"/>
              </w:rPr>
            </w:pPr>
            <w:r>
              <w:rPr>
                <w:sz w:val="24"/>
                <w:szCs w:val="24"/>
              </w:rPr>
              <w:t>-73.3%</w:t>
            </w:r>
          </w:p>
        </w:tc>
      </w:tr>
      <w:tr w:rsidR="00EB5A4F" w:rsidTr="00DC4BC1">
        <w:trPr>
          <w:trHeight w:val="255"/>
        </w:trPr>
        <w:tc>
          <w:tcPr>
            <w:tcW w:w="4515" w:type="dxa"/>
            <w:tcBorders>
              <w:top w:val="nil"/>
              <w:left w:val="single" w:sz="8" w:space="0" w:color="auto"/>
              <w:bottom w:val="single" w:sz="4" w:space="0" w:color="auto"/>
              <w:right w:val="single" w:sz="4" w:space="0" w:color="auto"/>
            </w:tcBorders>
            <w:vAlign w:val="bottom"/>
          </w:tcPr>
          <w:p w:rsidR="00EB5A4F" w:rsidRDefault="00EB5A4F" w:rsidP="00DC4BC1">
            <w:pPr>
              <w:spacing w:line="240" w:lineRule="auto"/>
              <w:rPr>
                <w:sz w:val="24"/>
                <w:szCs w:val="24"/>
              </w:rPr>
            </w:pPr>
            <w:r>
              <w:rPr>
                <w:sz w:val="24"/>
                <w:szCs w:val="24"/>
              </w:rPr>
              <w:t>Капитал банка (для целей регулирования)</w:t>
            </w:r>
          </w:p>
        </w:tc>
        <w:tc>
          <w:tcPr>
            <w:tcW w:w="1080" w:type="dxa"/>
            <w:tcBorders>
              <w:top w:val="single" w:sz="4" w:space="0" w:color="auto"/>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929</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1 291</w:t>
            </w:r>
          </w:p>
        </w:tc>
        <w:tc>
          <w:tcPr>
            <w:tcW w:w="1080" w:type="dxa"/>
            <w:tcBorders>
              <w:top w:val="single" w:sz="4" w:space="0" w:color="auto"/>
              <w:left w:val="nil"/>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1 379</w:t>
            </w:r>
          </w:p>
        </w:tc>
        <w:tc>
          <w:tcPr>
            <w:tcW w:w="1080" w:type="dxa"/>
            <w:tcBorders>
              <w:top w:val="nil"/>
              <w:left w:val="single" w:sz="4" w:space="0" w:color="auto"/>
              <w:bottom w:val="single" w:sz="4" w:space="0" w:color="auto"/>
              <w:right w:val="single" w:sz="4" w:space="0" w:color="auto"/>
            </w:tcBorders>
            <w:noWrap/>
            <w:vAlign w:val="bottom"/>
          </w:tcPr>
          <w:p w:rsidR="00EB5A4F" w:rsidRDefault="00EB5A4F" w:rsidP="00DC4BC1">
            <w:pPr>
              <w:spacing w:line="240" w:lineRule="auto"/>
              <w:jc w:val="center"/>
              <w:rPr>
                <w:sz w:val="24"/>
                <w:szCs w:val="24"/>
              </w:rPr>
            </w:pPr>
            <w:r>
              <w:rPr>
                <w:sz w:val="24"/>
                <w:szCs w:val="24"/>
              </w:rPr>
              <w:t>39.0%</w:t>
            </w:r>
          </w:p>
        </w:tc>
        <w:tc>
          <w:tcPr>
            <w:tcW w:w="926" w:type="dxa"/>
            <w:tcBorders>
              <w:top w:val="nil"/>
              <w:left w:val="nil"/>
              <w:bottom w:val="single" w:sz="4" w:space="0" w:color="auto"/>
              <w:right w:val="single" w:sz="8" w:space="0" w:color="auto"/>
            </w:tcBorders>
            <w:noWrap/>
            <w:vAlign w:val="bottom"/>
          </w:tcPr>
          <w:p w:rsidR="00EB5A4F" w:rsidRDefault="00EB5A4F" w:rsidP="00DC4BC1">
            <w:pPr>
              <w:spacing w:line="240" w:lineRule="auto"/>
              <w:jc w:val="center"/>
              <w:rPr>
                <w:sz w:val="24"/>
                <w:szCs w:val="24"/>
              </w:rPr>
            </w:pPr>
            <w:r>
              <w:rPr>
                <w:sz w:val="24"/>
                <w:szCs w:val="24"/>
              </w:rPr>
              <w:t>6.8%</w:t>
            </w:r>
          </w:p>
        </w:tc>
      </w:tr>
    </w:tbl>
    <w:p w:rsidR="00EB5A4F" w:rsidRDefault="00EB5A4F" w:rsidP="002646CF">
      <w:pPr>
        <w:rPr>
          <w:u w:val="single"/>
        </w:rPr>
      </w:pPr>
    </w:p>
    <w:p w:rsidR="00EB5A4F" w:rsidRDefault="00EB5A4F" w:rsidP="002646CF">
      <w:pPr>
        <w:ind w:firstLine="360"/>
        <w:rPr>
          <w:sz w:val="28"/>
          <w:szCs w:val="28"/>
        </w:rPr>
      </w:pPr>
      <w:r>
        <w:rPr>
          <w:sz w:val="28"/>
          <w:szCs w:val="28"/>
        </w:rPr>
        <w:t>Валюта консолидированного баланса банка  на  01.01.09  составила  10 474 млн. рублей (темп прироста за год – 1.3%), на  01.01.10  составила   12 832 млн. рублей (темп прироста за год – 22.5%).</w:t>
      </w:r>
    </w:p>
    <w:p w:rsidR="00EB5A4F" w:rsidRDefault="00EB5A4F" w:rsidP="002646CF">
      <w:pPr>
        <w:ind w:firstLine="709"/>
        <w:rPr>
          <w:sz w:val="28"/>
          <w:szCs w:val="28"/>
        </w:rPr>
      </w:pPr>
      <w:r>
        <w:rPr>
          <w:sz w:val="28"/>
          <w:szCs w:val="28"/>
        </w:rPr>
        <w:t>Собственные средства банка на 01.01.09 г., согласно балансовому отчету, составляли 1 284 млн. рублей (темп роста за год составил 34.8%). на 01.01.10 г., согласно балансовому отчету, составляли 1 386 млн. рублей (темп роста за год составил 7.9%).</w:t>
      </w:r>
    </w:p>
    <w:p w:rsidR="00EB5A4F" w:rsidRDefault="00EB5A4F" w:rsidP="002646CF">
      <w:pPr>
        <w:ind w:firstLine="708"/>
        <w:rPr>
          <w:sz w:val="28"/>
          <w:szCs w:val="28"/>
        </w:rPr>
      </w:pPr>
      <w:r>
        <w:rPr>
          <w:sz w:val="28"/>
          <w:szCs w:val="28"/>
        </w:rPr>
        <w:t xml:space="preserve">Капитал банка в 2008 году, </w:t>
      </w:r>
      <w:r w:rsidRPr="00CE6097">
        <w:rPr>
          <w:color w:val="F79646"/>
          <w:sz w:val="28"/>
          <w:szCs w:val="28"/>
        </w:rPr>
        <w:t>рассчитанный для целей регулирования</w:t>
      </w:r>
      <w:r>
        <w:rPr>
          <w:sz w:val="28"/>
          <w:szCs w:val="28"/>
        </w:rPr>
        <w:t>, составил 1 291 млн. рублей (темп роста за год – 39.%).  Норматив достаточности капитала на конец года составил 17.6%. В условиях развивающегося кризиса, увеличение капитала банка остается приоритетным направлением финансовой деятельности.</w:t>
      </w:r>
    </w:p>
    <w:p w:rsidR="00EB5A4F" w:rsidRDefault="00EB5A4F" w:rsidP="002646CF">
      <w:pPr>
        <w:ind w:firstLine="708"/>
        <w:rPr>
          <w:sz w:val="28"/>
          <w:szCs w:val="28"/>
        </w:rPr>
      </w:pPr>
      <w:r>
        <w:rPr>
          <w:sz w:val="28"/>
          <w:szCs w:val="28"/>
        </w:rPr>
        <w:t xml:space="preserve">Капитал банка в </w:t>
      </w:r>
      <w:smartTag w:uri="urn:schemas-microsoft-com:office:smarttags" w:element="metricconverter">
        <w:smartTagPr>
          <w:attr w:name="ProductID" w:val="2009 г"/>
        </w:smartTagPr>
        <w:r>
          <w:rPr>
            <w:sz w:val="28"/>
            <w:szCs w:val="28"/>
          </w:rPr>
          <w:t>2009 г</w:t>
        </w:r>
      </w:smartTag>
      <w:r>
        <w:rPr>
          <w:sz w:val="28"/>
          <w:szCs w:val="28"/>
        </w:rPr>
        <w:t xml:space="preserve">., рассчитанный для целей регулирования, составил 1 1379 млн. рублей (темп роста за год – 6.8%). Рост капитала банка обеспечен за счет чистой прибыли банка за 2009 год. </w:t>
      </w:r>
    </w:p>
    <w:p w:rsidR="00EB5A4F" w:rsidRDefault="00EB5A4F" w:rsidP="002646CF">
      <w:pPr>
        <w:ind w:firstLine="709"/>
        <w:rPr>
          <w:sz w:val="28"/>
          <w:szCs w:val="28"/>
        </w:rPr>
      </w:pPr>
      <w:r>
        <w:rPr>
          <w:sz w:val="28"/>
          <w:szCs w:val="28"/>
        </w:rPr>
        <w:t>Норматив достаточности капитала на конец года составил 16.37%. Он характеризует наличие достаточного капитала для поддержания устойчивого роста банка в 2010 году.</w:t>
      </w:r>
    </w:p>
    <w:p w:rsidR="00EB5A4F" w:rsidRDefault="00EB5A4F" w:rsidP="002646CF">
      <w:pPr>
        <w:ind w:firstLine="720"/>
        <w:rPr>
          <w:iCs/>
          <w:sz w:val="28"/>
          <w:szCs w:val="28"/>
        </w:rPr>
      </w:pPr>
      <w:r>
        <w:rPr>
          <w:iCs/>
          <w:sz w:val="28"/>
          <w:szCs w:val="28"/>
        </w:rPr>
        <w:t xml:space="preserve">Привлеченные средства банка  составили на 01.01.09 г.  9 190  млн. рублей. По сравнению с началом года  они уменьшились на 2.2%. </w:t>
      </w:r>
    </w:p>
    <w:p w:rsidR="00EB5A4F" w:rsidRDefault="00EB5A4F" w:rsidP="002646CF">
      <w:pPr>
        <w:ind w:firstLine="720"/>
        <w:rPr>
          <w:sz w:val="28"/>
          <w:szCs w:val="28"/>
        </w:rPr>
      </w:pPr>
      <w:r>
        <w:rPr>
          <w:sz w:val="28"/>
          <w:szCs w:val="28"/>
        </w:rPr>
        <w:t>Снижение  привлеченных средств обусловлено оттоком средств по расчетным и депозитным счетам юридических лиц на 793 млн. рублей (темп прироста - -21,3%).  Частично этот отток компенсирован увеличением остатков средств по вкладам физических лиц на 431 млн. рублей (темп прироста - 9.2%), ростом выпущенных долговых обязательств на 91 млн. рублей, ростом средств кредитных организаций на 19 млн. рублей и ломбардным кредитом от ЦБ РФ на 56 млн. рублей.</w:t>
      </w:r>
    </w:p>
    <w:p w:rsidR="00EB5A4F" w:rsidRDefault="00EB5A4F" w:rsidP="002646CF">
      <w:pPr>
        <w:ind w:firstLine="708"/>
        <w:rPr>
          <w:bCs/>
          <w:sz w:val="28"/>
          <w:szCs w:val="28"/>
        </w:rPr>
      </w:pPr>
      <w:r>
        <w:rPr>
          <w:bCs/>
          <w:sz w:val="28"/>
          <w:szCs w:val="28"/>
        </w:rPr>
        <w:t>Управляя рисками банковской деятельности, банк выполняет все обязательные нормативы.</w:t>
      </w:r>
    </w:p>
    <w:p w:rsidR="00EB5A4F" w:rsidRDefault="00EB5A4F" w:rsidP="002646CF">
      <w:pPr>
        <w:rPr>
          <w:bCs/>
          <w:sz w:val="28"/>
          <w:szCs w:val="28"/>
        </w:rPr>
      </w:pPr>
      <w:r>
        <w:rPr>
          <w:bCs/>
          <w:sz w:val="28"/>
          <w:szCs w:val="28"/>
        </w:rPr>
        <w:t xml:space="preserve">         В таблице (2) приведены обязательные нормативы, характеризующие риски различных операций банка по состоянию на 01.01.2010 года.</w:t>
      </w:r>
    </w:p>
    <w:p w:rsidR="00EB5A4F" w:rsidRDefault="00EB5A4F" w:rsidP="002646CF">
      <w:pPr>
        <w:jc w:val="center"/>
        <w:rPr>
          <w:bCs/>
          <w:sz w:val="24"/>
          <w:szCs w:val="24"/>
        </w:rPr>
      </w:pPr>
    </w:p>
    <w:p w:rsidR="00EB5A4F" w:rsidRDefault="00EB5A4F" w:rsidP="002646CF">
      <w:pPr>
        <w:jc w:val="center"/>
        <w:rPr>
          <w:bCs/>
          <w:sz w:val="24"/>
          <w:szCs w:val="24"/>
        </w:rPr>
      </w:pPr>
    </w:p>
    <w:p w:rsidR="00EB5A4F" w:rsidRDefault="00EB5A4F" w:rsidP="002646CF">
      <w:pPr>
        <w:jc w:val="center"/>
        <w:rPr>
          <w:bCs/>
          <w:sz w:val="24"/>
          <w:szCs w:val="24"/>
        </w:rPr>
      </w:pPr>
    </w:p>
    <w:p w:rsidR="00EB5A4F" w:rsidRDefault="00EB5A4F" w:rsidP="002646CF">
      <w:pPr>
        <w:jc w:val="center"/>
        <w:rPr>
          <w:bCs/>
          <w:sz w:val="24"/>
          <w:szCs w:val="24"/>
        </w:rPr>
      </w:pPr>
    </w:p>
    <w:p w:rsidR="00EB5A4F" w:rsidRDefault="00EB5A4F" w:rsidP="002646CF">
      <w:pPr>
        <w:jc w:val="center"/>
        <w:rPr>
          <w:bCs/>
          <w:sz w:val="24"/>
          <w:szCs w:val="24"/>
        </w:rPr>
      </w:pPr>
    </w:p>
    <w:p w:rsidR="00EB5A4F" w:rsidRDefault="00EB5A4F" w:rsidP="002646CF">
      <w:pPr>
        <w:jc w:val="cente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Таблица 2</w:t>
      </w:r>
    </w:p>
    <w:p w:rsidR="00EB5A4F" w:rsidRDefault="00EB5A4F" w:rsidP="002646CF">
      <w:pPr>
        <w:jc w:val="center"/>
        <w:rPr>
          <w:bCs/>
          <w:sz w:val="24"/>
          <w:szCs w:val="24"/>
        </w:rPr>
      </w:pPr>
      <w:r>
        <w:rPr>
          <w:bCs/>
          <w:sz w:val="24"/>
          <w:szCs w:val="24"/>
        </w:rPr>
        <w:t>Риски различных банковских операций на 01.01.2010</w:t>
      </w:r>
      <w:r w:rsidRPr="00CC6141">
        <w:rPr>
          <w:bCs/>
          <w:sz w:val="24"/>
          <w:szCs w:val="24"/>
        </w:rPr>
        <w:t xml:space="preserve"> </w:t>
      </w:r>
      <w:r>
        <w:rPr>
          <w:bCs/>
          <w:sz w:val="24"/>
          <w:szCs w:val="24"/>
        </w:rPr>
        <w:t xml:space="preserve">    </w:t>
      </w:r>
    </w:p>
    <w:tbl>
      <w:tblPr>
        <w:tblW w:w="0" w:type="auto"/>
        <w:tblInd w:w="-34" w:type="dxa"/>
        <w:tblLayout w:type="fixed"/>
        <w:tblLook w:val="0000" w:firstRow="0" w:lastRow="0" w:firstColumn="0" w:lastColumn="0" w:noHBand="0" w:noVBand="0"/>
      </w:tblPr>
      <w:tblGrid>
        <w:gridCol w:w="909"/>
        <w:gridCol w:w="5200"/>
        <w:gridCol w:w="1279"/>
        <w:gridCol w:w="1108"/>
        <w:gridCol w:w="1108"/>
      </w:tblGrid>
      <w:tr w:rsidR="00EB5A4F" w:rsidTr="00DC4BC1">
        <w:trPr>
          <w:trHeight w:val="542"/>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b/>
                <w:bCs/>
                <w:sz w:val="24"/>
                <w:szCs w:val="24"/>
              </w:rPr>
            </w:pPr>
            <w:r>
              <w:rPr>
                <w:b/>
                <w:bCs/>
                <w:sz w:val="24"/>
                <w:szCs w:val="24"/>
              </w:rPr>
              <w:t xml:space="preserve">№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b/>
                <w:bCs/>
                <w:sz w:val="24"/>
                <w:szCs w:val="24"/>
              </w:rPr>
            </w:pPr>
            <w:r>
              <w:rPr>
                <w:b/>
                <w:bCs/>
                <w:sz w:val="24"/>
                <w:szCs w:val="24"/>
              </w:rPr>
              <w:t xml:space="preserve">Статья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center"/>
              <w:rPr>
                <w:b/>
                <w:bCs/>
                <w:sz w:val="24"/>
                <w:szCs w:val="24"/>
              </w:rPr>
            </w:pPr>
            <w:r>
              <w:rPr>
                <w:b/>
                <w:bCs/>
                <w:sz w:val="24"/>
                <w:szCs w:val="24"/>
              </w:rPr>
              <w:t>Норматив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center"/>
              <w:rPr>
                <w:b/>
                <w:bCs/>
                <w:sz w:val="24"/>
                <w:szCs w:val="24"/>
              </w:rPr>
            </w:pPr>
            <w:r>
              <w:rPr>
                <w:b/>
                <w:bCs/>
                <w:sz w:val="24"/>
                <w:szCs w:val="24"/>
              </w:rPr>
              <w:t>Факт 01.01.10</w:t>
            </w:r>
          </w:p>
          <w:p w:rsidR="00EB5A4F" w:rsidRDefault="00EB5A4F" w:rsidP="00DC4BC1">
            <w:pPr>
              <w:spacing w:line="240" w:lineRule="auto"/>
              <w:jc w:val="center"/>
              <w:rPr>
                <w:b/>
                <w:bCs/>
                <w:sz w:val="24"/>
                <w:szCs w:val="24"/>
              </w:rPr>
            </w:pPr>
            <w:r>
              <w:rPr>
                <w:b/>
                <w:bCs/>
                <w:sz w:val="24"/>
                <w:szCs w:val="24"/>
              </w:rPr>
              <w:t>(%)</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center"/>
              <w:rPr>
                <w:b/>
                <w:bCs/>
                <w:sz w:val="24"/>
                <w:szCs w:val="24"/>
              </w:rPr>
            </w:pPr>
            <w:r>
              <w:rPr>
                <w:b/>
                <w:bCs/>
                <w:sz w:val="24"/>
                <w:szCs w:val="24"/>
              </w:rPr>
              <w:t>Факт 01.01.09</w:t>
            </w:r>
          </w:p>
          <w:p w:rsidR="00EB5A4F" w:rsidRDefault="00EB5A4F" w:rsidP="00DC4BC1">
            <w:pPr>
              <w:spacing w:line="240" w:lineRule="auto"/>
              <w:jc w:val="center"/>
              <w:rPr>
                <w:b/>
                <w:bCs/>
                <w:sz w:val="24"/>
                <w:szCs w:val="24"/>
              </w:rPr>
            </w:pPr>
            <w:r>
              <w:rPr>
                <w:b/>
                <w:bCs/>
                <w:sz w:val="24"/>
                <w:szCs w:val="24"/>
              </w:rPr>
              <w:t>(%)</w:t>
            </w:r>
          </w:p>
        </w:tc>
      </w:tr>
      <w:tr w:rsidR="00EB5A4F" w:rsidTr="00DC4BC1">
        <w:trPr>
          <w:trHeight w:val="264"/>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 H1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Достаточности капитала, %  min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 xml:space="preserve">10.0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rFonts w:ascii="Calibri" w:hAnsi="Calibri"/>
                <w:bCs/>
                <w:sz w:val="24"/>
                <w:szCs w:val="24"/>
              </w:rPr>
            </w:pPr>
            <w:r>
              <w:rPr>
                <w:bCs/>
                <w:sz w:val="24"/>
                <w:szCs w:val="24"/>
              </w:rPr>
              <w:t>16.37</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17.58</w:t>
            </w:r>
          </w:p>
        </w:tc>
      </w:tr>
      <w:tr w:rsidR="00EB5A4F" w:rsidTr="00DC4BC1">
        <w:trPr>
          <w:trHeight w:val="278"/>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 H2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Мгновенной ликвидности, %  min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 xml:space="preserve">15.0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rFonts w:ascii="Calibri" w:hAnsi="Calibri"/>
                <w:bCs/>
                <w:sz w:val="24"/>
                <w:szCs w:val="24"/>
              </w:rPr>
            </w:pPr>
            <w:r>
              <w:rPr>
                <w:bCs/>
                <w:sz w:val="24"/>
                <w:szCs w:val="24"/>
              </w:rPr>
              <w:t>56.31</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65.32</w:t>
            </w:r>
          </w:p>
        </w:tc>
      </w:tr>
      <w:tr w:rsidR="00EB5A4F" w:rsidTr="00DC4BC1">
        <w:trPr>
          <w:trHeight w:val="264"/>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 H3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Текущей ликвидности, %  min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 xml:space="preserve">50.0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rFonts w:ascii="Calibri" w:hAnsi="Calibri"/>
                <w:bCs/>
                <w:sz w:val="24"/>
                <w:szCs w:val="24"/>
              </w:rPr>
            </w:pPr>
            <w:r>
              <w:rPr>
                <w:bCs/>
                <w:sz w:val="24"/>
                <w:szCs w:val="24"/>
              </w:rPr>
              <w:t>106.81</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86.64</w:t>
            </w:r>
          </w:p>
        </w:tc>
      </w:tr>
      <w:tr w:rsidR="00EB5A4F" w:rsidTr="00DC4BC1">
        <w:trPr>
          <w:trHeight w:val="264"/>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 H4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Долгосрочной ликвидности, %  max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 xml:space="preserve">120.0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rFonts w:ascii="Calibri" w:hAnsi="Calibri"/>
                <w:bCs/>
                <w:sz w:val="24"/>
                <w:szCs w:val="24"/>
              </w:rPr>
            </w:pPr>
            <w:r>
              <w:rPr>
                <w:bCs/>
                <w:sz w:val="24"/>
                <w:szCs w:val="24"/>
              </w:rPr>
              <w:t>76.30</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104.01</w:t>
            </w:r>
          </w:p>
        </w:tc>
      </w:tr>
      <w:tr w:rsidR="00EB5A4F" w:rsidTr="00DC4BC1">
        <w:trPr>
          <w:trHeight w:val="542"/>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 H6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Максимальный размер риска на одного заемщика, % max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 xml:space="preserve">25.0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rFonts w:ascii="Calibri" w:hAnsi="Calibri"/>
                <w:bCs/>
                <w:sz w:val="24"/>
                <w:szCs w:val="24"/>
              </w:rPr>
            </w:pPr>
            <w:r>
              <w:rPr>
                <w:bCs/>
                <w:sz w:val="24"/>
                <w:szCs w:val="24"/>
              </w:rPr>
              <w:t>21.03</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14.62</w:t>
            </w:r>
          </w:p>
        </w:tc>
      </w:tr>
      <w:tr w:rsidR="00EB5A4F" w:rsidTr="00DC4BC1">
        <w:trPr>
          <w:trHeight w:val="542"/>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 H7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Максимальный размер крупных кредитных рисков, %  max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 xml:space="preserve">800.0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rFonts w:ascii="Calibri" w:hAnsi="Calibri"/>
                <w:bCs/>
                <w:sz w:val="24"/>
                <w:szCs w:val="24"/>
              </w:rPr>
            </w:pPr>
            <w:r>
              <w:rPr>
                <w:bCs/>
                <w:sz w:val="24"/>
                <w:szCs w:val="24"/>
              </w:rPr>
              <w:t>197.30</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92.31</w:t>
            </w:r>
          </w:p>
        </w:tc>
      </w:tr>
      <w:tr w:rsidR="00EB5A4F" w:rsidTr="00DC4BC1">
        <w:trPr>
          <w:trHeight w:val="542"/>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 H9.1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Совокупная величина кредитов, выданных акционерам, %  max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 xml:space="preserve">50.0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rFonts w:ascii="Calibri" w:hAnsi="Calibri"/>
                <w:bCs/>
                <w:sz w:val="24"/>
                <w:szCs w:val="24"/>
              </w:rPr>
            </w:pPr>
            <w:r>
              <w:rPr>
                <w:bCs/>
                <w:sz w:val="24"/>
                <w:szCs w:val="24"/>
              </w:rPr>
              <w:t>0.00</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0.00</w:t>
            </w:r>
          </w:p>
        </w:tc>
      </w:tr>
      <w:tr w:rsidR="00EB5A4F" w:rsidTr="00DC4BC1">
        <w:trPr>
          <w:trHeight w:val="542"/>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 H10.1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Совокупная величина кредитов, выданных инсайдерам, %  max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 xml:space="preserve">3.0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rFonts w:ascii="Calibri" w:hAnsi="Calibri"/>
                <w:bCs/>
                <w:sz w:val="24"/>
                <w:szCs w:val="24"/>
              </w:rPr>
            </w:pPr>
            <w:r>
              <w:rPr>
                <w:bCs/>
                <w:sz w:val="24"/>
                <w:szCs w:val="24"/>
              </w:rPr>
              <w:t>2.04</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2.23</w:t>
            </w:r>
          </w:p>
        </w:tc>
      </w:tr>
      <w:tr w:rsidR="00EB5A4F" w:rsidTr="00DC4BC1">
        <w:trPr>
          <w:trHeight w:val="542"/>
        </w:trPr>
        <w:tc>
          <w:tcPr>
            <w:tcW w:w="90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 H12 </w:t>
            </w:r>
          </w:p>
        </w:tc>
        <w:tc>
          <w:tcPr>
            <w:tcW w:w="5200"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rPr>
                <w:sz w:val="24"/>
                <w:szCs w:val="24"/>
              </w:rPr>
            </w:pPr>
            <w:r>
              <w:rPr>
                <w:sz w:val="24"/>
                <w:szCs w:val="24"/>
              </w:rPr>
              <w:t xml:space="preserve">Использование собств.средств для приобретения долей др. юр.лиц, %  max </w:t>
            </w:r>
          </w:p>
        </w:tc>
        <w:tc>
          <w:tcPr>
            <w:tcW w:w="1279"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 xml:space="preserve">25.0 </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rFonts w:ascii="Calibri" w:hAnsi="Calibri"/>
                <w:bCs/>
                <w:sz w:val="24"/>
                <w:szCs w:val="24"/>
              </w:rPr>
            </w:pPr>
            <w:r>
              <w:rPr>
                <w:bCs/>
                <w:sz w:val="24"/>
                <w:szCs w:val="24"/>
              </w:rPr>
              <w:t>0.00</w:t>
            </w:r>
          </w:p>
        </w:tc>
        <w:tc>
          <w:tcPr>
            <w:tcW w:w="1108" w:type="dxa"/>
            <w:tcBorders>
              <w:top w:val="single" w:sz="6" w:space="0" w:color="auto"/>
              <w:left w:val="single" w:sz="6" w:space="0" w:color="auto"/>
              <w:bottom w:val="single" w:sz="6" w:space="0" w:color="auto"/>
              <w:right w:val="single" w:sz="6" w:space="0" w:color="auto"/>
            </w:tcBorders>
          </w:tcPr>
          <w:p w:rsidR="00EB5A4F" w:rsidRDefault="00EB5A4F" w:rsidP="00DC4BC1">
            <w:pPr>
              <w:spacing w:line="240" w:lineRule="auto"/>
              <w:jc w:val="right"/>
              <w:rPr>
                <w:sz w:val="24"/>
                <w:szCs w:val="24"/>
              </w:rPr>
            </w:pPr>
            <w:r>
              <w:rPr>
                <w:sz w:val="24"/>
                <w:szCs w:val="24"/>
              </w:rPr>
              <w:t>0.00</w:t>
            </w:r>
          </w:p>
        </w:tc>
      </w:tr>
    </w:tbl>
    <w:p w:rsidR="00EB5A4F" w:rsidRDefault="00EB5A4F" w:rsidP="002646CF">
      <w:pPr>
        <w:ind w:firstLine="720"/>
        <w:rPr>
          <w:sz w:val="28"/>
          <w:szCs w:val="28"/>
        </w:rPr>
      </w:pPr>
    </w:p>
    <w:p w:rsidR="00EB5A4F" w:rsidRDefault="00EB5A4F" w:rsidP="002646CF">
      <w:pPr>
        <w:ind w:firstLine="708"/>
        <w:rPr>
          <w:iCs/>
          <w:sz w:val="28"/>
          <w:szCs w:val="28"/>
        </w:rPr>
      </w:pPr>
      <w:r>
        <w:rPr>
          <w:iCs/>
          <w:sz w:val="28"/>
          <w:szCs w:val="28"/>
        </w:rPr>
        <w:t xml:space="preserve">Привлеченные средства банка  составили на 01.01.10 г. 11 446 млн. рублей. По сравнению с началом года  они увеличились на 24.2%. </w:t>
      </w:r>
    </w:p>
    <w:p w:rsidR="00EB5A4F" w:rsidRDefault="00EB5A4F" w:rsidP="002646CF">
      <w:pPr>
        <w:ind w:firstLine="708"/>
        <w:rPr>
          <w:sz w:val="28"/>
        </w:rPr>
      </w:pPr>
      <w:r>
        <w:rPr>
          <w:sz w:val="28"/>
        </w:rPr>
        <w:t>В 2009 году приоритетными направлениями деятельности являлись:</w:t>
      </w:r>
    </w:p>
    <w:p w:rsidR="00EB5A4F" w:rsidRDefault="00EB5A4F" w:rsidP="002646CF">
      <w:pPr>
        <w:ind w:firstLine="708"/>
        <w:rPr>
          <w:sz w:val="28"/>
        </w:rPr>
      </w:pPr>
      <w:r>
        <w:rPr>
          <w:sz w:val="28"/>
        </w:rPr>
        <w:t>- поддержание устойчивого финансового положения банка за счет  увеличения капитала банка и реализации адекватной рыночной ситуации политики в области управления рисками;</w:t>
      </w:r>
    </w:p>
    <w:p w:rsidR="00EB5A4F" w:rsidRDefault="00EB5A4F" w:rsidP="002646CF">
      <w:pPr>
        <w:ind w:firstLine="708"/>
        <w:rPr>
          <w:sz w:val="28"/>
        </w:rPr>
      </w:pPr>
      <w:r>
        <w:rPr>
          <w:sz w:val="28"/>
        </w:rPr>
        <w:t>- кредитование предприятий малого бизнеса и среднего бизнеса в условиях экономического кризиса;</w:t>
      </w:r>
    </w:p>
    <w:p w:rsidR="00EB5A4F" w:rsidRDefault="00EB5A4F" w:rsidP="002646CF">
      <w:pPr>
        <w:ind w:firstLine="708"/>
        <w:rPr>
          <w:sz w:val="28"/>
        </w:rPr>
      </w:pPr>
      <w:r>
        <w:rPr>
          <w:sz w:val="28"/>
        </w:rPr>
        <w:t>- снижение кредитных рисков и кредитование частных клиентов;</w:t>
      </w:r>
    </w:p>
    <w:p w:rsidR="00EB5A4F" w:rsidRDefault="00EB5A4F" w:rsidP="002646CF">
      <w:pPr>
        <w:ind w:firstLine="708"/>
        <w:rPr>
          <w:sz w:val="28"/>
        </w:rPr>
      </w:pPr>
      <w:r>
        <w:rPr>
          <w:sz w:val="28"/>
        </w:rPr>
        <w:t>- ускорение темпов рефинансирования ипотечных кредитов;</w:t>
      </w:r>
    </w:p>
    <w:p w:rsidR="00EB5A4F" w:rsidRDefault="00EB5A4F" w:rsidP="002646CF">
      <w:pPr>
        <w:ind w:firstLine="708"/>
        <w:rPr>
          <w:sz w:val="28"/>
        </w:rPr>
      </w:pPr>
      <w:r>
        <w:rPr>
          <w:sz w:val="28"/>
        </w:rPr>
        <w:t>- привлечение клиентов за счет новых видов вкладов;</w:t>
      </w:r>
    </w:p>
    <w:p w:rsidR="00EB5A4F" w:rsidRDefault="00EB5A4F" w:rsidP="002646CF">
      <w:pPr>
        <w:ind w:firstLine="708"/>
        <w:rPr>
          <w:sz w:val="28"/>
        </w:rPr>
      </w:pPr>
      <w:r>
        <w:rPr>
          <w:sz w:val="28"/>
        </w:rPr>
        <w:t>- реализация проектов по вхождению в международную платежную систему «</w:t>
      </w:r>
      <w:r>
        <w:rPr>
          <w:sz w:val="28"/>
          <w:lang w:val="en-US"/>
        </w:rPr>
        <w:t>Visa</w:t>
      </w:r>
      <w:r>
        <w:rPr>
          <w:sz w:val="28"/>
        </w:rPr>
        <w:t>», расширение и оптимизация сети терминалов и банкоматов;</w:t>
      </w:r>
    </w:p>
    <w:p w:rsidR="00EB5A4F" w:rsidRDefault="00EB5A4F" w:rsidP="002646CF">
      <w:pPr>
        <w:ind w:firstLine="708"/>
        <w:rPr>
          <w:sz w:val="28"/>
        </w:rPr>
      </w:pPr>
      <w:r>
        <w:rPr>
          <w:sz w:val="28"/>
        </w:rPr>
        <w:t>- расширение корреспондентской сети и международных расчетов, расширение клиентской базы;</w:t>
      </w:r>
    </w:p>
    <w:p w:rsidR="00EB5A4F" w:rsidRDefault="00EB5A4F" w:rsidP="002646CF">
      <w:pPr>
        <w:ind w:firstLine="708"/>
        <w:rPr>
          <w:sz w:val="28"/>
        </w:rPr>
      </w:pPr>
      <w:r>
        <w:rPr>
          <w:sz w:val="28"/>
        </w:rPr>
        <w:t>- сохранение рыночных позиций в регионах присутствия;</w:t>
      </w:r>
    </w:p>
    <w:p w:rsidR="00EB5A4F" w:rsidRDefault="00EB5A4F" w:rsidP="002646CF">
      <w:pPr>
        <w:ind w:firstLine="708"/>
        <w:rPr>
          <w:sz w:val="28"/>
        </w:rPr>
      </w:pPr>
      <w:r>
        <w:rPr>
          <w:sz w:val="28"/>
        </w:rPr>
        <w:t>- повышение эффективности деятельности банка;</w:t>
      </w:r>
    </w:p>
    <w:p w:rsidR="00EB5A4F" w:rsidRDefault="00EB5A4F" w:rsidP="002646CF">
      <w:pPr>
        <w:ind w:firstLine="708"/>
        <w:rPr>
          <w:sz w:val="28"/>
        </w:rPr>
      </w:pPr>
      <w:r>
        <w:rPr>
          <w:sz w:val="28"/>
        </w:rPr>
        <w:t>- соответствие банка регулятивным требованиям со стороны законодательных органов, ЦБ РФ и других контрагентов.</w:t>
      </w:r>
    </w:p>
    <w:p w:rsidR="00EB5A4F" w:rsidRDefault="00EB5A4F" w:rsidP="002646CF">
      <w:pPr>
        <w:ind w:firstLine="709"/>
        <w:rPr>
          <w:iCs/>
          <w:sz w:val="28"/>
          <w:szCs w:val="28"/>
        </w:rPr>
      </w:pPr>
    </w:p>
    <w:p w:rsidR="00EB5A4F" w:rsidRDefault="00EB5A4F" w:rsidP="002646CF">
      <w:pPr>
        <w:pStyle w:val="1"/>
        <w:tabs>
          <w:tab w:val="left" w:pos="3380"/>
        </w:tabs>
        <w:ind w:firstLine="709"/>
        <w:rPr>
          <w:rFonts w:ascii="Times New Roman" w:hAnsi="Times New Roman" w:cs="Times New Roman"/>
          <w:sz w:val="28"/>
          <w:szCs w:val="28"/>
        </w:rPr>
      </w:pPr>
      <w:bookmarkStart w:id="7" w:name="_Toc246960760"/>
      <w:bookmarkStart w:id="8" w:name="_Toc246960675"/>
      <w:bookmarkStart w:id="9" w:name="_Toc245496531"/>
      <w:bookmarkStart w:id="10" w:name="_Toc245278929"/>
      <w:bookmarkStart w:id="11" w:name="_Toc245199334"/>
      <w:bookmarkStart w:id="12" w:name="_Toc245017585"/>
      <w:bookmarkStart w:id="13" w:name="_Toc245017449"/>
      <w:r>
        <w:rPr>
          <w:rFonts w:ascii="Times New Roman" w:hAnsi="Times New Roman" w:cs="Times New Roman"/>
          <w:sz w:val="28"/>
          <w:szCs w:val="28"/>
        </w:rPr>
        <w:t>2.2 Сущность и формы проведения пассивных операций в ОАО ФСКБ «Примсоцбанк»</w:t>
      </w:r>
      <w:bookmarkEnd w:id="7"/>
      <w:bookmarkEnd w:id="8"/>
      <w:bookmarkEnd w:id="9"/>
      <w:bookmarkEnd w:id="10"/>
      <w:bookmarkEnd w:id="11"/>
      <w:bookmarkEnd w:id="12"/>
      <w:bookmarkEnd w:id="13"/>
    </w:p>
    <w:p w:rsidR="00EB5A4F" w:rsidRDefault="00EB5A4F" w:rsidP="002646CF">
      <w:pPr>
        <w:ind w:firstLine="709"/>
        <w:rPr>
          <w:sz w:val="28"/>
          <w:szCs w:val="28"/>
          <w:lang w:eastAsia="en-US"/>
        </w:rPr>
      </w:pPr>
    </w:p>
    <w:p w:rsidR="00EB5A4F" w:rsidRDefault="00EB5A4F" w:rsidP="002646CF">
      <w:pPr>
        <w:ind w:firstLine="709"/>
        <w:rPr>
          <w:sz w:val="28"/>
          <w:szCs w:val="28"/>
        </w:rPr>
      </w:pPr>
      <w:r>
        <w:rPr>
          <w:sz w:val="28"/>
          <w:szCs w:val="28"/>
        </w:rPr>
        <w:t>Основными финансовыми инструментами привлечения средств  клиентов являются  депозиты и долговые обязательства-векселя банка.</w:t>
      </w:r>
    </w:p>
    <w:p w:rsidR="00EB5A4F" w:rsidRDefault="00EB5A4F" w:rsidP="002646CF">
      <w:pPr>
        <w:ind w:firstLine="709"/>
        <w:rPr>
          <w:b/>
          <w:sz w:val="28"/>
          <w:szCs w:val="28"/>
          <w:lang w:eastAsia="en-US"/>
        </w:rPr>
      </w:pPr>
      <w:r>
        <w:rPr>
          <w:b/>
          <w:sz w:val="28"/>
          <w:szCs w:val="28"/>
          <w:lang w:eastAsia="en-US"/>
        </w:rPr>
        <w:t xml:space="preserve">2.2.1 Векселя </w:t>
      </w:r>
      <w:r>
        <w:rPr>
          <w:b/>
          <w:sz w:val="28"/>
          <w:szCs w:val="28"/>
        </w:rPr>
        <w:t>ОАО ФСКБ «Примсоцбанк»</w:t>
      </w:r>
      <w:r>
        <w:rPr>
          <w:b/>
          <w:sz w:val="28"/>
          <w:szCs w:val="28"/>
          <w:lang w:eastAsia="en-US"/>
        </w:rPr>
        <w:t>.</w:t>
      </w:r>
    </w:p>
    <w:p w:rsidR="00EB5A4F" w:rsidRDefault="00EB5A4F" w:rsidP="002646CF">
      <w:pPr>
        <w:ind w:firstLine="709"/>
        <w:rPr>
          <w:sz w:val="28"/>
          <w:szCs w:val="28"/>
        </w:rPr>
      </w:pPr>
      <w:r>
        <w:rPr>
          <w:sz w:val="28"/>
          <w:szCs w:val="28"/>
        </w:rPr>
        <w:t>Векселя Примсоцбанка — удобный инвестиционный инструмент, выгодное и надежное вложение свободных средств, дающее держателям ряд преимуществ по сравнению с другими видами ценных бумаг.</w:t>
      </w:r>
    </w:p>
    <w:p w:rsidR="00EB5A4F" w:rsidRDefault="00EB5A4F" w:rsidP="002646CF">
      <w:pPr>
        <w:ind w:firstLine="709"/>
        <w:rPr>
          <w:sz w:val="28"/>
          <w:szCs w:val="28"/>
        </w:rPr>
      </w:pPr>
      <w:r>
        <w:rPr>
          <w:sz w:val="28"/>
          <w:szCs w:val="28"/>
        </w:rPr>
        <w:t>1. Ликвидность.</w:t>
      </w:r>
    </w:p>
    <w:p w:rsidR="00EB5A4F" w:rsidRDefault="00EB5A4F" w:rsidP="002646CF">
      <w:pPr>
        <w:ind w:firstLine="709"/>
        <w:rPr>
          <w:sz w:val="28"/>
          <w:szCs w:val="28"/>
        </w:rPr>
      </w:pPr>
      <w:r>
        <w:rPr>
          <w:sz w:val="28"/>
          <w:szCs w:val="28"/>
        </w:rPr>
        <w:t>Вексель является ценной бумагой, и в случае необходимости его можно продать на фондовом рынке или заложить в банк. Денежный эквивалент векселя можно получить в максимально короткие сроки.</w:t>
      </w:r>
    </w:p>
    <w:p w:rsidR="00EB5A4F" w:rsidRDefault="00EB5A4F" w:rsidP="002646CF">
      <w:pPr>
        <w:ind w:firstLine="709"/>
        <w:rPr>
          <w:sz w:val="28"/>
          <w:szCs w:val="28"/>
        </w:rPr>
      </w:pPr>
      <w:r>
        <w:rPr>
          <w:sz w:val="28"/>
          <w:szCs w:val="28"/>
        </w:rPr>
        <w:t>2. Простота расчетов</w:t>
      </w:r>
    </w:p>
    <w:p w:rsidR="00EB5A4F" w:rsidRDefault="00EB5A4F" w:rsidP="002646CF">
      <w:pPr>
        <w:ind w:firstLine="709"/>
        <w:rPr>
          <w:sz w:val="28"/>
          <w:szCs w:val="28"/>
        </w:rPr>
      </w:pPr>
      <w:r>
        <w:rPr>
          <w:sz w:val="28"/>
          <w:szCs w:val="28"/>
        </w:rPr>
        <w:t>Используемые в расчетах векселя могут индоссироваться неоднократно, таким образом, значительно упрощается процедура оплаты товаров и услуг поставщиков.</w:t>
      </w:r>
    </w:p>
    <w:p w:rsidR="00EB5A4F" w:rsidRDefault="00EB5A4F" w:rsidP="002646CF">
      <w:pPr>
        <w:ind w:firstLine="709"/>
        <w:rPr>
          <w:sz w:val="28"/>
          <w:szCs w:val="28"/>
        </w:rPr>
      </w:pPr>
      <w:r>
        <w:rPr>
          <w:sz w:val="28"/>
          <w:szCs w:val="28"/>
        </w:rPr>
        <w:t>3. Доходность</w:t>
      </w:r>
    </w:p>
    <w:p w:rsidR="00EB5A4F" w:rsidRDefault="00EB5A4F" w:rsidP="002646CF">
      <w:pPr>
        <w:ind w:firstLine="709"/>
        <w:rPr>
          <w:sz w:val="28"/>
          <w:szCs w:val="28"/>
        </w:rPr>
      </w:pPr>
      <w:r>
        <w:rPr>
          <w:sz w:val="28"/>
          <w:szCs w:val="28"/>
        </w:rPr>
        <w:t>Процентная ставка по срочным («депозитным») векселям соответствует ставкам по обычным депозитам банка.</w:t>
      </w:r>
    </w:p>
    <w:p w:rsidR="00EB5A4F" w:rsidRDefault="00EB5A4F" w:rsidP="002646CF">
      <w:pPr>
        <w:ind w:firstLine="709"/>
        <w:rPr>
          <w:sz w:val="28"/>
          <w:szCs w:val="28"/>
        </w:rPr>
      </w:pPr>
      <w:r>
        <w:rPr>
          <w:sz w:val="28"/>
          <w:szCs w:val="28"/>
        </w:rPr>
        <w:t>4. Безопасность</w:t>
      </w:r>
    </w:p>
    <w:p w:rsidR="00EB5A4F" w:rsidRDefault="00EB5A4F" w:rsidP="002646CF">
      <w:pPr>
        <w:ind w:firstLine="709"/>
        <w:rPr>
          <w:sz w:val="28"/>
          <w:szCs w:val="28"/>
        </w:rPr>
      </w:pPr>
      <w:r>
        <w:rPr>
          <w:sz w:val="28"/>
          <w:szCs w:val="28"/>
        </w:rPr>
        <w:t>Поставщик избегает риска неплатежа со стороны покупателя, поскольку ответственность по платежу берет на себя банк.</w:t>
      </w:r>
    </w:p>
    <w:p w:rsidR="00EB5A4F" w:rsidRDefault="00EB5A4F" w:rsidP="002646CF">
      <w:pPr>
        <w:ind w:firstLine="709"/>
        <w:rPr>
          <w:sz w:val="28"/>
          <w:szCs w:val="28"/>
        </w:rPr>
      </w:pPr>
      <w:r>
        <w:rPr>
          <w:sz w:val="28"/>
          <w:szCs w:val="28"/>
        </w:rPr>
        <w:t>5. Дополнительные возможности</w:t>
      </w:r>
    </w:p>
    <w:p w:rsidR="00EB5A4F" w:rsidRDefault="00EB5A4F" w:rsidP="002646CF">
      <w:pPr>
        <w:ind w:firstLine="709"/>
        <w:rPr>
          <w:sz w:val="28"/>
          <w:szCs w:val="28"/>
        </w:rPr>
      </w:pPr>
      <w:r>
        <w:rPr>
          <w:sz w:val="28"/>
          <w:szCs w:val="28"/>
        </w:rPr>
        <w:t>Используя векселя, предприятие-покупатель может рассчитывать на отсрочку платежа. Предприятие-поставщик может получить в банке денежный кредит под залог находящихся у него векселей. Оформление кредита производится по упрощенной технологии.</w:t>
      </w:r>
    </w:p>
    <w:p w:rsidR="00EB5A4F" w:rsidRDefault="00EB5A4F" w:rsidP="002646CF">
      <w:pPr>
        <w:ind w:firstLine="709"/>
        <w:rPr>
          <w:sz w:val="28"/>
          <w:szCs w:val="28"/>
          <w:lang w:eastAsia="en-US"/>
        </w:rPr>
      </w:pPr>
      <w:r>
        <w:rPr>
          <w:sz w:val="28"/>
          <w:szCs w:val="28"/>
        </w:rPr>
        <w:t>Законодательной основой вексельного обращения в Российской федерации в настоящие время является Федеральный закон «О переводном и простом векселе»</w:t>
      </w:r>
      <w:r>
        <w:rPr>
          <w:rStyle w:val="a5"/>
          <w:sz w:val="28"/>
          <w:szCs w:val="28"/>
        </w:rPr>
        <w:footnoteReference w:id="1"/>
      </w:r>
      <w:r>
        <w:rPr>
          <w:sz w:val="28"/>
          <w:szCs w:val="28"/>
        </w:rPr>
        <w:t>.</w:t>
      </w:r>
    </w:p>
    <w:p w:rsidR="00EB5A4F" w:rsidRDefault="00EB5A4F" w:rsidP="002646CF">
      <w:pPr>
        <w:ind w:firstLine="709"/>
        <w:rPr>
          <w:sz w:val="28"/>
          <w:szCs w:val="28"/>
          <w:lang w:eastAsia="en-US"/>
        </w:rPr>
      </w:pPr>
      <w:r>
        <w:rPr>
          <w:sz w:val="28"/>
          <w:szCs w:val="28"/>
          <w:lang w:eastAsia="en-US"/>
        </w:rPr>
        <w:t>Вексель Примсоцбанка — это:</w:t>
      </w:r>
    </w:p>
    <w:p w:rsidR="00EB5A4F" w:rsidRDefault="00EB5A4F" w:rsidP="002646CF">
      <w:pPr>
        <w:ind w:firstLine="709"/>
        <w:rPr>
          <w:sz w:val="28"/>
          <w:szCs w:val="28"/>
          <w:lang w:eastAsia="en-US"/>
        </w:rPr>
      </w:pPr>
      <w:r>
        <w:rPr>
          <w:sz w:val="28"/>
          <w:szCs w:val="28"/>
          <w:lang w:eastAsia="en-US"/>
        </w:rPr>
        <w:t>- универсальное платежное средство, позволяющее проводить расчеты с партнерами;</w:t>
      </w:r>
    </w:p>
    <w:p w:rsidR="00EB5A4F" w:rsidRDefault="00EB5A4F" w:rsidP="002646CF">
      <w:pPr>
        <w:ind w:firstLine="709"/>
        <w:rPr>
          <w:sz w:val="28"/>
          <w:szCs w:val="28"/>
          <w:lang w:eastAsia="en-US"/>
        </w:rPr>
      </w:pPr>
      <w:r>
        <w:rPr>
          <w:sz w:val="28"/>
          <w:szCs w:val="28"/>
          <w:lang w:eastAsia="en-US"/>
        </w:rPr>
        <w:t>- средство накопления, обеспечивающее стабильный доход;</w:t>
      </w:r>
    </w:p>
    <w:p w:rsidR="00EB5A4F" w:rsidRDefault="00EB5A4F" w:rsidP="002646CF">
      <w:pPr>
        <w:ind w:firstLine="709"/>
        <w:rPr>
          <w:sz w:val="28"/>
          <w:szCs w:val="28"/>
          <w:lang w:eastAsia="en-US"/>
        </w:rPr>
      </w:pPr>
      <w:r>
        <w:rPr>
          <w:sz w:val="28"/>
          <w:szCs w:val="28"/>
          <w:lang w:eastAsia="en-US"/>
        </w:rPr>
        <w:t>- высоко ликвидная ценная бумага;</w:t>
      </w:r>
    </w:p>
    <w:p w:rsidR="00EB5A4F" w:rsidRDefault="00EB5A4F" w:rsidP="002646CF">
      <w:pPr>
        <w:ind w:firstLine="709"/>
        <w:rPr>
          <w:sz w:val="28"/>
          <w:szCs w:val="28"/>
          <w:lang w:eastAsia="en-US"/>
        </w:rPr>
      </w:pPr>
      <w:r>
        <w:rPr>
          <w:sz w:val="28"/>
          <w:szCs w:val="28"/>
          <w:lang w:eastAsia="en-US"/>
        </w:rPr>
        <w:t>- надежное средство обеспечения при получении кредитов и гарантий.</w:t>
      </w:r>
    </w:p>
    <w:p w:rsidR="00EB5A4F" w:rsidRDefault="00EB5A4F" w:rsidP="002646CF">
      <w:pPr>
        <w:ind w:firstLine="709"/>
        <w:rPr>
          <w:sz w:val="28"/>
          <w:szCs w:val="28"/>
          <w:lang w:eastAsia="en-US"/>
        </w:rPr>
      </w:pPr>
      <w:r>
        <w:rPr>
          <w:sz w:val="28"/>
          <w:szCs w:val="28"/>
          <w:lang w:eastAsia="en-US"/>
        </w:rPr>
        <w:t>Банк выпускает простые процентные и дисконтные векселя в рублях и в иностранной валюте (долларах США, евро).</w:t>
      </w:r>
    </w:p>
    <w:p w:rsidR="00EB5A4F" w:rsidRDefault="00EB5A4F" w:rsidP="002646CF">
      <w:pPr>
        <w:ind w:firstLine="709"/>
        <w:rPr>
          <w:sz w:val="28"/>
          <w:szCs w:val="28"/>
          <w:lang w:eastAsia="en-US"/>
        </w:rPr>
      </w:pPr>
      <w:r>
        <w:rPr>
          <w:sz w:val="28"/>
          <w:szCs w:val="28"/>
          <w:lang w:eastAsia="en-US"/>
        </w:rPr>
        <w:t>Простой процентный вексель продается по номиналу, при наступлении срока погашения на номинальную стоимость начисляются проценты.</w:t>
      </w:r>
    </w:p>
    <w:p w:rsidR="00EB5A4F" w:rsidRDefault="00EB5A4F" w:rsidP="002646CF">
      <w:pPr>
        <w:ind w:firstLine="709"/>
        <w:rPr>
          <w:sz w:val="28"/>
          <w:szCs w:val="28"/>
          <w:lang w:eastAsia="en-US"/>
        </w:rPr>
      </w:pPr>
      <w:r>
        <w:rPr>
          <w:sz w:val="28"/>
          <w:szCs w:val="28"/>
          <w:lang w:eastAsia="en-US"/>
        </w:rPr>
        <w:t>Простой дисконтный вексель продается по номинальной стоимости за минусом дисконта.</w:t>
      </w:r>
    </w:p>
    <w:p w:rsidR="00EB5A4F" w:rsidRDefault="00EB5A4F" w:rsidP="002646CF">
      <w:pPr>
        <w:ind w:firstLine="709"/>
        <w:rPr>
          <w:sz w:val="28"/>
          <w:szCs w:val="28"/>
          <w:lang w:eastAsia="en-US"/>
        </w:rPr>
      </w:pPr>
      <w:r>
        <w:rPr>
          <w:sz w:val="28"/>
          <w:szCs w:val="28"/>
          <w:lang w:eastAsia="en-US"/>
        </w:rPr>
        <w:t>Доход образуется в виде разницы между номинальной стоимостью и ценой приобретения.</w:t>
      </w:r>
    </w:p>
    <w:p w:rsidR="00EB5A4F" w:rsidRDefault="00EB5A4F" w:rsidP="002646CF">
      <w:pPr>
        <w:ind w:firstLine="709"/>
        <w:rPr>
          <w:sz w:val="28"/>
          <w:szCs w:val="28"/>
          <w:lang w:eastAsia="en-US"/>
        </w:rPr>
      </w:pPr>
      <w:r>
        <w:rPr>
          <w:sz w:val="28"/>
          <w:szCs w:val="28"/>
          <w:lang w:eastAsia="en-US"/>
        </w:rPr>
        <w:t>Банк выпускает векселя со следующими сроками платежа:</w:t>
      </w:r>
    </w:p>
    <w:p w:rsidR="00EB5A4F" w:rsidRDefault="00EB5A4F" w:rsidP="002646CF">
      <w:pPr>
        <w:ind w:firstLine="709"/>
        <w:rPr>
          <w:sz w:val="28"/>
          <w:szCs w:val="28"/>
          <w:lang w:eastAsia="en-US"/>
        </w:rPr>
      </w:pPr>
      <w:r>
        <w:rPr>
          <w:sz w:val="28"/>
          <w:szCs w:val="28"/>
          <w:lang w:eastAsia="en-US"/>
        </w:rPr>
        <w:t>- по предъявлении;</w:t>
      </w:r>
    </w:p>
    <w:p w:rsidR="00EB5A4F" w:rsidRDefault="00EB5A4F" w:rsidP="002646CF">
      <w:pPr>
        <w:ind w:firstLine="709"/>
        <w:rPr>
          <w:sz w:val="28"/>
          <w:szCs w:val="28"/>
          <w:lang w:eastAsia="en-US"/>
        </w:rPr>
      </w:pPr>
      <w:r>
        <w:rPr>
          <w:sz w:val="28"/>
          <w:szCs w:val="28"/>
          <w:lang w:eastAsia="en-US"/>
        </w:rPr>
        <w:t>- по предъявлении, но не ранее указанного срока;</w:t>
      </w:r>
    </w:p>
    <w:p w:rsidR="00EB5A4F" w:rsidRDefault="00EB5A4F" w:rsidP="002646CF">
      <w:pPr>
        <w:ind w:firstLine="709"/>
        <w:rPr>
          <w:sz w:val="28"/>
          <w:szCs w:val="28"/>
          <w:lang w:eastAsia="en-US"/>
        </w:rPr>
      </w:pPr>
      <w:r>
        <w:rPr>
          <w:sz w:val="28"/>
          <w:szCs w:val="28"/>
          <w:lang w:eastAsia="en-US"/>
        </w:rPr>
        <w:t>- по предъявлении, но не ранее и не позднее указанных сроков;</w:t>
      </w:r>
    </w:p>
    <w:p w:rsidR="00EB5A4F" w:rsidRDefault="00EB5A4F" w:rsidP="002646CF">
      <w:pPr>
        <w:ind w:firstLine="709"/>
        <w:rPr>
          <w:sz w:val="28"/>
          <w:szCs w:val="28"/>
          <w:lang w:eastAsia="en-US"/>
        </w:rPr>
      </w:pPr>
      <w:r>
        <w:rPr>
          <w:sz w:val="28"/>
          <w:szCs w:val="28"/>
          <w:lang w:eastAsia="en-US"/>
        </w:rPr>
        <w:t>- по предъявлении, но не позднее указанного срока;</w:t>
      </w:r>
    </w:p>
    <w:p w:rsidR="00EB5A4F" w:rsidRDefault="00EB5A4F" w:rsidP="002646CF">
      <w:pPr>
        <w:ind w:firstLine="709"/>
        <w:rPr>
          <w:sz w:val="28"/>
          <w:szCs w:val="28"/>
          <w:lang w:eastAsia="en-US"/>
        </w:rPr>
      </w:pPr>
      <w:r>
        <w:rPr>
          <w:sz w:val="28"/>
          <w:szCs w:val="28"/>
          <w:lang w:eastAsia="en-US"/>
        </w:rPr>
        <w:t>- во столько — то времени от составления;</w:t>
      </w:r>
    </w:p>
    <w:p w:rsidR="00EB5A4F" w:rsidRDefault="00EB5A4F" w:rsidP="002646CF">
      <w:pPr>
        <w:ind w:firstLine="709"/>
        <w:rPr>
          <w:sz w:val="28"/>
          <w:szCs w:val="28"/>
          <w:lang w:eastAsia="en-US"/>
        </w:rPr>
      </w:pPr>
      <w:r>
        <w:rPr>
          <w:sz w:val="28"/>
          <w:szCs w:val="28"/>
          <w:lang w:eastAsia="en-US"/>
        </w:rPr>
        <w:t>- во столько — то времени от предъявления;</w:t>
      </w:r>
    </w:p>
    <w:p w:rsidR="00EB5A4F" w:rsidRDefault="00EB5A4F" w:rsidP="002646CF">
      <w:pPr>
        <w:ind w:firstLine="709"/>
        <w:rPr>
          <w:sz w:val="28"/>
          <w:szCs w:val="28"/>
          <w:lang w:eastAsia="en-US"/>
        </w:rPr>
      </w:pPr>
      <w:r>
        <w:rPr>
          <w:sz w:val="28"/>
          <w:szCs w:val="28"/>
          <w:lang w:eastAsia="en-US"/>
        </w:rPr>
        <w:t>- на определенную дату.</w:t>
      </w:r>
    </w:p>
    <w:p w:rsidR="00EB5A4F" w:rsidRDefault="00EB5A4F" w:rsidP="002646CF">
      <w:pPr>
        <w:ind w:firstLine="709"/>
        <w:rPr>
          <w:sz w:val="28"/>
          <w:szCs w:val="28"/>
          <w:lang w:eastAsia="en-US"/>
        </w:rPr>
      </w:pPr>
      <w:r>
        <w:rPr>
          <w:sz w:val="28"/>
          <w:szCs w:val="28"/>
          <w:lang w:eastAsia="en-US"/>
        </w:rPr>
        <w:t>Векселя выпускаются на бланках, изготовленных типографским способом. Бланки отвечают техническим требованиям к бланкам ценных бумаг и обладают надежными признаками защиты.</w:t>
      </w:r>
    </w:p>
    <w:p w:rsidR="00EB5A4F" w:rsidRDefault="00EB5A4F" w:rsidP="002646CF">
      <w:pPr>
        <w:ind w:firstLine="709"/>
        <w:rPr>
          <w:sz w:val="28"/>
          <w:szCs w:val="28"/>
          <w:lang w:eastAsia="en-US"/>
        </w:rPr>
      </w:pPr>
      <w:r>
        <w:rPr>
          <w:sz w:val="28"/>
          <w:szCs w:val="28"/>
        </w:rPr>
        <w:t>Приобрести вексель может как физическое, так и юридическое лицо, причем вам не обязательно иметь расчетный счет в Примсоцбанке. Операции с собственными векселями банка проводятся во всех его филиалах и отделениях.</w:t>
      </w:r>
    </w:p>
    <w:p w:rsidR="00EB5A4F" w:rsidRDefault="00EB5A4F" w:rsidP="002646CF">
      <w:pPr>
        <w:ind w:firstLine="709"/>
        <w:rPr>
          <w:sz w:val="28"/>
          <w:szCs w:val="28"/>
          <w:lang w:eastAsia="en-US"/>
        </w:rPr>
      </w:pPr>
      <w:r>
        <w:rPr>
          <w:sz w:val="28"/>
          <w:szCs w:val="28"/>
          <w:lang w:eastAsia="en-US"/>
        </w:rPr>
        <w:t>Доходность по векселям устанавливается в зависимости от срока и номинальной стоимости приобретаемого векселя в соответствии с действующими на дату заключения договора ставками размещения денежных средств для юридических лиц в депозиты и векселя.</w:t>
      </w:r>
    </w:p>
    <w:p w:rsidR="00EB5A4F" w:rsidRDefault="00EB5A4F" w:rsidP="002646CF">
      <w:pPr>
        <w:ind w:firstLine="709"/>
        <w:rPr>
          <w:b/>
          <w:sz w:val="28"/>
          <w:szCs w:val="28"/>
          <w:lang w:eastAsia="en-US"/>
        </w:rPr>
      </w:pPr>
      <w:r>
        <w:rPr>
          <w:b/>
          <w:sz w:val="28"/>
          <w:szCs w:val="28"/>
          <w:lang w:eastAsia="en-US"/>
        </w:rPr>
        <w:t>2.2.2 Депозиты в Примсоцбанке.</w:t>
      </w:r>
    </w:p>
    <w:p w:rsidR="00EB5A4F" w:rsidRDefault="00EB5A4F" w:rsidP="002646CF">
      <w:pPr>
        <w:ind w:firstLine="708"/>
        <w:rPr>
          <w:sz w:val="28"/>
          <w:szCs w:val="28"/>
        </w:rPr>
      </w:pPr>
      <w:r>
        <w:rPr>
          <w:sz w:val="28"/>
          <w:szCs w:val="28"/>
        </w:rPr>
        <w:t xml:space="preserve">Вклады — простой и надежный способ сохранения и приумножения денежных средств, проверенный временем и защищенный государством. Набор депозитных предложений «Примсоцбанка» рассчитан на самых требовательных вкладчиков — здесь каждый сможет найти подходящее для себя решение. </w:t>
      </w:r>
    </w:p>
    <w:p w:rsidR="00EB5A4F" w:rsidRDefault="00EB5A4F" w:rsidP="002646CF">
      <w:pPr>
        <w:rPr>
          <w:sz w:val="28"/>
          <w:szCs w:val="28"/>
        </w:rPr>
      </w:pPr>
      <w:r>
        <w:rPr>
          <w:sz w:val="28"/>
          <w:szCs w:val="28"/>
        </w:rPr>
        <w:t xml:space="preserve">          Для частных лиц -вклады в рублях и иностранной валюте (таблица3 ):</w:t>
      </w:r>
    </w:p>
    <w:p w:rsidR="00EB5A4F" w:rsidRDefault="00EB5A4F" w:rsidP="002646CF">
      <w:pPr>
        <w:ind w:firstLine="708"/>
        <w:rPr>
          <w:sz w:val="28"/>
        </w:rPr>
      </w:pPr>
      <w:r>
        <w:rPr>
          <w:sz w:val="28"/>
        </w:rPr>
        <w:t>Для малого и среднего бизнеса:</w:t>
      </w:r>
    </w:p>
    <w:p w:rsidR="00EB5A4F" w:rsidRDefault="00EB5A4F" w:rsidP="002646CF">
      <w:pPr>
        <w:ind w:firstLine="708"/>
        <w:rPr>
          <w:sz w:val="28"/>
        </w:rPr>
      </w:pPr>
      <w:r>
        <w:rPr>
          <w:sz w:val="28"/>
        </w:rPr>
        <w:t>Временно свободные денежные средства, размещённые на депозитных счетах в Примсоцбанке, обеспечивают клиентам стабильный дополнительный доход. При заключении договора банк старается учесть все потребности и пожелания клиента.</w:t>
      </w:r>
    </w:p>
    <w:p w:rsidR="00EB5A4F" w:rsidRDefault="00EB5A4F" w:rsidP="00DC4BC1">
      <w:pPr>
        <w:ind w:firstLine="708"/>
        <w:rPr>
          <w:sz w:val="24"/>
          <w:szCs w:val="24"/>
        </w:rPr>
      </w:pPr>
      <w:r>
        <w:rPr>
          <w:sz w:val="28"/>
        </w:rPr>
        <w:t>Открыть депозитный счет могут как юридические лица, так и индивидуальные предприниматели, в том числе не являющиеся резидентами РФ.</w:t>
      </w:r>
    </w:p>
    <w:p w:rsidR="00EB5A4F" w:rsidRDefault="00EB5A4F" w:rsidP="002646CF">
      <w:pP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3</w:t>
      </w:r>
    </w:p>
    <w:p w:rsidR="00EB5A4F" w:rsidRDefault="00EB5A4F" w:rsidP="002646CF">
      <w:pPr>
        <w:jc w:val="center"/>
        <w:rPr>
          <w:sz w:val="24"/>
          <w:szCs w:val="24"/>
        </w:rPr>
      </w:pPr>
      <w:r>
        <w:rPr>
          <w:sz w:val="24"/>
          <w:szCs w:val="24"/>
        </w:rPr>
        <w:t>Вклады в рублях и иностранной валюте в «Примсоцбанке»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1"/>
        <w:gridCol w:w="1467"/>
        <w:gridCol w:w="1067"/>
        <w:gridCol w:w="967"/>
        <w:gridCol w:w="1193"/>
        <w:gridCol w:w="1593"/>
      </w:tblGrid>
      <w:tr w:rsidR="00EB5A4F" w:rsidTr="00DC4BC1">
        <w:trPr>
          <w:tblHeader/>
          <w:tblCellSpacing w:w="15" w:type="dxa"/>
        </w:trPr>
        <w:tc>
          <w:tcPr>
            <w:tcW w:w="3416" w:type="dxa"/>
            <w:tcMar>
              <w:top w:w="15" w:type="dxa"/>
              <w:left w:w="15" w:type="dxa"/>
              <w:bottom w:w="15" w:type="dxa"/>
              <w:right w:w="15" w:type="dxa"/>
            </w:tcMar>
            <w:vAlign w:val="center"/>
          </w:tcPr>
          <w:p w:rsidR="00EB5A4F" w:rsidRDefault="00EB5A4F" w:rsidP="00DC4BC1">
            <w:pPr>
              <w:rPr>
                <w:sz w:val="24"/>
                <w:szCs w:val="24"/>
              </w:rPr>
            </w:pPr>
            <w:r>
              <w:rPr>
                <w:sz w:val="24"/>
                <w:szCs w:val="24"/>
              </w:rPr>
              <w:t>Название вклада</w:t>
            </w:r>
          </w:p>
        </w:tc>
        <w:tc>
          <w:tcPr>
            <w:tcW w:w="1437" w:type="dxa"/>
            <w:tcMar>
              <w:top w:w="15" w:type="dxa"/>
              <w:left w:w="15" w:type="dxa"/>
              <w:bottom w:w="15" w:type="dxa"/>
              <w:right w:w="15" w:type="dxa"/>
            </w:tcMar>
            <w:vAlign w:val="center"/>
          </w:tcPr>
          <w:p w:rsidR="00EB5A4F" w:rsidRDefault="00EB5A4F" w:rsidP="00DC4BC1">
            <w:pPr>
              <w:rPr>
                <w:sz w:val="24"/>
                <w:szCs w:val="24"/>
              </w:rPr>
            </w:pPr>
            <w:r>
              <w:rPr>
                <w:sz w:val="24"/>
                <w:szCs w:val="24"/>
              </w:rPr>
              <w:t>Минимальная сумма</w:t>
            </w:r>
          </w:p>
        </w:tc>
        <w:tc>
          <w:tcPr>
            <w:tcW w:w="1037" w:type="dxa"/>
            <w:tcMar>
              <w:top w:w="15" w:type="dxa"/>
              <w:left w:w="15" w:type="dxa"/>
              <w:bottom w:w="15" w:type="dxa"/>
              <w:right w:w="15" w:type="dxa"/>
            </w:tcMar>
            <w:vAlign w:val="center"/>
          </w:tcPr>
          <w:p w:rsidR="00EB5A4F" w:rsidRDefault="00EB5A4F" w:rsidP="00DC4BC1">
            <w:pPr>
              <w:rPr>
                <w:sz w:val="24"/>
                <w:szCs w:val="24"/>
              </w:rPr>
            </w:pPr>
            <w:r>
              <w:rPr>
                <w:sz w:val="24"/>
                <w:szCs w:val="24"/>
              </w:rPr>
              <w:t>Пополнение</w:t>
            </w:r>
          </w:p>
        </w:tc>
        <w:tc>
          <w:tcPr>
            <w:tcW w:w="937" w:type="dxa"/>
            <w:tcMar>
              <w:top w:w="15" w:type="dxa"/>
              <w:left w:w="15" w:type="dxa"/>
              <w:bottom w:w="15" w:type="dxa"/>
              <w:right w:w="15" w:type="dxa"/>
            </w:tcMar>
            <w:vAlign w:val="center"/>
          </w:tcPr>
          <w:p w:rsidR="00EB5A4F" w:rsidRDefault="00EB5A4F" w:rsidP="00DC4BC1">
            <w:pPr>
              <w:rPr>
                <w:sz w:val="24"/>
                <w:szCs w:val="24"/>
              </w:rPr>
            </w:pPr>
            <w:r>
              <w:rPr>
                <w:sz w:val="24"/>
                <w:szCs w:val="24"/>
              </w:rPr>
              <w:t>Снятие</w:t>
            </w:r>
          </w:p>
        </w:tc>
        <w:tc>
          <w:tcPr>
            <w:tcW w:w="1163" w:type="dxa"/>
            <w:tcMar>
              <w:top w:w="15" w:type="dxa"/>
              <w:left w:w="15" w:type="dxa"/>
              <w:bottom w:w="15" w:type="dxa"/>
              <w:right w:w="15" w:type="dxa"/>
            </w:tcMar>
            <w:vAlign w:val="center"/>
          </w:tcPr>
          <w:p w:rsidR="00EB5A4F" w:rsidRDefault="00EB5A4F" w:rsidP="00DC4BC1">
            <w:pPr>
              <w:rPr>
                <w:sz w:val="24"/>
                <w:szCs w:val="24"/>
              </w:rPr>
            </w:pPr>
            <w:r>
              <w:rPr>
                <w:sz w:val="24"/>
                <w:szCs w:val="24"/>
              </w:rPr>
              <w:t>Проценты</w:t>
            </w:r>
          </w:p>
        </w:tc>
        <w:tc>
          <w:tcPr>
            <w:tcW w:w="1548" w:type="dxa"/>
            <w:tcMar>
              <w:top w:w="15" w:type="dxa"/>
              <w:left w:w="15" w:type="dxa"/>
              <w:bottom w:w="15" w:type="dxa"/>
              <w:right w:w="15" w:type="dxa"/>
            </w:tcMar>
            <w:vAlign w:val="center"/>
          </w:tcPr>
          <w:p w:rsidR="00EB5A4F" w:rsidRDefault="00EB5A4F" w:rsidP="00DC4BC1">
            <w:pPr>
              <w:rPr>
                <w:sz w:val="24"/>
                <w:szCs w:val="24"/>
              </w:rPr>
            </w:pPr>
            <w:r>
              <w:rPr>
                <w:sz w:val="24"/>
                <w:szCs w:val="24"/>
              </w:rPr>
              <w:t>Сроки (дней)</w:t>
            </w:r>
          </w:p>
        </w:tc>
      </w:tr>
      <w:tr w:rsidR="00EB5A4F" w:rsidTr="00DC4BC1">
        <w:trPr>
          <w:tblHeader/>
          <w:tblCellSpacing w:w="15" w:type="dxa"/>
        </w:trPr>
        <w:tc>
          <w:tcPr>
            <w:tcW w:w="3416" w:type="dxa"/>
            <w:tcMar>
              <w:top w:w="15" w:type="dxa"/>
              <w:left w:w="15" w:type="dxa"/>
              <w:bottom w:w="15" w:type="dxa"/>
              <w:right w:w="15" w:type="dxa"/>
            </w:tcMar>
            <w:vAlign w:val="center"/>
          </w:tcPr>
          <w:p w:rsidR="00EB5A4F" w:rsidRDefault="00EB5A4F" w:rsidP="00DC4BC1">
            <w:pPr>
              <w:rPr>
                <w:sz w:val="24"/>
                <w:szCs w:val="24"/>
              </w:rPr>
            </w:pPr>
          </w:p>
        </w:tc>
        <w:tc>
          <w:tcPr>
            <w:tcW w:w="1437" w:type="dxa"/>
            <w:tcMar>
              <w:top w:w="15" w:type="dxa"/>
              <w:left w:w="15" w:type="dxa"/>
              <w:bottom w:w="15" w:type="dxa"/>
              <w:right w:w="15" w:type="dxa"/>
            </w:tcMar>
            <w:vAlign w:val="center"/>
          </w:tcPr>
          <w:p w:rsidR="00EB5A4F" w:rsidRDefault="00EB5A4F" w:rsidP="00DC4BC1">
            <w:pPr>
              <w:rPr>
                <w:sz w:val="24"/>
                <w:szCs w:val="24"/>
              </w:rPr>
            </w:pPr>
          </w:p>
        </w:tc>
        <w:tc>
          <w:tcPr>
            <w:tcW w:w="1037" w:type="dxa"/>
            <w:tcMar>
              <w:top w:w="15" w:type="dxa"/>
              <w:left w:w="15" w:type="dxa"/>
              <w:bottom w:w="15" w:type="dxa"/>
              <w:right w:w="15" w:type="dxa"/>
            </w:tcMar>
            <w:vAlign w:val="center"/>
          </w:tcPr>
          <w:p w:rsidR="00EB5A4F" w:rsidRDefault="00EB5A4F" w:rsidP="00DC4BC1">
            <w:pPr>
              <w:rPr>
                <w:sz w:val="24"/>
                <w:szCs w:val="24"/>
              </w:rPr>
            </w:pPr>
          </w:p>
        </w:tc>
        <w:tc>
          <w:tcPr>
            <w:tcW w:w="937" w:type="dxa"/>
            <w:tcMar>
              <w:top w:w="15" w:type="dxa"/>
              <w:left w:w="15" w:type="dxa"/>
              <w:bottom w:w="15" w:type="dxa"/>
              <w:right w:w="15" w:type="dxa"/>
            </w:tcMar>
            <w:vAlign w:val="center"/>
          </w:tcPr>
          <w:p w:rsidR="00EB5A4F" w:rsidRDefault="00EB5A4F" w:rsidP="00DC4BC1">
            <w:pPr>
              <w:rPr>
                <w:sz w:val="24"/>
                <w:szCs w:val="24"/>
              </w:rPr>
            </w:pPr>
          </w:p>
        </w:tc>
        <w:tc>
          <w:tcPr>
            <w:tcW w:w="1163" w:type="dxa"/>
            <w:tcMar>
              <w:top w:w="15" w:type="dxa"/>
              <w:left w:w="15" w:type="dxa"/>
              <w:bottom w:w="15" w:type="dxa"/>
              <w:right w:w="15" w:type="dxa"/>
            </w:tcMar>
            <w:vAlign w:val="center"/>
          </w:tcPr>
          <w:p w:rsidR="00EB5A4F" w:rsidRDefault="00EB5A4F" w:rsidP="00DC4BC1">
            <w:pPr>
              <w:rPr>
                <w:sz w:val="24"/>
                <w:szCs w:val="24"/>
              </w:rPr>
            </w:pPr>
          </w:p>
        </w:tc>
        <w:tc>
          <w:tcPr>
            <w:tcW w:w="1548" w:type="dxa"/>
            <w:tcMar>
              <w:top w:w="15" w:type="dxa"/>
              <w:left w:w="15" w:type="dxa"/>
              <w:bottom w:w="15" w:type="dxa"/>
              <w:right w:w="15" w:type="dxa"/>
            </w:tcMar>
            <w:vAlign w:val="center"/>
          </w:tcPr>
          <w:p w:rsidR="00EB5A4F" w:rsidRDefault="00EB5A4F" w:rsidP="00DC4BC1">
            <w:pPr>
              <w:rPr>
                <w:sz w:val="24"/>
                <w:szCs w:val="24"/>
              </w:rPr>
            </w:pPr>
          </w:p>
        </w:tc>
      </w:tr>
      <w:tr w:rsidR="00EB5A4F" w:rsidTr="00DC4BC1">
        <w:trPr>
          <w:tblCellSpacing w:w="15" w:type="dxa"/>
        </w:trPr>
        <w:tc>
          <w:tcPr>
            <w:tcW w:w="3416" w:type="dxa"/>
            <w:tcMar>
              <w:top w:w="15" w:type="dxa"/>
              <w:left w:w="15" w:type="dxa"/>
              <w:bottom w:w="15" w:type="dxa"/>
              <w:right w:w="15" w:type="dxa"/>
            </w:tcMar>
            <w:vAlign w:val="center"/>
          </w:tcPr>
          <w:p w:rsidR="00EB5A4F" w:rsidRDefault="00EB5A4F" w:rsidP="00DC4BC1">
            <w:pPr>
              <w:rPr>
                <w:sz w:val="24"/>
                <w:szCs w:val="24"/>
              </w:rPr>
            </w:pPr>
            <w:r w:rsidRPr="002646CF">
              <w:rPr>
                <w:sz w:val="24"/>
                <w:szCs w:val="24"/>
              </w:rPr>
              <w:t>Вклад «Универсальный»</w:t>
            </w:r>
            <w:r>
              <w:rPr>
                <w:rStyle w:val="g-blockt-f-smallt-l20c-bse-t4g-mt-hem"/>
                <w:sz w:val="24"/>
                <w:szCs w:val="24"/>
              </w:rPr>
              <w:t xml:space="preserve">Гибкое решение для управления вашим счетом. Пополнение и снятие денежных средств без ограничений. </w:t>
            </w:r>
          </w:p>
        </w:tc>
        <w:tc>
          <w:tcPr>
            <w:tcW w:w="1437"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10 руб.</w:t>
            </w:r>
            <w:r>
              <w:rPr>
                <w:sz w:val="24"/>
                <w:szCs w:val="24"/>
              </w:rPr>
              <w:br/>
              <w:t>20 USD (EUR)</w:t>
            </w:r>
          </w:p>
        </w:tc>
        <w:tc>
          <w:tcPr>
            <w:tcW w:w="1037" w:type="dxa"/>
            <w:tcMar>
              <w:top w:w="15" w:type="dxa"/>
              <w:left w:w="15" w:type="dxa"/>
              <w:bottom w:w="15" w:type="dxa"/>
              <w:right w:w="15" w:type="dxa"/>
            </w:tcMar>
            <w:vAlign w:val="center"/>
          </w:tcPr>
          <w:p w:rsidR="00EB5A4F" w:rsidRDefault="00EB5A4F" w:rsidP="00DC4BC1">
            <w:pPr>
              <w:jc w:val="left"/>
              <w:rPr>
                <w:sz w:val="24"/>
                <w:szCs w:val="24"/>
              </w:rPr>
            </w:pPr>
            <w:r>
              <w:rPr>
                <w:rStyle w:val="status-yes"/>
                <w:sz w:val="24"/>
                <w:szCs w:val="24"/>
              </w:rPr>
              <w:t>yes</w:t>
            </w:r>
          </w:p>
        </w:tc>
        <w:tc>
          <w:tcPr>
            <w:tcW w:w="937" w:type="dxa"/>
            <w:tcMar>
              <w:top w:w="15" w:type="dxa"/>
              <w:left w:w="15" w:type="dxa"/>
              <w:bottom w:w="15" w:type="dxa"/>
              <w:right w:w="15" w:type="dxa"/>
            </w:tcMar>
            <w:vAlign w:val="center"/>
          </w:tcPr>
          <w:p w:rsidR="00EB5A4F" w:rsidRDefault="00EB5A4F" w:rsidP="00DC4BC1">
            <w:pPr>
              <w:jc w:val="left"/>
              <w:rPr>
                <w:sz w:val="24"/>
                <w:szCs w:val="24"/>
              </w:rPr>
            </w:pPr>
            <w:r>
              <w:rPr>
                <w:rStyle w:val="status-yes"/>
                <w:sz w:val="24"/>
                <w:szCs w:val="24"/>
              </w:rPr>
              <w:t>Yes</w:t>
            </w:r>
          </w:p>
        </w:tc>
        <w:tc>
          <w:tcPr>
            <w:tcW w:w="1163"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от 1,6 до 7,0</w:t>
            </w:r>
          </w:p>
        </w:tc>
        <w:tc>
          <w:tcPr>
            <w:tcW w:w="1548"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в рублях до 1096 дней</w:t>
            </w:r>
            <w:r>
              <w:rPr>
                <w:sz w:val="24"/>
                <w:szCs w:val="24"/>
              </w:rPr>
              <w:br/>
              <w:t>в долларах США и евро 360 дней</w:t>
            </w:r>
          </w:p>
        </w:tc>
      </w:tr>
      <w:tr w:rsidR="00EB5A4F" w:rsidTr="00DC4BC1">
        <w:trPr>
          <w:tblCellSpacing w:w="15" w:type="dxa"/>
        </w:trPr>
        <w:tc>
          <w:tcPr>
            <w:tcW w:w="3416" w:type="dxa"/>
            <w:tcMar>
              <w:top w:w="15" w:type="dxa"/>
              <w:left w:w="15" w:type="dxa"/>
              <w:bottom w:w="15" w:type="dxa"/>
              <w:right w:w="15" w:type="dxa"/>
            </w:tcMar>
            <w:vAlign w:val="center"/>
          </w:tcPr>
          <w:p w:rsidR="00EB5A4F" w:rsidRDefault="00EB5A4F" w:rsidP="00DC4BC1">
            <w:pPr>
              <w:rPr>
                <w:sz w:val="24"/>
                <w:szCs w:val="24"/>
              </w:rPr>
            </w:pPr>
            <w:r w:rsidRPr="002646CF">
              <w:rPr>
                <w:sz w:val="24"/>
                <w:szCs w:val="24"/>
              </w:rPr>
              <w:t>Вклад «Привлекательный 2»</w:t>
            </w:r>
            <w:r>
              <w:rPr>
                <w:rStyle w:val="g-blockt-f-smallt-l20c-bse-t4g-mt-hem"/>
                <w:sz w:val="24"/>
                <w:szCs w:val="24"/>
              </w:rPr>
              <w:t>Комфортные условия для ваших денежных средств сроком на 2 года.</w:t>
            </w:r>
          </w:p>
        </w:tc>
        <w:tc>
          <w:tcPr>
            <w:tcW w:w="1437"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10 000 руб.</w:t>
            </w:r>
          </w:p>
        </w:tc>
        <w:tc>
          <w:tcPr>
            <w:tcW w:w="1037" w:type="dxa"/>
            <w:tcMar>
              <w:top w:w="15" w:type="dxa"/>
              <w:left w:w="15" w:type="dxa"/>
              <w:bottom w:w="15" w:type="dxa"/>
              <w:right w:w="15" w:type="dxa"/>
            </w:tcMar>
            <w:vAlign w:val="center"/>
          </w:tcPr>
          <w:p w:rsidR="00EB5A4F" w:rsidRDefault="00EB5A4F" w:rsidP="00DC4BC1">
            <w:pPr>
              <w:jc w:val="left"/>
              <w:rPr>
                <w:sz w:val="24"/>
                <w:szCs w:val="24"/>
              </w:rPr>
            </w:pPr>
            <w:r>
              <w:rPr>
                <w:rStyle w:val="status-yes"/>
                <w:sz w:val="24"/>
                <w:szCs w:val="24"/>
              </w:rPr>
              <w:t>Yes</w:t>
            </w:r>
          </w:p>
        </w:tc>
        <w:tc>
          <w:tcPr>
            <w:tcW w:w="937" w:type="dxa"/>
            <w:tcMar>
              <w:top w:w="15" w:type="dxa"/>
              <w:left w:w="15" w:type="dxa"/>
              <w:bottom w:w="15" w:type="dxa"/>
              <w:right w:w="15" w:type="dxa"/>
            </w:tcMar>
            <w:vAlign w:val="center"/>
          </w:tcPr>
          <w:p w:rsidR="00EB5A4F" w:rsidRDefault="00EB5A4F" w:rsidP="00DC4BC1">
            <w:pPr>
              <w:jc w:val="left"/>
              <w:rPr>
                <w:sz w:val="24"/>
                <w:szCs w:val="24"/>
              </w:rPr>
            </w:pPr>
            <w:r>
              <w:rPr>
                <w:rStyle w:val="status-yes"/>
                <w:sz w:val="24"/>
                <w:szCs w:val="24"/>
              </w:rPr>
              <w:t>Yes</w:t>
            </w:r>
          </w:p>
        </w:tc>
        <w:tc>
          <w:tcPr>
            <w:tcW w:w="1163"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7,4</w:t>
            </w:r>
          </w:p>
        </w:tc>
        <w:tc>
          <w:tcPr>
            <w:tcW w:w="1548"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730 дней</w:t>
            </w:r>
          </w:p>
        </w:tc>
      </w:tr>
      <w:tr w:rsidR="00EB5A4F" w:rsidTr="00DC4BC1">
        <w:trPr>
          <w:tblCellSpacing w:w="15" w:type="dxa"/>
        </w:trPr>
        <w:tc>
          <w:tcPr>
            <w:tcW w:w="3416" w:type="dxa"/>
            <w:tcMar>
              <w:top w:w="15" w:type="dxa"/>
              <w:left w:w="15" w:type="dxa"/>
              <w:bottom w:w="15" w:type="dxa"/>
              <w:right w:w="15" w:type="dxa"/>
            </w:tcMar>
            <w:vAlign w:val="center"/>
          </w:tcPr>
          <w:p w:rsidR="00EB5A4F" w:rsidRDefault="00EB5A4F" w:rsidP="00DC4BC1">
            <w:pPr>
              <w:rPr>
                <w:sz w:val="24"/>
                <w:szCs w:val="24"/>
              </w:rPr>
            </w:pPr>
            <w:r w:rsidRPr="002646CF">
              <w:rPr>
                <w:sz w:val="24"/>
                <w:szCs w:val="24"/>
              </w:rPr>
              <w:t>Вклад «Привлекательный 3»</w:t>
            </w:r>
            <w:r>
              <w:rPr>
                <w:rStyle w:val="g-blockt-f-smallt-l20c-bse-t4g-mt-hem"/>
                <w:sz w:val="24"/>
                <w:szCs w:val="24"/>
              </w:rPr>
              <w:t>Выгодное размещение денег на длительный срок.</w:t>
            </w:r>
          </w:p>
        </w:tc>
        <w:tc>
          <w:tcPr>
            <w:tcW w:w="1437"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10 000 руб.</w:t>
            </w:r>
          </w:p>
        </w:tc>
        <w:tc>
          <w:tcPr>
            <w:tcW w:w="1037" w:type="dxa"/>
            <w:tcMar>
              <w:top w:w="15" w:type="dxa"/>
              <w:left w:w="15" w:type="dxa"/>
              <w:bottom w:w="15" w:type="dxa"/>
              <w:right w:w="15" w:type="dxa"/>
            </w:tcMar>
            <w:vAlign w:val="center"/>
          </w:tcPr>
          <w:p w:rsidR="00EB5A4F" w:rsidRDefault="00EB5A4F" w:rsidP="00DC4BC1">
            <w:pPr>
              <w:jc w:val="left"/>
              <w:rPr>
                <w:sz w:val="24"/>
                <w:szCs w:val="24"/>
              </w:rPr>
            </w:pPr>
            <w:r>
              <w:rPr>
                <w:rStyle w:val="status-yes"/>
                <w:sz w:val="24"/>
                <w:szCs w:val="24"/>
              </w:rPr>
              <w:t>Yes</w:t>
            </w:r>
          </w:p>
        </w:tc>
        <w:tc>
          <w:tcPr>
            <w:tcW w:w="937" w:type="dxa"/>
            <w:tcMar>
              <w:top w:w="15" w:type="dxa"/>
              <w:left w:w="15" w:type="dxa"/>
              <w:bottom w:w="15" w:type="dxa"/>
              <w:right w:w="15" w:type="dxa"/>
            </w:tcMar>
            <w:vAlign w:val="center"/>
          </w:tcPr>
          <w:p w:rsidR="00EB5A4F" w:rsidRDefault="00EB5A4F" w:rsidP="00DC4BC1">
            <w:pPr>
              <w:jc w:val="left"/>
              <w:rPr>
                <w:sz w:val="24"/>
                <w:szCs w:val="24"/>
              </w:rPr>
            </w:pPr>
            <w:r>
              <w:rPr>
                <w:rStyle w:val="status-yes"/>
                <w:sz w:val="24"/>
                <w:szCs w:val="24"/>
              </w:rPr>
              <w:t>Yes</w:t>
            </w:r>
          </w:p>
        </w:tc>
        <w:tc>
          <w:tcPr>
            <w:tcW w:w="1163"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7,6</w:t>
            </w:r>
          </w:p>
        </w:tc>
        <w:tc>
          <w:tcPr>
            <w:tcW w:w="1548"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1100 дней</w:t>
            </w:r>
          </w:p>
        </w:tc>
      </w:tr>
      <w:tr w:rsidR="00EB5A4F" w:rsidTr="00DC4BC1">
        <w:trPr>
          <w:tblCellSpacing w:w="15" w:type="dxa"/>
        </w:trPr>
        <w:tc>
          <w:tcPr>
            <w:tcW w:w="3416" w:type="dxa"/>
            <w:tcMar>
              <w:top w:w="15" w:type="dxa"/>
              <w:left w:w="15" w:type="dxa"/>
              <w:bottom w:w="15" w:type="dxa"/>
              <w:right w:w="15" w:type="dxa"/>
            </w:tcMar>
            <w:vAlign w:val="center"/>
          </w:tcPr>
          <w:p w:rsidR="00EB5A4F" w:rsidRDefault="00EB5A4F" w:rsidP="00DC4BC1">
            <w:pPr>
              <w:rPr>
                <w:sz w:val="24"/>
                <w:szCs w:val="24"/>
              </w:rPr>
            </w:pPr>
            <w:r w:rsidRPr="002646CF">
              <w:rPr>
                <w:sz w:val="24"/>
                <w:szCs w:val="24"/>
              </w:rPr>
              <w:t>Вклад «Значительный»</w:t>
            </w:r>
            <w:r>
              <w:rPr>
                <w:rStyle w:val="g-blockt-f-smallt-l20c-bse-t4g-mt-hem"/>
                <w:sz w:val="24"/>
                <w:szCs w:val="24"/>
              </w:rPr>
              <w:t>VIP вклад – серьезные доходы для крупных вкладов.</w:t>
            </w:r>
          </w:p>
        </w:tc>
        <w:tc>
          <w:tcPr>
            <w:tcW w:w="1437"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1 000 000 руб.</w:t>
            </w:r>
          </w:p>
        </w:tc>
        <w:tc>
          <w:tcPr>
            <w:tcW w:w="1037" w:type="dxa"/>
            <w:tcMar>
              <w:top w:w="15" w:type="dxa"/>
              <w:left w:w="15" w:type="dxa"/>
              <w:bottom w:w="15" w:type="dxa"/>
              <w:right w:w="15" w:type="dxa"/>
            </w:tcMar>
            <w:vAlign w:val="center"/>
          </w:tcPr>
          <w:p w:rsidR="00EB5A4F" w:rsidRDefault="00EB5A4F" w:rsidP="00DC4BC1">
            <w:pPr>
              <w:jc w:val="left"/>
              <w:rPr>
                <w:sz w:val="24"/>
                <w:szCs w:val="24"/>
              </w:rPr>
            </w:pPr>
            <w:r>
              <w:rPr>
                <w:rStyle w:val="status-yes"/>
                <w:sz w:val="24"/>
                <w:szCs w:val="24"/>
              </w:rPr>
              <w:t>Yes</w:t>
            </w:r>
          </w:p>
        </w:tc>
        <w:tc>
          <w:tcPr>
            <w:tcW w:w="937" w:type="dxa"/>
            <w:tcMar>
              <w:top w:w="15" w:type="dxa"/>
              <w:left w:w="15" w:type="dxa"/>
              <w:bottom w:w="15" w:type="dxa"/>
              <w:right w:w="15" w:type="dxa"/>
            </w:tcMar>
            <w:vAlign w:val="center"/>
          </w:tcPr>
          <w:p w:rsidR="00EB5A4F" w:rsidRDefault="00EB5A4F" w:rsidP="00DC4BC1">
            <w:pPr>
              <w:jc w:val="left"/>
              <w:rPr>
                <w:sz w:val="24"/>
                <w:szCs w:val="24"/>
              </w:rPr>
            </w:pPr>
            <w:r>
              <w:rPr>
                <w:rStyle w:val="status-no"/>
                <w:sz w:val="24"/>
                <w:szCs w:val="24"/>
              </w:rPr>
              <w:t>No</w:t>
            </w:r>
          </w:p>
        </w:tc>
        <w:tc>
          <w:tcPr>
            <w:tcW w:w="1163"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8,5</w:t>
            </w:r>
          </w:p>
        </w:tc>
        <w:tc>
          <w:tcPr>
            <w:tcW w:w="1548"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370 дней</w:t>
            </w:r>
          </w:p>
        </w:tc>
      </w:tr>
      <w:tr w:rsidR="00EB5A4F" w:rsidTr="00DC4BC1">
        <w:trPr>
          <w:tblCellSpacing w:w="15" w:type="dxa"/>
        </w:trPr>
        <w:tc>
          <w:tcPr>
            <w:tcW w:w="3416" w:type="dxa"/>
            <w:tcMar>
              <w:top w:w="15" w:type="dxa"/>
              <w:left w:w="15" w:type="dxa"/>
              <w:bottom w:w="15" w:type="dxa"/>
              <w:right w:w="15" w:type="dxa"/>
            </w:tcMar>
            <w:vAlign w:val="center"/>
          </w:tcPr>
          <w:p w:rsidR="00EB5A4F" w:rsidRDefault="00EB5A4F" w:rsidP="00DC4BC1">
            <w:pPr>
              <w:rPr>
                <w:sz w:val="24"/>
                <w:szCs w:val="24"/>
              </w:rPr>
            </w:pPr>
            <w:r w:rsidRPr="002646CF">
              <w:rPr>
                <w:sz w:val="24"/>
                <w:szCs w:val="24"/>
              </w:rPr>
              <w:t>Вклад «Урожайный»</w:t>
            </w:r>
            <w:r>
              <w:rPr>
                <w:rStyle w:val="g-blockt-f-smallt-l20c-bse-t4g-mt-hem"/>
                <w:sz w:val="24"/>
                <w:szCs w:val="24"/>
              </w:rPr>
              <w:t xml:space="preserve">Ощутимый доход! Проценты выплачиваются каждые три месяца. </w:t>
            </w:r>
          </w:p>
        </w:tc>
        <w:tc>
          <w:tcPr>
            <w:tcW w:w="1437"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10 000 руб.</w:t>
            </w:r>
          </w:p>
        </w:tc>
        <w:tc>
          <w:tcPr>
            <w:tcW w:w="1037" w:type="dxa"/>
            <w:tcMar>
              <w:top w:w="15" w:type="dxa"/>
              <w:left w:w="15" w:type="dxa"/>
              <w:bottom w:w="15" w:type="dxa"/>
              <w:right w:w="15" w:type="dxa"/>
            </w:tcMar>
            <w:vAlign w:val="center"/>
          </w:tcPr>
          <w:p w:rsidR="00EB5A4F" w:rsidRDefault="00EB5A4F" w:rsidP="00DC4BC1">
            <w:pPr>
              <w:jc w:val="left"/>
              <w:rPr>
                <w:sz w:val="24"/>
                <w:szCs w:val="24"/>
              </w:rPr>
            </w:pPr>
            <w:r>
              <w:rPr>
                <w:rStyle w:val="status-yes"/>
                <w:sz w:val="24"/>
                <w:szCs w:val="24"/>
              </w:rPr>
              <w:t>Yes</w:t>
            </w:r>
          </w:p>
        </w:tc>
        <w:tc>
          <w:tcPr>
            <w:tcW w:w="937" w:type="dxa"/>
            <w:tcMar>
              <w:top w:w="15" w:type="dxa"/>
              <w:left w:w="15" w:type="dxa"/>
              <w:bottom w:w="15" w:type="dxa"/>
              <w:right w:w="15" w:type="dxa"/>
            </w:tcMar>
            <w:vAlign w:val="center"/>
          </w:tcPr>
          <w:p w:rsidR="00EB5A4F" w:rsidRDefault="00EB5A4F" w:rsidP="00DC4BC1">
            <w:pPr>
              <w:jc w:val="left"/>
              <w:rPr>
                <w:sz w:val="24"/>
                <w:szCs w:val="24"/>
              </w:rPr>
            </w:pPr>
            <w:r>
              <w:rPr>
                <w:rStyle w:val="status-no"/>
                <w:sz w:val="24"/>
                <w:szCs w:val="24"/>
              </w:rPr>
              <w:t>No</w:t>
            </w:r>
          </w:p>
        </w:tc>
        <w:tc>
          <w:tcPr>
            <w:tcW w:w="1163"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7,2</w:t>
            </w:r>
          </w:p>
        </w:tc>
        <w:tc>
          <w:tcPr>
            <w:tcW w:w="1548" w:type="dxa"/>
            <w:tcMar>
              <w:top w:w="15" w:type="dxa"/>
              <w:left w:w="15" w:type="dxa"/>
              <w:bottom w:w="15" w:type="dxa"/>
              <w:right w:w="15" w:type="dxa"/>
            </w:tcMar>
            <w:vAlign w:val="center"/>
          </w:tcPr>
          <w:p w:rsidR="00EB5A4F" w:rsidRDefault="00EB5A4F" w:rsidP="00DC4BC1">
            <w:pPr>
              <w:jc w:val="left"/>
              <w:rPr>
                <w:sz w:val="24"/>
                <w:szCs w:val="24"/>
              </w:rPr>
            </w:pPr>
            <w:r>
              <w:rPr>
                <w:sz w:val="24"/>
                <w:szCs w:val="24"/>
              </w:rPr>
              <w:t>370 дней</w:t>
            </w:r>
          </w:p>
        </w:tc>
      </w:tr>
      <w:tr w:rsidR="00EB5A4F" w:rsidTr="00DC4BC1">
        <w:trPr>
          <w:tblCellSpacing w:w="15" w:type="dxa"/>
        </w:trPr>
        <w:tc>
          <w:tcPr>
            <w:tcW w:w="3416" w:type="dxa"/>
            <w:tcMar>
              <w:top w:w="15" w:type="dxa"/>
              <w:left w:w="15" w:type="dxa"/>
              <w:bottom w:w="15" w:type="dxa"/>
              <w:right w:w="15" w:type="dxa"/>
            </w:tcMar>
            <w:vAlign w:val="center"/>
          </w:tcPr>
          <w:p w:rsidR="00EB5A4F" w:rsidRDefault="00EB5A4F" w:rsidP="00DC4BC1">
            <w:pPr>
              <w:rPr>
                <w:sz w:val="24"/>
                <w:szCs w:val="24"/>
              </w:rPr>
            </w:pPr>
            <w:r w:rsidRPr="002646CF">
              <w:rPr>
                <w:sz w:val="24"/>
                <w:szCs w:val="24"/>
              </w:rPr>
              <w:t>Карта + депозит</w:t>
            </w:r>
          </w:p>
          <w:p w:rsidR="00EB5A4F" w:rsidRDefault="00EB5A4F" w:rsidP="00DC4BC1">
            <w:pPr>
              <w:rPr>
                <w:sz w:val="24"/>
                <w:szCs w:val="24"/>
              </w:rPr>
            </w:pPr>
            <w:r>
              <w:rPr>
                <w:rStyle w:val="g-blockt-f-smallt-l20c-bse-t4g-mt-hem"/>
                <w:sz w:val="24"/>
                <w:szCs w:val="24"/>
              </w:rPr>
              <w:t>Это два счета в одном. Расплачивайтесь картой и одновременно получайте процент по вкладу.</w:t>
            </w:r>
          </w:p>
        </w:tc>
        <w:tc>
          <w:tcPr>
            <w:tcW w:w="1437" w:type="dxa"/>
            <w:tcMar>
              <w:top w:w="15" w:type="dxa"/>
              <w:left w:w="15" w:type="dxa"/>
              <w:bottom w:w="15" w:type="dxa"/>
              <w:right w:w="15" w:type="dxa"/>
            </w:tcMar>
            <w:vAlign w:val="center"/>
          </w:tcPr>
          <w:p w:rsidR="00EB5A4F" w:rsidRDefault="00EB5A4F" w:rsidP="00DC4BC1">
            <w:pPr>
              <w:rPr>
                <w:sz w:val="24"/>
                <w:szCs w:val="24"/>
              </w:rPr>
            </w:pPr>
          </w:p>
        </w:tc>
        <w:tc>
          <w:tcPr>
            <w:tcW w:w="1037" w:type="dxa"/>
            <w:tcMar>
              <w:top w:w="15" w:type="dxa"/>
              <w:left w:w="15" w:type="dxa"/>
              <w:bottom w:w="15" w:type="dxa"/>
              <w:right w:w="15" w:type="dxa"/>
            </w:tcMar>
            <w:vAlign w:val="center"/>
          </w:tcPr>
          <w:p w:rsidR="00EB5A4F" w:rsidRDefault="00EB5A4F" w:rsidP="00DC4BC1">
            <w:pPr>
              <w:rPr>
                <w:sz w:val="24"/>
                <w:szCs w:val="24"/>
              </w:rPr>
            </w:pPr>
          </w:p>
        </w:tc>
        <w:tc>
          <w:tcPr>
            <w:tcW w:w="937" w:type="dxa"/>
            <w:tcMar>
              <w:top w:w="15" w:type="dxa"/>
              <w:left w:w="15" w:type="dxa"/>
              <w:bottom w:w="15" w:type="dxa"/>
              <w:right w:w="15" w:type="dxa"/>
            </w:tcMar>
            <w:vAlign w:val="center"/>
          </w:tcPr>
          <w:p w:rsidR="00EB5A4F" w:rsidRDefault="00EB5A4F" w:rsidP="00DC4BC1">
            <w:pPr>
              <w:rPr>
                <w:sz w:val="24"/>
                <w:szCs w:val="24"/>
              </w:rPr>
            </w:pPr>
          </w:p>
        </w:tc>
        <w:tc>
          <w:tcPr>
            <w:tcW w:w="1163" w:type="dxa"/>
            <w:tcMar>
              <w:top w:w="15" w:type="dxa"/>
              <w:left w:w="15" w:type="dxa"/>
              <w:bottom w:w="15" w:type="dxa"/>
              <w:right w:w="15" w:type="dxa"/>
            </w:tcMar>
            <w:vAlign w:val="center"/>
          </w:tcPr>
          <w:p w:rsidR="00EB5A4F" w:rsidRDefault="00EB5A4F" w:rsidP="00DC4BC1">
            <w:pPr>
              <w:rPr>
                <w:sz w:val="24"/>
                <w:szCs w:val="24"/>
              </w:rPr>
            </w:pPr>
          </w:p>
        </w:tc>
        <w:tc>
          <w:tcPr>
            <w:tcW w:w="1548" w:type="dxa"/>
            <w:tcMar>
              <w:top w:w="15" w:type="dxa"/>
              <w:left w:w="15" w:type="dxa"/>
              <w:bottom w:w="15" w:type="dxa"/>
              <w:right w:w="15" w:type="dxa"/>
            </w:tcMar>
            <w:vAlign w:val="center"/>
          </w:tcPr>
          <w:p w:rsidR="00EB5A4F" w:rsidRDefault="00EB5A4F" w:rsidP="00DC4BC1">
            <w:pPr>
              <w:rPr>
                <w:sz w:val="24"/>
                <w:szCs w:val="24"/>
              </w:rPr>
            </w:pPr>
          </w:p>
        </w:tc>
      </w:tr>
    </w:tbl>
    <w:p w:rsidR="00EB5A4F" w:rsidRDefault="00EB5A4F" w:rsidP="002646CF">
      <w:pPr>
        <w:ind w:firstLine="708"/>
        <w:rPr>
          <w:sz w:val="28"/>
          <w:szCs w:val="28"/>
        </w:rPr>
      </w:pPr>
    </w:p>
    <w:p w:rsidR="00EB5A4F" w:rsidRDefault="00EB5A4F" w:rsidP="002646CF">
      <w:pPr>
        <w:ind w:firstLine="708"/>
        <w:rPr>
          <w:sz w:val="28"/>
        </w:rPr>
      </w:pPr>
      <w:r>
        <w:rPr>
          <w:sz w:val="28"/>
        </w:rPr>
        <w:t>Преимущества депозитов «Примсоцбанка»</w:t>
      </w:r>
    </w:p>
    <w:p w:rsidR="00EB5A4F" w:rsidRDefault="00EB5A4F" w:rsidP="002646CF">
      <w:pPr>
        <w:ind w:firstLine="708"/>
        <w:rPr>
          <w:sz w:val="28"/>
        </w:rPr>
      </w:pPr>
      <w:r>
        <w:rPr>
          <w:sz w:val="28"/>
        </w:rPr>
        <w:t>- клиент может подобрать удобный срок размещения денежных средств.</w:t>
      </w:r>
    </w:p>
    <w:p w:rsidR="00EB5A4F" w:rsidRDefault="00EB5A4F" w:rsidP="002646CF">
      <w:pPr>
        <w:ind w:firstLine="708"/>
        <w:rPr>
          <w:sz w:val="28"/>
        </w:rPr>
      </w:pPr>
      <w:r>
        <w:rPr>
          <w:sz w:val="28"/>
        </w:rPr>
        <w:t>- процентные ставки учитывают сумму и срок размещения вклада.</w:t>
      </w:r>
    </w:p>
    <w:p w:rsidR="00EB5A4F" w:rsidRDefault="00EB5A4F" w:rsidP="002646CF">
      <w:pPr>
        <w:ind w:firstLine="708"/>
        <w:rPr>
          <w:sz w:val="28"/>
        </w:rPr>
      </w:pPr>
      <w:r>
        <w:rPr>
          <w:sz w:val="28"/>
        </w:rPr>
        <w:t>Условия открытия депозита.</w:t>
      </w:r>
    </w:p>
    <w:p w:rsidR="00EB5A4F" w:rsidRDefault="00EB5A4F" w:rsidP="002646CF">
      <w:pPr>
        <w:ind w:firstLine="708"/>
        <w:rPr>
          <w:sz w:val="28"/>
        </w:rPr>
      </w:pPr>
      <w:r>
        <w:rPr>
          <w:sz w:val="28"/>
        </w:rPr>
        <w:t>- валюта депозита: рубли, доллары США, евро;</w:t>
      </w:r>
    </w:p>
    <w:p w:rsidR="00EB5A4F" w:rsidRDefault="00EB5A4F" w:rsidP="002646CF">
      <w:pPr>
        <w:ind w:firstLine="708"/>
        <w:rPr>
          <w:sz w:val="28"/>
        </w:rPr>
      </w:pPr>
      <w:r>
        <w:rPr>
          <w:sz w:val="28"/>
        </w:rPr>
        <w:t>- минимальная сумма: 300 000 рублей / 50 000 долларов США / 50 000 евро;</w:t>
      </w:r>
    </w:p>
    <w:p w:rsidR="00EB5A4F" w:rsidRDefault="00EB5A4F" w:rsidP="002646CF">
      <w:pPr>
        <w:ind w:firstLine="708"/>
        <w:rPr>
          <w:sz w:val="28"/>
        </w:rPr>
      </w:pPr>
      <w:r>
        <w:rPr>
          <w:sz w:val="28"/>
        </w:rPr>
        <w:t>- процентные ставки: устанавливаются, в зависимости от срока и суммы вклада;</w:t>
      </w:r>
    </w:p>
    <w:p w:rsidR="00EB5A4F" w:rsidRDefault="00EB5A4F" w:rsidP="002646CF">
      <w:pPr>
        <w:ind w:firstLine="708"/>
        <w:rPr>
          <w:sz w:val="28"/>
        </w:rPr>
      </w:pPr>
      <w:r>
        <w:rPr>
          <w:sz w:val="28"/>
        </w:rPr>
        <w:t>- выплата процентов: ежемесячно, ежеквартально или по окончании срока депозита.</w:t>
      </w:r>
    </w:p>
    <w:p w:rsidR="00EB5A4F" w:rsidRDefault="00EB5A4F" w:rsidP="002646CF">
      <w:pPr>
        <w:ind w:firstLine="708"/>
        <w:rPr>
          <w:sz w:val="28"/>
        </w:rPr>
      </w:pPr>
      <w:r>
        <w:rPr>
          <w:sz w:val="28"/>
        </w:rPr>
        <w:t>Пакет документов, необходимый для открытия срочного депозита:</w:t>
      </w:r>
    </w:p>
    <w:p w:rsidR="00EB5A4F" w:rsidRDefault="00EB5A4F" w:rsidP="002646CF">
      <w:pPr>
        <w:ind w:firstLine="708"/>
        <w:rPr>
          <w:sz w:val="28"/>
        </w:rPr>
      </w:pPr>
      <w:r>
        <w:rPr>
          <w:sz w:val="28"/>
        </w:rPr>
        <w:t>- свидетельство о государственной регистрации юридического лица по ф. № Р51001 либо свидетельство о внесении записи в Единый государственный реестр юридических лиц (для юридических лиц, созданных до 01.07)</w:t>
      </w:r>
    </w:p>
    <w:p w:rsidR="00EB5A4F" w:rsidRDefault="00EB5A4F" w:rsidP="002646CF">
      <w:pPr>
        <w:ind w:firstLine="708"/>
        <w:rPr>
          <w:sz w:val="28"/>
        </w:rPr>
      </w:pPr>
      <w:r>
        <w:rPr>
          <w:sz w:val="28"/>
        </w:rPr>
        <w:t>- оригинал свидетельства о постановке на учет в налоговом органе;</w:t>
      </w:r>
    </w:p>
    <w:p w:rsidR="00EB5A4F" w:rsidRDefault="00EB5A4F" w:rsidP="002646CF">
      <w:pPr>
        <w:ind w:firstLine="708"/>
        <w:rPr>
          <w:sz w:val="28"/>
        </w:rPr>
      </w:pPr>
      <w:r>
        <w:rPr>
          <w:sz w:val="28"/>
        </w:rPr>
        <w:t>- оригинал или нотариально заверенная копия документов, подтверждающих полномочия лица, действующего от имени клиента;</w:t>
      </w:r>
    </w:p>
    <w:p w:rsidR="00EB5A4F" w:rsidRDefault="00EB5A4F" w:rsidP="002646CF">
      <w:pPr>
        <w:ind w:firstLine="708"/>
        <w:rPr>
          <w:sz w:val="28"/>
        </w:rPr>
      </w:pPr>
      <w:r>
        <w:rPr>
          <w:sz w:val="28"/>
        </w:rPr>
        <w:t>- заполненная анкета клиента .</w:t>
      </w:r>
    </w:p>
    <w:p w:rsidR="00EB5A4F" w:rsidRDefault="00EB5A4F" w:rsidP="002646CF">
      <w:pPr>
        <w:ind w:firstLine="708"/>
        <w:rPr>
          <w:sz w:val="28"/>
        </w:rPr>
      </w:pPr>
      <w:r>
        <w:rPr>
          <w:sz w:val="28"/>
        </w:rPr>
        <w:t>Клиентам, имеющим расчетный счет в «Примсоцбанке», требуется предоставить только документы, подтверждающие полномочия представителя.</w:t>
      </w:r>
    </w:p>
    <w:p w:rsidR="00EB5A4F" w:rsidRDefault="00EB5A4F" w:rsidP="002646CF">
      <w:pPr>
        <w:ind w:firstLine="709"/>
        <w:rPr>
          <w:sz w:val="28"/>
          <w:szCs w:val="28"/>
        </w:rPr>
      </w:pPr>
      <w:r>
        <w:rPr>
          <w:sz w:val="28"/>
        </w:rPr>
        <w:t xml:space="preserve">В период действия депозита «Примсоцбанк» не изменяет процентную </w:t>
      </w:r>
      <w:r>
        <w:rPr>
          <w:sz w:val="28"/>
          <w:szCs w:val="28"/>
        </w:rPr>
        <w:t>ставку, за исключением случаев досрочного расторжения депозитного договора.</w:t>
      </w:r>
    </w:p>
    <w:p w:rsidR="00EB5A4F" w:rsidRDefault="00EB5A4F" w:rsidP="002646CF">
      <w:pPr>
        <w:ind w:firstLine="709"/>
        <w:rPr>
          <w:sz w:val="28"/>
          <w:szCs w:val="28"/>
        </w:rPr>
      </w:pPr>
      <w:r>
        <w:rPr>
          <w:sz w:val="28"/>
          <w:szCs w:val="28"/>
        </w:rPr>
        <w:t>Вклады до востребования — это сбережения, вносимые в банк без указания срока хранения. Вкладчик имеет право в любое время востребовать свой вклад частями или полностью. Ваши деньги работают — ежемесячно по вкладу начисляется процент — при этом доступны вам в любое время.</w:t>
      </w:r>
    </w:p>
    <w:p w:rsidR="00EB5A4F" w:rsidRDefault="00EB5A4F" w:rsidP="002646CF">
      <w:pPr>
        <w:ind w:firstLine="709"/>
        <w:rPr>
          <w:sz w:val="28"/>
          <w:szCs w:val="28"/>
        </w:rPr>
      </w:pPr>
      <w:r>
        <w:rPr>
          <w:sz w:val="28"/>
          <w:szCs w:val="28"/>
        </w:rPr>
        <w:t>ОАО СКБ «Примсоцбанк» открывает вклады до востребования в рублях или иностранной валюте: долларах США, евро, японских иенах.</w:t>
      </w:r>
    </w:p>
    <w:p w:rsidR="00EB5A4F" w:rsidRDefault="00EB5A4F" w:rsidP="002646CF">
      <w:pPr>
        <w:ind w:firstLine="709"/>
        <w:rPr>
          <w:sz w:val="28"/>
          <w:szCs w:val="28"/>
        </w:rPr>
      </w:pPr>
      <w:r>
        <w:rPr>
          <w:sz w:val="28"/>
          <w:szCs w:val="28"/>
        </w:rPr>
        <w:t>Распоряжаться счетом по вкладу до востребования вы можете по своему усмотрению: лично или через своего представителя, оформив доверенность в банке, либо у нотариуса. Вклад до востребования можно пополнять. Остаток денежных средств на счете по вкладу должен сохраняться на уровне не ниже, чем минимальный первоначальный взнос.</w:t>
      </w:r>
    </w:p>
    <w:p w:rsidR="00EB5A4F" w:rsidRDefault="00EB5A4F" w:rsidP="002646CF">
      <w:pPr>
        <w:ind w:firstLine="709"/>
        <w:rPr>
          <w:sz w:val="28"/>
          <w:szCs w:val="28"/>
        </w:rPr>
      </w:pPr>
      <w:r>
        <w:rPr>
          <w:sz w:val="28"/>
          <w:szCs w:val="28"/>
        </w:rPr>
        <w:t>Процентная ставка по вкладам до востребования в любой валюте составляет 0,10% годовых.</w:t>
      </w:r>
    </w:p>
    <w:p w:rsidR="00EB5A4F" w:rsidRDefault="00EB5A4F" w:rsidP="002646CF">
      <w:pPr>
        <w:widowControl w:val="0"/>
        <w:ind w:firstLine="709"/>
        <w:rPr>
          <w:sz w:val="28"/>
          <w:szCs w:val="28"/>
        </w:rPr>
      </w:pPr>
      <w:bookmarkStart w:id="14" w:name="_Toc246960761"/>
      <w:bookmarkStart w:id="15" w:name="_Toc246960676"/>
      <w:bookmarkStart w:id="16" w:name="_Toc245496532"/>
      <w:bookmarkStart w:id="17" w:name="_Toc245278930"/>
      <w:bookmarkStart w:id="18" w:name="_Toc245199335"/>
      <w:bookmarkStart w:id="19" w:name="_Toc245017586"/>
      <w:bookmarkStart w:id="20" w:name="_Toc245017450"/>
      <w:r>
        <w:rPr>
          <w:sz w:val="28"/>
          <w:szCs w:val="28"/>
        </w:rPr>
        <w:t>Депозитный договор вступает в силу с момента поступления денежных средств на счет вкладчика и действует до полного погашения взаимных обязательств сторон. В случае невнесения вкладчиком суммы вклада на счет вклада в течение определенного договором банковского вклада срока, договор считается несостоявшимся. По вкладам «до востребования» внесение денежных средств на счет по вкладу удостоверяется вкладной книжкой.</w:t>
      </w:r>
    </w:p>
    <w:p w:rsidR="00EB5A4F" w:rsidRDefault="00EB5A4F" w:rsidP="002646CF">
      <w:pPr>
        <w:widowControl w:val="0"/>
        <w:ind w:firstLine="709"/>
        <w:rPr>
          <w:sz w:val="28"/>
          <w:szCs w:val="28"/>
        </w:rPr>
      </w:pPr>
      <w:r>
        <w:rPr>
          <w:sz w:val="28"/>
          <w:szCs w:val="28"/>
        </w:rPr>
        <w:t>Денежные средства в депозите «до востребования» и срочные вклады принимаются Банком без ограничения максимального размера вносимой суммы, а минимальный размер первоначального взноса и дополнительных взносов определяется условиями договора банковского вклада по этим видам вкладов на основании тарифов, утвержденных уполномоченным лицом Банка.</w:t>
      </w:r>
    </w:p>
    <w:p w:rsidR="00EB5A4F" w:rsidRDefault="00EB5A4F" w:rsidP="002646CF">
      <w:pPr>
        <w:widowControl w:val="0"/>
        <w:ind w:firstLine="709"/>
        <w:rPr>
          <w:sz w:val="28"/>
          <w:szCs w:val="28"/>
        </w:rPr>
      </w:pPr>
      <w:r>
        <w:rPr>
          <w:sz w:val="28"/>
          <w:szCs w:val="28"/>
        </w:rPr>
        <w:t xml:space="preserve">Проценты по вкладам исчисляются в размере, определяемом договором банковского вклада в соответствии с утвержденными тарифами. Банк дифференцирует процентные ставки по срочным вкладам в зависимости от срока действия договора, суммы вкладов, условий их возврата. При отсутствии в договоре условия о размере процентов их размер определяется действующей ставкой рефинансирования на день уплаты Банком суммы процентов по договору. </w:t>
      </w:r>
    </w:p>
    <w:p w:rsidR="00EB5A4F" w:rsidRDefault="00EB5A4F" w:rsidP="002646CF">
      <w:pPr>
        <w:widowControl w:val="0"/>
        <w:ind w:firstLine="709"/>
        <w:rPr>
          <w:iCs/>
          <w:sz w:val="28"/>
          <w:szCs w:val="28"/>
        </w:rPr>
      </w:pPr>
      <w:r>
        <w:rPr>
          <w:iCs/>
          <w:sz w:val="28"/>
          <w:szCs w:val="28"/>
        </w:rPr>
        <w:t>Привлечение в депозиты денежных средств юридических лиц осуществляется в соответствии со следующими требованиями:</w:t>
      </w:r>
    </w:p>
    <w:p w:rsidR="00EB5A4F" w:rsidRPr="002646CF" w:rsidRDefault="00EB5A4F" w:rsidP="002646CF">
      <w:pPr>
        <w:pStyle w:val="a4"/>
        <w:widowControl w:val="0"/>
        <w:spacing w:after="0" w:line="360" w:lineRule="auto"/>
        <w:ind w:left="0" w:firstLine="709"/>
        <w:rPr>
          <w:rFonts w:ascii="Times New Roman" w:hAnsi="Times New Roman"/>
          <w:sz w:val="28"/>
          <w:szCs w:val="28"/>
        </w:rPr>
      </w:pPr>
      <w:r w:rsidRPr="002646CF">
        <w:rPr>
          <w:rFonts w:ascii="Times New Roman" w:hAnsi="Times New Roman"/>
          <w:sz w:val="28"/>
          <w:szCs w:val="28"/>
        </w:rPr>
        <w:t>- для открытия депозитного счета юридическим лицам, являющимся клиентами Банка, на основании этикета, содержащего все необходимые данные, составляется депозитный договор. Юридические лица, не являющиеся клиентами Банка, представляют в Банк подлинный либо нотариально заверенный экземпляр учредительных документов;</w:t>
      </w:r>
    </w:p>
    <w:p w:rsidR="00EB5A4F" w:rsidRPr="002646CF" w:rsidRDefault="00EB5A4F" w:rsidP="002646CF">
      <w:pPr>
        <w:pStyle w:val="a4"/>
        <w:widowControl w:val="0"/>
        <w:spacing w:after="0" w:line="360" w:lineRule="auto"/>
        <w:ind w:left="0" w:firstLine="709"/>
        <w:rPr>
          <w:rFonts w:ascii="Times New Roman" w:hAnsi="Times New Roman"/>
          <w:sz w:val="28"/>
          <w:szCs w:val="28"/>
        </w:rPr>
      </w:pPr>
      <w:r w:rsidRPr="002646CF">
        <w:rPr>
          <w:rFonts w:ascii="Times New Roman" w:hAnsi="Times New Roman"/>
          <w:sz w:val="28"/>
          <w:szCs w:val="28"/>
        </w:rPr>
        <w:t>- внесение денежных средств в депозит юридическими лицами осуществляется только в безналичном порядке на основании платежного поручения с расчетного (текущего) банковского счета. Не допускается зачисление в депозиты денежных средств со ссудных счетов. Юридические лица не вправе перечислять находящиеся во вкладах денежные средства другим лицам;</w:t>
      </w:r>
    </w:p>
    <w:p w:rsidR="00EB5A4F" w:rsidRDefault="00EB5A4F" w:rsidP="002646CF">
      <w:pPr>
        <w:widowControl w:val="0"/>
        <w:ind w:firstLine="709"/>
        <w:rPr>
          <w:sz w:val="28"/>
          <w:szCs w:val="28"/>
        </w:rPr>
      </w:pPr>
      <w:r>
        <w:rPr>
          <w:sz w:val="28"/>
          <w:szCs w:val="28"/>
        </w:rPr>
        <w:t>- по договорам срочных вкладов с юридическими лицами Банк не вправе в одностороннем порядке изменять (уменьшать или увеличивать) размер процентной ставки, если иное не предусмотрено договором;</w:t>
      </w:r>
    </w:p>
    <w:p w:rsidR="00EB5A4F" w:rsidRDefault="00EB5A4F" w:rsidP="002646CF">
      <w:pPr>
        <w:widowControl w:val="0"/>
        <w:ind w:firstLine="709"/>
        <w:rPr>
          <w:sz w:val="28"/>
          <w:szCs w:val="28"/>
        </w:rPr>
      </w:pPr>
      <w:r>
        <w:rPr>
          <w:sz w:val="28"/>
          <w:szCs w:val="28"/>
        </w:rPr>
        <w:t>- проценты по депозитам зачисляются на счет вкладчика (расчетные, текущие, транзитные, валютные, корреспондентские, счета банковского вклада, счета по учету прочих привлеченных средств) в сроки, предусмотренные договором. Если в договоре не предусмотрены сроки зачисления процентов на счета клиентов, проценты зачисляются один раз в квартал. Договором может быть предусмотрено причисление начисленных процентов к основной сумме депозита;</w:t>
      </w:r>
    </w:p>
    <w:p w:rsidR="00EB5A4F" w:rsidRDefault="00EB5A4F" w:rsidP="002646CF">
      <w:pPr>
        <w:widowControl w:val="0"/>
        <w:ind w:firstLine="709"/>
        <w:rPr>
          <w:sz w:val="28"/>
          <w:szCs w:val="28"/>
        </w:rPr>
      </w:pPr>
      <w:r>
        <w:rPr>
          <w:sz w:val="28"/>
          <w:szCs w:val="28"/>
        </w:rPr>
        <w:t>- проценты за пользование привлеченными средствами относятся на расходы Банка в момент их уплаты. Неуплаченные Банком в день обращения клиента или наступления срока, установленного в заключенном договоре проценты по привлеченным средствам переносятся с лицевого счета «Обязательства Банка по уплате процентов» на лицевые счета балансовых счетов «Неисполненные обязательства по процентам по депозитам и прочим привлеченным средствам юридических лиц (юридических лиц- нерезидентов)» в конце дня, являющегося датой уплаты процентов согласно договора. В день выплаты начисленные проценты относятся на соответствующие счета расходов;</w:t>
      </w:r>
    </w:p>
    <w:p w:rsidR="00EB5A4F" w:rsidRDefault="00EB5A4F" w:rsidP="002646CF">
      <w:pPr>
        <w:widowControl w:val="0"/>
        <w:ind w:firstLine="709"/>
        <w:rPr>
          <w:sz w:val="28"/>
          <w:szCs w:val="28"/>
        </w:rPr>
      </w:pPr>
      <w:r>
        <w:rPr>
          <w:sz w:val="28"/>
          <w:szCs w:val="28"/>
        </w:rPr>
        <w:t>- начисление процентов на суммы депозитов по истечении срока действия депозитных договоров, производится в соответствии с действующими условиями и тарифами Банка для вкладов «до востребования», если иное не предусмотрено в договоре. Перенос суммы вклада и начисленных процентов осуществляется на вновь открытый лицевой счет соответствующего балансового счета по учету вкладов «до востребования». Если условиями договора при не востребовании депозита предусмотрено продление договора на тех же условиях, действующих для данного вида вкладов, учет осуществляется на тех же лицевых счетах;</w:t>
      </w:r>
    </w:p>
    <w:p w:rsidR="00EB5A4F" w:rsidRDefault="00EB5A4F" w:rsidP="002646CF">
      <w:pPr>
        <w:widowControl w:val="0"/>
        <w:ind w:firstLine="709"/>
        <w:rPr>
          <w:sz w:val="28"/>
          <w:szCs w:val="28"/>
        </w:rPr>
      </w:pPr>
      <w:r>
        <w:rPr>
          <w:sz w:val="28"/>
          <w:szCs w:val="28"/>
        </w:rPr>
        <w:t>- возврат суммы вклада Банком осуществляется в соответствии с условиями, установленными договором безналичным перечислением на расчетный (текущий, транзитный валютный) счет юридического лица;</w:t>
      </w:r>
    </w:p>
    <w:p w:rsidR="00EB5A4F" w:rsidRDefault="00EB5A4F" w:rsidP="002646CF">
      <w:pPr>
        <w:widowControl w:val="0"/>
        <w:ind w:firstLine="709"/>
        <w:rPr>
          <w:sz w:val="28"/>
          <w:szCs w:val="28"/>
        </w:rPr>
      </w:pPr>
      <w:r>
        <w:rPr>
          <w:sz w:val="28"/>
          <w:szCs w:val="28"/>
        </w:rPr>
        <w:t>- отнесение начисленных процентов по остаткам по счетам, открытым клиентам Банка, на счета по учету расходов с соответствующими символами отчетности осуществляется в зависимости от организационно – правовой формы учредителя (собственника) организации – распорядителя средств.</w:t>
      </w:r>
    </w:p>
    <w:p w:rsidR="00EB5A4F" w:rsidRDefault="00EB5A4F" w:rsidP="002646CF">
      <w:pPr>
        <w:widowControl w:val="0"/>
        <w:ind w:firstLine="709"/>
        <w:rPr>
          <w:sz w:val="28"/>
          <w:szCs w:val="28"/>
        </w:rPr>
      </w:pPr>
      <w:r>
        <w:rPr>
          <w:sz w:val="28"/>
          <w:szCs w:val="28"/>
        </w:rPr>
        <w:t>По заявлению вкладчика денежные средства, находящиеся во вкладе в валюте РФ, могут быть перечислены с одного лицевого счета на другой лицевой счет или на имя физического лица, как самого вкладчика, так и другого лица.</w:t>
      </w:r>
    </w:p>
    <w:p w:rsidR="00EB5A4F" w:rsidRDefault="00EB5A4F" w:rsidP="002646CF">
      <w:pPr>
        <w:widowControl w:val="0"/>
        <w:ind w:firstLine="709"/>
        <w:rPr>
          <w:sz w:val="28"/>
          <w:szCs w:val="28"/>
        </w:rPr>
      </w:pPr>
      <w:r>
        <w:rPr>
          <w:sz w:val="28"/>
          <w:szCs w:val="28"/>
        </w:rPr>
        <w:t>Денежные средства в иностранной валюте могут быть перечислены на другой лицевой счет или на имя, как самого вкладчика, так и другого лица в соответствии с действующим законодательством.</w:t>
      </w:r>
    </w:p>
    <w:p w:rsidR="00EB5A4F" w:rsidRDefault="00EB5A4F" w:rsidP="002646CF">
      <w:pPr>
        <w:widowControl w:val="0"/>
        <w:ind w:firstLine="709"/>
        <w:rPr>
          <w:sz w:val="28"/>
          <w:szCs w:val="28"/>
        </w:rPr>
      </w:pPr>
      <w:r>
        <w:rPr>
          <w:sz w:val="28"/>
          <w:szCs w:val="28"/>
        </w:rPr>
        <w:t xml:space="preserve"> Банк вправе в одностороннем порядке изменять размер процентной ставки на вклады «до востребования» с обязательным уведомлением вкладчиков в средствах массовой информации (телевидение, газеты, журналы и т.д.). 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иной срок не предусмотрен договором. Решение Банка увеличить процентную ставку вступает в силу в установленном Банком порядке и может не доводиться до сведения вкладчиков.</w:t>
      </w:r>
    </w:p>
    <w:p w:rsidR="00EB5A4F" w:rsidRDefault="00EB5A4F" w:rsidP="002646CF">
      <w:pPr>
        <w:widowControl w:val="0"/>
        <w:ind w:firstLine="709"/>
        <w:rPr>
          <w:sz w:val="28"/>
          <w:szCs w:val="28"/>
        </w:rPr>
      </w:pPr>
      <w:r>
        <w:rPr>
          <w:sz w:val="28"/>
          <w:szCs w:val="28"/>
        </w:rPr>
        <w:t>Банк не вправе без согласования с вкладчиком - физическим лицом уменьшать размер процентной ставки по срочным вкладам, если иное не предусмотрено договором. Проценты по срочным вкладам выплачиваются по истечении срока договора банковского вклада или на условиях, предусмотренных договором. Договором банковского вклада может быть предусмотрена периодическая выплата процентов. В этом случае на невостребованную вкладчиком сумму начисленных процентов по данному договору начисляется доход по ставке вклада «до востребования» со дня, следующего за днем, оговоренным в договоре как срок выплаты процентов.</w:t>
      </w:r>
    </w:p>
    <w:p w:rsidR="00EB5A4F" w:rsidRDefault="00EB5A4F" w:rsidP="002646CF">
      <w:pPr>
        <w:widowControl w:val="0"/>
        <w:ind w:firstLine="709"/>
        <w:rPr>
          <w:sz w:val="28"/>
          <w:szCs w:val="28"/>
        </w:rPr>
      </w:pPr>
      <w:r>
        <w:rPr>
          <w:sz w:val="28"/>
          <w:szCs w:val="28"/>
        </w:rPr>
        <w:t>Если условиями договора срочного вклада не предусмотрено продление договора по истечении его срока, то договор считается продленным на условиях вклада «до востребования». Если условиями договора при невостребовании депозита предусмотрено продление договора на тех же условиях, действующих для данного вида вкладов, учет осуществляется на тех же балансовых счетах.</w:t>
      </w:r>
    </w:p>
    <w:p w:rsidR="00EB5A4F" w:rsidRDefault="00EB5A4F" w:rsidP="002646CF">
      <w:pPr>
        <w:widowControl w:val="0"/>
        <w:ind w:firstLine="709"/>
        <w:rPr>
          <w:sz w:val="28"/>
          <w:szCs w:val="28"/>
        </w:rPr>
      </w:pPr>
      <w:r>
        <w:rPr>
          <w:sz w:val="28"/>
          <w:szCs w:val="28"/>
        </w:rPr>
        <w:t>Возврат вкладов физическим лицам производится по предъявлении паспорта вкладчика (или заменяющего его документа), договора банковского вклада (депозитного договора) и вкладной (сберегательной) книжки (если она выдавалась).</w:t>
      </w:r>
    </w:p>
    <w:p w:rsidR="00EB5A4F" w:rsidRDefault="00EB5A4F" w:rsidP="002646CF">
      <w:pPr>
        <w:widowControl w:val="0"/>
        <w:ind w:firstLine="709"/>
        <w:rPr>
          <w:sz w:val="28"/>
          <w:szCs w:val="28"/>
        </w:rPr>
      </w:pPr>
      <w:r>
        <w:rPr>
          <w:sz w:val="28"/>
          <w:szCs w:val="28"/>
        </w:rPr>
        <w:t>Сумма вклада (начисленные проценты) выплачиваются в рублях и копейках по вкладам в валюте РФ. По вкладам в иностранной валюте дробная часть суммы вклада при выплате перечисляется в доход Банка в качестве платы за обслуживание при наличии данного условия в договоре.</w:t>
      </w:r>
    </w:p>
    <w:p w:rsidR="00EB5A4F" w:rsidRDefault="00EB5A4F" w:rsidP="002646CF">
      <w:pPr>
        <w:widowControl w:val="0"/>
        <w:ind w:firstLine="709"/>
        <w:rPr>
          <w:sz w:val="28"/>
          <w:szCs w:val="28"/>
        </w:rPr>
      </w:pPr>
      <w:r>
        <w:rPr>
          <w:sz w:val="28"/>
          <w:szCs w:val="28"/>
        </w:rPr>
        <w:t>При отсутствии в договоре условия о зачислении дробной части остатка начисленных процентов на счет доходов Банка производится конвертации дробной части по курсу Банка России, на дату совершения операции с последующим зачислением на рублевый счет клиента или выдачи наличными.</w:t>
      </w:r>
    </w:p>
    <w:p w:rsidR="00EB5A4F" w:rsidRDefault="00EB5A4F" w:rsidP="002646CF">
      <w:pPr>
        <w:ind w:firstLine="709"/>
        <w:rPr>
          <w:b/>
          <w:sz w:val="28"/>
          <w:szCs w:val="28"/>
        </w:rPr>
      </w:pPr>
    </w:p>
    <w:p w:rsidR="00EB5A4F" w:rsidRDefault="00EB5A4F" w:rsidP="00EC2854">
      <w:pPr>
        <w:rPr>
          <w:sz w:val="28"/>
          <w:szCs w:val="28"/>
          <w:lang w:eastAsia="en-US"/>
        </w:rPr>
      </w:pPr>
      <w:r>
        <w:rPr>
          <w:b/>
          <w:sz w:val="28"/>
          <w:szCs w:val="28"/>
        </w:rPr>
        <w:t xml:space="preserve">2.3 </w:t>
      </w:r>
      <w:r w:rsidRPr="00EC2854">
        <w:rPr>
          <w:b/>
          <w:sz w:val="28"/>
          <w:szCs w:val="28"/>
        </w:rPr>
        <w:t xml:space="preserve">Анализ ресурсной базы, увеличение пассивов Филиала ОАО СКБ Приморья «Примсоцбанк» за счет привлечения денежных средств населения во вклады </w:t>
      </w:r>
      <w:bookmarkEnd w:id="14"/>
      <w:bookmarkEnd w:id="15"/>
      <w:bookmarkEnd w:id="16"/>
      <w:bookmarkEnd w:id="17"/>
      <w:bookmarkEnd w:id="18"/>
      <w:bookmarkEnd w:id="19"/>
      <w:bookmarkEnd w:id="20"/>
      <w:r w:rsidRPr="00EC2854">
        <w:rPr>
          <w:b/>
          <w:sz w:val="28"/>
          <w:szCs w:val="28"/>
        </w:rPr>
        <w:t>.</w:t>
      </w:r>
    </w:p>
    <w:p w:rsidR="00EB5A4F" w:rsidRDefault="00EB5A4F" w:rsidP="002646CF">
      <w:pPr>
        <w:ind w:firstLine="708"/>
        <w:rPr>
          <w:sz w:val="28"/>
          <w:szCs w:val="28"/>
          <w:lang w:eastAsia="en-US"/>
        </w:rPr>
      </w:pPr>
      <w:r>
        <w:rPr>
          <w:sz w:val="28"/>
          <w:szCs w:val="28"/>
          <w:lang w:eastAsia="en-US"/>
        </w:rPr>
        <w:t>Собственные средства составляют лишь от 8 до 18% ресурсов современного банка относительно заемных средств. Основной источник привлеченных ресурсов коммерческих банков составляют депозиты (в западных банках их размер достигает 70% всех пассивов). Исходя из этого, анализ проведения пассивных операций «Примсоцбанка» будет строиться на тщательном рассмотрении депозитных источников банка (как составляющих основную часть пассивов).</w:t>
      </w:r>
    </w:p>
    <w:p w:rsidR="00EB5A4F" w:rsidRDefault="00EB5A4F" w:rsidP="002646CF">
      <w:pPr>
        <w:rPr>
          <w:sz w:val="28"/>
          <w:szCs w:val="28"/>
        </w:rPr>
      </w:pPr>
      <w:r>
        <w:rPr>
          <w:sz w:val="28"/>
        </w:rPr>
        <w:t xml:space="preserve">        Увеличение клиентской  базы  в 2008 году банк планировал в основном за счет  увеличения продаж имеющихся услуг  и  внедрения новых услуг для корпоративных клиентов и частных лиц. О результатах этой работы можно судить по росту числа клиентов, пользующихся услугами банка. На 01.01.09 количество счетов, открытых юридическими лицами составило  </w:t>
      </w:r>
      <w:r>
        <w:rPr>
          <w:bCs/>
          <w:sz w:val="28"/>
        </w:rPr>
        <w:t>17 936</w:t>
      </w:r>
      <w:r>
        <w:rPr>
          <w:sz w:val="28"/>
        </w:rPr>
        <w:t xml:space="preserve"> (темп прироста – 13%).  Количество счетов, открытых частными лицами составило  </w:t>
      </w:r>
      <w:r>
        <w:rPr>
          <w:bCs/>
          <w:sz w:val="28"/>
        </w:rPr>
        <w:t>333 963</w:t>
      </w:r>
      <w:r>
        <w:rPr>
          <w:sz w:val="28"/>
        </w:rPr>
        <w:t xml:space="preserve"> (темп прироста –5%).</w:t>
      </w:r>
      <w:r>
        <w:rPr>
          <w:sz w:val="28"/>
          <w:szCs w:val="28"/>
        </w:rPr>
        <w:t xml:space="preserve"> В рейтинге банков России  банковского сайта  </w:t>
      </w:r>
      <w:r>
        <w:rPr>
          <w:sz w:val="28"/>
          <w:szCs w:val="28"/>
          <w:lang w:val="en-US"/>
        </w:rPr>
        <w:t>bankir</w:t>
      </w:r>
      <w:r>
        <w:rPr>
          <w:sz w:val="28"/>
          <w:szCs w:val="28"/>
        </w:rPr>
        <w:t>.</w:t>
      </w:r>
      <w:r>
        <w:rPr>
          <w:sz w:val="28"/>
          <w:szCs w:val="28"/>
          <w:lang w:val="en-US"/>
        </w:rPr>
        <w:t>ru</w:t>
      </w:r>
      <w:r>
        <w:rPr>
          <w:sz w:val="28"/>
          <w:szCs w:val="28"/>
        </w:rPr>
        <w:t xml:space="preserve"> по размеру вкладов физических лиц банк занимает 91 позицию, по размеру остатков на расчетных счетах – 125 позицию.</w:t>
      </w:r>
    </w:p>
    <w:p w:rsidR="00EB5A4F" w:rsidRDefault="00EB5A4F" w:rsidP="002646CF">
      <w:pPr>
        <w:ind w:firstLine="708"/>
        <w:rPr>
          <w:sz w:val="28"/>
        </w:rPr>
      </w:pPr>
      <w:r>
        <w:rPr>
          <w:sz w:val="28"/>
        </w:rPr>
        <w:t>Основными финансовыми инструментами привлечения средств  клиентов являются  депозиты и долговые обязательства векселя банка.</w:t>
      </w:r>
    </w:p>
    <w:p w:rsidR="00EB5A4F" w:rsidRDefault="00EB5A4F" w:rsidP="002646CF">
      <w:pPr>
        <w:ind w:firstLine="708"/>
        <w:rPr>
          <w:sz w:val="28"/>
          <w:szCs w:val="28"/>
        </w:rPr>
      </w:pPr>
      <w:r>
        <w:rPr>
          <w:sz w:val="28"/>
          <w:szCs w:val="28"/>
        </w:rPr>
        <w:t>Структура пассивов банка представлена в таблице 3.</w:t>
      </w:r>
    </w:p>
    <w:p w:rsidR="00EB5A4F" w:rsidRDefault="00EB5A4F" w:rsidP="002646CF">
      <w:pPr>
        <w:ind w:firstLine="708"/>
        <w:rPr>
          <w:iCs/>
          <w:sz w:val="28"/>
        </w:rPr>
      </w:pPr>
    </w:p>
    <w:p w:rsidR="00EB5A4F" w:rsidRDefault="00EB5A4F" w:rsidP="002646CF">
      <w:pPr>
        <w:ind w:firstLine="708"/>
        <w:rPr>
          <w:iCs/>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Cs/>
          <w:sz w:val="24"/>
          <w:szCs w:val="24"/>
        </w:rPr>
        <w:t>Таблица 4</w:t>
      </w:r>
    </w:p>
    <w:p w:rsidR="00EB5A4F" w:rsidRDefault="00EB5A4F" w:rsidP="002646CF">
      <w:pPr>
        <w:ind w:firstLine="708"/>
        <w:jc w:val="center"/>
        <w:rPr>
          <w:iCs/>
          <w:sz w:val="24"/>
          <w:szCs w:val="24"/>
        </w:rPr>
      </w:pPr>
      <w:r>
        <w:rPr>
          <w:iCs/>
          <w:sz w:val="24"/>
          <w:szCs w:val="24"/>
        </w:rPr>
        <w:t>Структура пассивов ОАО ФСКБ «Примсоцбанк» за 2007-</w:t>
      </w:r>
      <w:smartTag w:uri="urn:schemas-microsoft-com:office:smarttags" w:element="metricconverter">
        <w:smartTagPr>
          <w:attr w:name="ProductID" w:val="2009 г"/>
        </w:smartTagPr>
        <w:r>
          <w:rPr>
            <w:iCs/>
            <w:sz w:val="24"/>
            <w:szCs w:val="24"/>
          </w:rPr>
          <w:t>2009 г</w:t>
        </w:r>
      </w:smartTag>
      <w:r>
        <w:rPr>
          <w:iCs/>
          <w:sz w:val="24"/>
          <w:szCs w:val="24"/>
        </w:rPr>
        <w:t>.г.(%)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1204"/>
        <w:gridCol w:w="1134"/>
        <w:gridCol w:w="1134"/>
        <w:gridCol w:w="1134"/>
        <w:gridCol w:w="1276"/>
        <w:gridCol w:w="1134"/>
      </w:tblGrid>
      <w:tr w:rsidR="00EB5A4F" w:rsidTr="00AD7DC5">
        <w:trPr>
          <w:trHeight w:val="491"/>
        </w:trPr>
        <w:tc>
          <w:tcPr>
            <w:tcW w:w="2448" w:type="dxa"/>
            <w:vAlign w:val="center"/>
          </w:tcPr>
          <w:p w:rsidR="00EB5A4F" w:rsidRDefault="00EB5A4F" w:rsidP="00DC4BC1">
            <w:pPr>
              <w:spacing w:line="240" w:lineRule="auto"/>
              <w:jc w:val="center"/>
              <w:rPr>
                <w:bCs/>
                <w:sz w:val="24"/>
                <w:szCs w:val="24"/>
              </w:rPr>
            </w:pPr>
            <w:r>
              <w:rPr>
                <w:bCs/>
                <w:sz w:val="24"/>
                <w:szCs w:val="24"/>
              </w:rPr>
              <w:t>Наименование статей</w:t>
            </w:r>
          </w:p>
        </w:tc>
        <w:tc>
          <w:tcPr>
            <w:tcW w:w="1204" w:type="dxa"/>
            <w:noWrap/>
            <w:vAlign w:val="bottom"/>
          </w:tcPr>
          <w:p w:rsidR="00EB5A4F" w:rsidRDefault="00EB5A4F" w:rsidP="00DC4BC1">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Сумма</w:t>
            </w:r>
          </w:p>
        </w:tc>
        <w:tc>
          <w:tcPr>
            <w:tcW w:w="1134" w:type="dxa"/>
            <w:noWrap/>
            <w:vAlign w:val="bottom"/>
          </w:tcPr>
          <w:p w:rsidR="00EB5A4F" w:rsidRDefault="00EB5A4F" w:rsidP="00DC4BC1">
            <w:pPr>
              <w:spacing w:line="240" w:lineRule="auto"/>
              <w:jc w:val="center"/>
              <w:rPr>
                <w:bCs/>
                <w:sz w:val="24"/>
                <w:szCs w:val="24"/>
              </w:rPr>
            </w:pPr>
          </w:p>
        </w:tc>
        <w:tc>
          <w:tcPr>
            <w:tcW w:w="1134" w:type="dxa"/>
          </w:tcPr>
          <w:p w:rsidR="00EB5A4F" w:rsidRDefault="00EB5A4F" w:rsidP="00DC4BC1">
            <w:pPr>
              <w:spacing w:line="240" w:lineRule="auto"/>
              <w:jc w:val="center"/>
              <w:rPr>
                <w:bCs/>
                <w:sz w:val="24"/>
                <w:szCs w:val="24"/>
              </w:rPr>
            </w:pPr>
          </w:p>
        </w:tc>
        <w:tc>
          <w:tcPr>
            <w:tcW w:w="1134" w:type="dxa"/>
            <w:noWrap/>
            <w:vAlign w:val="center"/>
          </w:tcPr>
          <w:p w:rsidR="00EB5A4F" w:rsidRDefault="00EB5A4F" w:rsidP="00DC4BC1">
            <w:pPr>
              <w:spacing w:line="240" w:lineRule="auto"/>
              <w:jc w:val="center"/>
              <w:rPr>
                <w:bCs/>
                <w:sz w:val="24"/>
                <w:szCs w:val="24"/>
              </w:rPr>
            </w:pPr>
            <w:r>
              <w:rPr>
                <w:bCs/>
                <w:sz w:val="24"/>
                <w:szCs w:val="24"/>
              </w:rPr>
              <w:t>Доля</w:t>
            </w:r>
          </w:p>
        </w:tc>
        <w:tc>
          <w:tcPr>
            <w:tcW w:w="1276" w:type="dxa"/>
            <w:noWrap/>
            <w:vAlign w:val="center"/>
          </w:tcPr>
          <w:p w:rsidR="00EB5A4F" w:rsidRDefault="00EB5A4F" w:rsidP="00DC4BC1">
            <w:pPr>
              <w:spacing w:line="240" w:lineRule="auto"/>
              <w:jc w:val="center"/>
              <w:rPr>
                <w:bCs/>
                <w:sz w:val="24"/>
                <w:szCs w:val="24"/>
              </w:rPr>
            </w:pPr>
          </w:p>
        </w:tc>
        <w:tc>
          <w:tcPr>
            <w:tcW w:w="1134" w:type="dxa"/>
          </w:tcPr>
          <w:p w:rsidR="00EB5A4F" w:rsidRDefault="00EB5A4F" w:rsidP="00DC4BC1">
            <w:pPr>
              <w:spacing w:line="240" w:lineRule="auto"/>
              <w:jc w:val="center"/>
              <w:rPr>
                <w:bCs/>
                <w:sz w:val="24"/>
                <w:szCs w:val="24"/>
              </w:rPr>
            </w:pPr>
          </w:p>
        </w:tc>
      </w:tr>
      <w:tr w:rsidR="00EB5A4F" w:rsidTr="00AD7DC5">
        <w:trPr>
          <w:trHeight w:val="559"/>
        </w:trPr>
        <w:tc>
          <w:tcPr>
            <w:tcW w:w="2448" w:type="dxa"/>
          </w:tcPr>
          <w:p w:rsidR="00EB5A4F" w:rsidRDefault="00EB5A4F" w:rsidP="00DC4BC1">
            <w:pPr>
              <w:spacing w:line="240" w:lineRule="auto"/>
              <w:jc w:val="center"/>
              <w:rPr>
                <w:bCs/>
                <w:sz w:val="24"/>
                <w:szCs w:val="24"/>
              </w:rPr>
            </w:pPr>
            <w:r>
              <w:rPr>
                <w:bCs/>
                <w:sz w:val="24"/>
                <w:szCs w:val="24"/>
              </w:rPr>
              <w:t>ПАССИВЫ</w:t>
            </w:r>
          </w:p>
        </w:tc>
        <w:tc>
          <w:tcPr>
            <w:tcW w:w="1204" w:type="dxa"/>
            <w:noWrap/>
            <w:vAlign w:val="center"/>
          </w:tcPr>
          <w:p w:rsidR="00EB5A4F" w:rsidRDefault="00EB5A4F" w:rsidP="00DC4BC1">
            <w:pPr>
              <w:spacing w:line="240" w:lineRule="auto"/>
              <w:jc w:val="center"/>
              <w:rPr>
                <w:bCs/>
                <w:sz w:val="24"/>
                <w:szCs w:val="24"/>
              </w:rPr>
            </w:pPr>
            <w:r>
              <w:rPr>
                <w:bCs/>
                <w:sz w:val="24"/>
                <w:szCs w:val="24"/>
              </w:rPr>
              <w:t>01.01.08</w:t>
            </w:r>
          </w:p>
        </w:tc>
        <w:tc>
          <w:tcPr>
            <w:tcW w:w="1134" w:type="dxa"/>
            <w:noWrap/>
            <w:vAlign w:val="center"/>
          </w:tcPr>
          <w:p w:rsidR="00EB5A4F" w:rsidRDefault="00EB5A4F" w:rsidP="00DC4BC1">
            <w:pPr>
              <w:spacing w:line="240" w:lineRule="auto"/>
              <w:jc w:val="center"/>
              <w:rPr>
                <w:bCs/>
                <w:sz w:val="24"/>
                <w:szCs w:val="24"/>
              </w:rPr>
            </w:pPr>
            <w:r>
              <w:rPr>
                <w:bCs/>
                <w:sz w:val="24"/>
                <w:szCs w:val="24"/>
              </w:rPr>
              <w:t>01.01.09</w:t>
            </w:r>
          </w:p>
        </w:tc>
        <w:tc>
          <w:tcPr>
            <w:tcW w:w="1134" w:type="dxa"/>
            <w:vAlign w:val="center"/>
          </w:tcPr>
          <w:p w:rsidR="00EB5A4F" w:rsidRDefault="00EB5A4F" w:rsidP="00DC4BC1">
            <w:pPr>
              <w:spacing w:line="240" w:lineRule="auto"/>
              <w:jc w:val="center"/>
              <w:rPr>
                <w:bCs/>
                <w:sz w:val="24"/>
                <w:szCs w:val="24"/>
              </w:rPr>
            </w:pPr>
            <w:r>
              <w:rPr>
                <w:bCs/>
                <w:sz w:val="24"/>
                <w:szCs w:val="24"/>
              </w:rPr>
              <w:t>01.01.10</w:t>
            </w:r>
          </w:p>
        </w:tc>
        <w:tc>
          <w:tcPr>
            <w:tcW w:w="1134" w:type="dxa"/>
            <w:noWrap/>
            <w:vAlign w:val="center"/>
          </w:tcPr>
          <w:p w:rsidR="00EB5A4F" w:rsidRDefault="00EB5A4F" w:rsidP="00DC4BC1">
            <w:pPr>
              <w:spacing w:line="240" w:lineRule="auto"/>
              <w:jc w:val="center"/>
              <w:rPr>
                <w:bCs/>
                <w:sz w:val="24"/>
                <w:szCs w:val="24"/>
              </w:rPr>
            </w:pPr>
            <w:r>
              <w:rPr>
                <w:bCs/>
                <w:sz w:val="24"/>
                <w:szCs w:val="24"/>
              </w:rPr>
              <w:t>01.01.08</w:t>
            </w:r>
          </w:p>
        </w:tc>
        <w:tc>
          <w:tcPr>
            <w:tcW w:w="1276" w:type="dxa"/>
            <w:noWrap/>
            <w:vAlign w:val="center"/>
          </w:tcPr>
          <w:p w:rsidR="00EB5A4F" w:rsidRDefault="00EB5A4F" w:rsidP="00DC4BC1">
            <w:pPr>
              <w:spacing w:line="240" w:lineRule="auto"/>
              <w:jc w:val="center"/>
              <w:rPr>
                <w:bCs/>
                <w:sz w:val="24"/>
                <w:szCs w:val="24"/>
              </w:rPr>
            </w:pPr>
            <w:r>
              <w:rPr>
                <w:bCs/>
                <w:sz w:val="24"/>
                <w:szCs w:val="24"/>
              </w:rPr>
              <w:t>01.01.09</w:t>
            </w:r>
          </w:p>
        </w:tc>
        <w:tc>
          <w:tcPr>
            <w:tcW w:w="1134" w:type="dxa"/>
            <w:vAlign w:val="center"/>
          </w:tcPr>
          <w:p w:rsidR="00EB5A4F" w:rsidRDefault="00EB5A4F" w:rsidP="00DC4BC1">
            <w:pPr>
              <w:spacing w:line="240" w:lineRule="auto"/>
              <w:jc w:val="center"/>
              <w:rPr>
                <w:bCs/>
                <w:sz w:val="24"/>
                <w:szCs w:val="24"/>
              </w:rPr>
            </w:pPr>
            <w:r>
              <w:rPr>
                <w:bCs/>
                <w:sz w:val="24"/>
                <w:szCs w:val="24"/>
              </w:rPr>
              <w:t>01.01.10</w:t>
            </w:r>
          </w:p>
        </w:tc>
      </w:tr>
      <w:tr w:rsidR="00EB5A4F" w:rsidTr="00AD7DC5">
        <w:trPr>
          <w:trHeight w:val="850"/>
        </w:trPr>
        <w:tc>
          <w:tcPr>
            <w:tcW w:w="2448" w:type="dxa"/>
          </w:tcPr>
          <w:p w:rsidR="00EB5A4F" w:rsidRDefault="00EB5A4F" w:rsidP="00DC4BC1">
            <w:pPr>
              <w:spacing w:line="240" w:lineRule="auto"/>
              <w:rPr>
                <w:sz w:val="24"/>
                <w:szCs w:val="24"/>
              </w:rPr>
            </w:pPr>
            <w:r>
              <w:rPr>
                <w:sz w:val="24"/>
                <w:szCs w:val="24"/>
              </w:rPr>
              <w:t>Кредиты Центрального банка РФ</w:t>
            </w:r>
          </w:p>
        </w:tc>
        <w:tc>
          <w:tcPr>
            <w:tcW w:w="1204" w:type="dxa"/>
            <w:noWrap/>
            <w:vAlign w:val="bottom"/>
          </w:tcPr>
          <w:p w:rsidR="00EB5A4F" w:rsidRDefault="00EB5A4F" w:rsidP="00AD7DC5">
            <w:pPr>
              <w:spacing w:line="240" w:lineRule="auto"/>
              <w:jc w:val="center"/>
              <w:rPr>
                <w:sz w:val="24"/>
                <w:szCs w:val="24"/>
              </w:rPr>
            </w:pPr>
            <w:r>
              <w:rPr>
                <w:sz w:val="24"/>
                <w:szCs w:val="24"/>
              </w:rPr>
              <w:t>0</w:t>
            </w:r>
          </w:p>
        </w:tc>
        <w:tc>
          <w:tcPr>
            <w:tcW w:w="1134" w:type="dxa"/>
            <w:noWrap/>
            <w:vAlign w:val="bottom"/>
          </w:tcPr>
          <w:p w:rsidR="00EB5A4F" w:rsidRDefault="00EB5A4F" w:rsidP="00AD7DC5">
            <w:pPr>
              <w:spacing w:line="240" w:lineRule="auto"/>
              <w:jc w:val="center"/>
              <w:rPr>
                <w:sz w:val="24"/>
                <w:szCs w:val="24"/>
              </w:rPr>
            </w:pPr>
            <w:r>
              <w:rPr>
                <w:sz w:val="24"/>
                <w:szCs w:val="24"/>
              </w:rPr>
              <w:t>56</w:t>
            </w:r>
          </w:p>
        </w:tc>
        <w:tc>
          <w:tcPr>
            <w:tcW w:w="1134" w:type="dxa"/>
            <w:vAlign w:val="bottom"/>
          </w:tcPr>
          <w:p w:rsidR="00EB5A4F" w:rsidRDefault="00EB5A4F" w:rsidP="00AD7DC5">
            <w:pPr>
              <w:spacing w:line="240" w:lineRule="auto"/>
              <w:jc w:val="center"/>
              <w:rPr>
                <w:sz w:val="24"/>
                <w:szCs w:val="24"/>
              </w:rPr>
            </w:pPr>
            <w:r>
              <w:rPr>
                <w:sz w:val="24"/>
                <w:szCs w:val="24"/>
              </w:rPr>
              <w:t>0</w:t>
            </w:r>
          </w:p>
        </w:tc>
        <w:tc>
          <w:tcPr>
            <w:tcW w:w="1134"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w:t>
            </w:r>
          </w:p>
        </w:tc>
        <w:tc>
          <w:tcPr>
            <w:tcW w:w="1276"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0.5%</w:t>
            </w:r>
          </w:p>
        </w:tc>
        <w:tc>
          <w:tcPr>
            <w:tcW w:w="1134" w:type="dxa"/>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w:t>
            </w:r>
          </w:p>
        </w:tc>
      </w:tr>
      <w:tr w:rsidR="00EB5A4F" w:rsidTr="00AD7DC5">
        <w:trPr>
          <w:trHeight w:val="693"/>
        </w:trPr>
        <w:tc>
          <w:tcPr>
            <w:tcW w:w="2448" w:type="dxa"/>
          </w:tcPr>
          <w:p w:rsidR="00EB5A4F" w:rsidRDefault="00EB5A4F" w:rsidP="00DC4BC1">
            <w:pPr>
              <w:spacing w:line="240" w:lineRule="auto"/>
              <w:rPr>
                <w:sz w:val="24"/>
                <w:szCs w:val="24"/>
              </w:rPr>
            </w:pPr>
            <w:r>
              <w:rPr>
                <w:sz w:val="24"/>
                <w:szCs w:val="24"/>
              </w:rPr>
              <w:t>Средства кредитных организаций</w:t>
            </w:r>
          </w:p>
        </w:tc>
        <w:tc>
          <w:tcPr>
            <w:tcW w:w="1204" w:type="dxa"/>
            <w:noWrap/>
            <w:vAlign w:val="bottom"/>
          </w:tcPr>
          <w:p w:rsidR="00EB5A4F" w:rsidRDefault="00EB5A4F" w:rsidP="00AD7DC5">
            <w:pPr>
              <w:spacing w:line="240" w:lineRule="auto"/>
              <w:jc w:val="center"/>
              <w:rPr>
                <w:sz w:val="24"/>
                <w:szCs w:val="24"/>
              </w:rPr>
            </w:pPr>
            <w:r>
              <w:rPr>
                <w:sz w:val="24"/>
                <w:szCs w:val="24"/>
              </w:rPr>
              <w:t>811</w:t>
            </w:r>
          </w:p>
        </w:tc>
        <w:tc>
          <w:tcPr>
            <w:tcW w:w="1134" w:type="dxa"/>
            <w:noWrap/>
            <w:vAlign w:val="bottom"/>
          </w:tcPr>
          <w:p w:rsidR="00EB5A4F" w:rsidRDefault="00EB5A4F" w:rsidP="00AD7DC5">
            <w:pPr>
              <w:spacing w:line="240" w:lineRule="auto"/>
              <w:jc w:val="center"/>
              <w:rPr>
                <w:sz w:val="24"/>
                <w:szCs w:val="24"/>
              </w:rPr>
            </w:pPr>
            <w:r>
              <w:rPr>
                <w:sz w:val="24"/>
                <w:szCs w:val="24"/>
              </w:rPr>
              <w:t>830</w:t>
            </w:r>
          </w:p>
        </w:tc>
        <w:tc>
          <w:tcPr>
            <w:tcW w:w="1134" w:type="dxa"/>
            <w:vAlign w:val="bottom"/>
          </w:tcPr>
          <w:p w:rsidR="00EB5A4F" w:rsidRDefault="00EB5A4F" w:rsidP="00AD7DC5">
            <w:pPr>
              <w:spacing w:line="240" w:lineRule="auto"/>
              <w:jc w:val="center"/>
              <w:rPr>
                <w:sz w:val="24"/>
                <w:szCs w:val="24"/>
              </w:rPr>
            </w:pPr>
            <w:r>
              <w:rPr>
                <w:sz w:val="24"/>
                <w:szCs w:val="24"/>
              </w:rPr>
              <w:t>360</w:t>
            </w:r>
          </w:p>
        </w:tc>
        <w:tc>
          <w:tcPr>
            <w:tcW w:w="1134"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7,8%</w:t>
            </w:r>
          </w:p>
        </w:tc>
        <w:tc>
          <w:tcPr>
            <w:tcW w:w="1276"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7.9%</w:t>
            </w:r>
          </w:p>
        </w:tc>
        <w:tc>
          <w:tcPr>
            <w:tcW w:w="1134" w:type="dxa"/>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w:t>
            </w:r>
          </w:p>
        </w:tc>
      </w:tr>
      <w:tr w:rsidR="00EB5A4F" w:rsidTr="00AD7DC5">
        <w:trPr>
          <w:trHeight w:val="561"/>
        </w:trPr>
        <w:tc>
          <w:tcPr>
            <w:tcW w:w="2448" w:type="dxa"/>
          </w:tcPr>
          <w:p w:rsidR="00EB5A4F" w:rsidRDefault="00EB5A4F" w:rsidP="00DC4BC1">
            <w:pPr>
              <w:spacing w:line="240" w:lineRule="auto"/>
              <w:rPr>
                <w:sz w:val="24"/>
                <w:szCs w:val="24"/>
              </w:rPr>
            </w:pPr>
            <w:r>
              <w:rPr>
                <w:sz w:val="24"/>
                <w:szCs w:val="24"/>
              </w:rPr>
              <w:t>Средства юридических лиц</w:t>
            </w:r>
          </w:p>
        </w:tc>
        <w:tc>
          <w:tcPr>
            <w:tcW w:w="1204" w:type="dxa"/>
            <w:noWrap/>
            <w:vAlign w:val="bottom"/>
          </w:tcPr>
          <w:p w:rsidR="00EB5A4F" w:rsidRDefault="00EB5A4F" w:rsidP="00AD7DC5">
            <w:pPr>
              <w:spacing w:line="240" w:lineRule="auto"/>
              <w:jc w:val="center"/>
              <w:rPr>
                <w:sz w:val="24"/>
                <w:szCs w:val="24"/>
              </w:rPr>
            </w:pPr>
            <w:r>
              <w:rPr>
                <w:sz w:val="24"/>
                <w:szCs w:val="24"/>
              </w:rPr>
              <w:t>3 706</w:t>
            </w:r>
          </w:p>
        </w:tc>
        <w:tc>
          <w:tcPr>
            <w:tcW w:w="1134" w:type="dxa"/>
            <w:noWrap/>
            <w:vAlign w:val="bottom"/>
          </w:tcPr>
          <w:p w:rsidR="00EB5A4F" w:rsidRDefault="00EB5A4F" w:rsidP="00AD7DC5">
            <w:pPr>
              <w:spacing w:line="240" w:lineRule="auto"/>
              <w:jc w:val="center"/>
              <w:rPr>
                <w:sz w:val="24"/>
                <w:szCs w:val="24"/>
              </w:rPr>
            </w:pPr>
            <w:r>
              <w:rPr>
                <w:sz w:val="24"/>
                <w:szCs w:val="24"/>
              </w:rPr>
              <w:t>2 913</w:t>
            </w:r>
          </w:p>
        </w:tc>
        <w:tc>
          <w:tcPr>
            <w:tcW w:w="1134" w:type="dxa"/>
            <w:vAlign w:val="bottom"/>
          </w:tcPr>
          <w:p w:rsidR="00EB5A4F" w:rsidRDefault="00EB5A4F" w:rsidP="00AD7DC5">
            <w:pPr>
              <w:spacing w:line="240" w:lineRule="auto"/>
              <w:jc w:val="center"/>
              <w:rPr>
                <w:sz w:val="24"/>
                <w:szCs w:val="24"/>
              </w:rPr>
            </w:pPr>
            <w:r>
              <w:rPr>
                <w:sz w:val="24"/>
                <w:szCs w:val="24"/>
              </w:rPr>
              <w:t>3 945</w:t>
            </w:r>
          </w:p>
        </w:tc>
        <w:tc>
          <w:tcPr>
            <w:tcW w:w="1134"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35,8%</w:t>
            </w:r>
          </w:p>
        </w:tc>
        <w:tc>
          <w:tcPr>
            <w:tcW w:w="1276"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27.8%</w:t>
            </w:r>
          </w:p>
        </w:tc>
        <w:tc>
          <w:tcPr>
            <w:tcW w:w="1134" w:type="dxa"/>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30.7%</w:t>
            </w:r>
          </w:p>
        </w:tc>
      </w:tr>
      <w:tr w:rsidR="00EB5A4F" w:rsidTr="00AD7DC5">
        <w:trPr>
          <w:trHeight w:val="555"/>
        </w:trPr>
        <w:tc>
          <w:tcPr>
            <w:tcW w:w="2448" w:type="dxa"/>
          </w:tcPr>
          <w:p w:rsidR="00EB5A4F" w:rsidRDefault="00EB5A4F" w:rsidP="00DC4BC1">
            <w:pPr>
              <w:spacing w:line="240" w:lineRule="auto"/>
              <w:rPr>
                <w:sz w:val="24"/>
                <w:szCs w:val="24"/>
              </w:rPr>
            </w:pPr>
            <w:r>
              <w:rPr>
                <w:sz w:val="24"/>
                <w:szCs w:val="24"/>
              </w:rPr>
              <w:t>Вклады физических лиц</w:t>
            </w:r>
          </w:p>
        </w:tc>
        <w:tc>
          <w:tcPr>
            <w:tcW w:w="1204" w:type="dxa"/>
            <w:noWrap/>
            <w:vAlign w:val="bottom"/>
          </w:tcPr>
          <w:p w:rsidR="00EB5A4F" w:rsidRDefault="00EB5A4F" w:rsidP="00AD7DC5">
            <w:pPr>
              <w:spacing w:line="240" w:lineRule="auto"/>
              <w:jc w:val="center"/>
              <w:rPr>
                <w:sz w:val="24"/>
                <w:szCs w:val="24"/>
              </w:rPr>
            </w:pPr>
            <w:r>
              <w:rPr>
                <w:sz w:val="24"/>
                <w:szCs w:val="24"/>
              </w:rPr>
              <w:t>4 704</w:t>
            </w:r>
          </w:p>
        </w:tc>
        <w:tc>
          <w:tcPr>
            <w:tcW w:w="1134" w:type="dxa"/>
            <w:noWrap/>
            <w:vAlign w:val="bottom"/>
          </w:tcPr>
          <w:p w:rsidR="00EB5A4F" w:rsidRDefault="00EB5A4F" w:rsidP="00AD7DC5">
            <w:pPr>
              <w:spacing w:line="240" w:lineRule="auto"/>
              <w:jc w:val="center"/>
              <w:rPr>
                <w:sz w:val="24"/>
                <w:szCs w:val="24"/>
              </w:rPr>
            </w:pPr>
            <w:r>
              <w:rPr>
                <w:sz w:val="24"/>
                <w:szCs w:val="24"/>
              </w:rPr>
              <w:t>5 136</w:t>
            </w:r>
          </w:p>
        </w:tc>
        <w:tc>
          <w:tcPr>
            <w:tcW w:w="1134" w:type="dxa"/>
            <w:vAlign w:val="bottom"/>
          </w:tcPr>
          <w:p w:rsidR="00EB5A4F" w:rsidRDefault="00EB5A4F" w:rsidP="00AD7DC5">
            <w:pPr>
              <w:spacing w:line="240" w:lineRule="auto"/>
              <w:jc w:val="center"/>
              <w:rPr>
                <w:sz w:val="24"/>
                <w:szCs w:val="24"/>
              </w:rPr>
            </w:pPr>
            <w:r>
              <w:rPr>
                <w:sz w:val="24"/>
                <w:szCs w:val="24"/>
              </w:rPr>
              <w:t>6 914</w:t>
            </w:r>
          </w:p>
        </w:tc>
        <w:tc>
          <w:tcPr>
            <w:tcW w:w="1134"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45,5%</w:t>
            </w:r>
          </w:p>
        </w:tc>
        <w:tc>
          <w:tcPr>
            <w:tcW w:w="1276"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49.0%</w:t>
            </w:r>
          </w:p>
        </w:tc>
        <w:tc>
          <w:tcPr>
            <w:tcW w:w="1134" w:type="dxa"/>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53.9%</w:t>
            </w:r>
          </w:p>
        </w:tc>
      </w:tr>
      <w:tr w:rsidR="00EB5A4F" w:rsidTr="00AD7DC5">
        <w:trPr>
          <w:trHeight w:val="256"/>
        </w:trPr>
        <w:tc>
          <w:tcPr>
            <w:tcW w:w="2448" w:type="dxa"/>
          </w:tcPr>
          <w:p w:rsidR="00EB5A4F" w:rsidRDefault="00EB5A4F" w:rsidP="00DC4BC1">
            <w:pPr>
              <w:spacing w:line="240" w:lineRule="auto"/>
              <w:rPr>
                <w:sz w:val="24"/>
                <w:szCs w:val="24"/>
              </w:rPr>
            </w:pPr>
            <w:r>
              <w:rPr>
                <w:sz w:val="24"/>
                <w:szCs w:val="24"/>
              </w:rPr>
              <w:t>Выпущенные долговые обязательства</w:t>
            </w:r>
          </w:p>
        </w:tc>
        <w:tc>
          <w:tcPr>
            <w:tcW w:w="1204" w:type="dxa"/>
            <w:noWrap/>
            <w:vAlign w:val="bottom"/>
          </w:tcPr>
          <w:p w:rsidR="00EB5A4F" w:rsidRDefault="00EB5A4F" w:rsidP="00AD7DC5">
            <w:pPr>
              <w:spacing w:line="240" w:lineRule="auto"/>
              <w:jc w:val="center"/>
              <w:rPr>
                <w:sz w:val="24"/>
                <w:szCs w:val="24"/>
              </w:rPr>
            </w:pPr>
            <w:r>
              <w:rPr>
                <w:sz w:val="24"/>
                <w:szCs w:val="24"/>
              </w:rPr>
              <w:t>83</w:t>
            </w:r>
          </w:p>
        </w:tc>
        <w:tc>
          <w:tcPr>
            <w:tcW w:w="1134" w:type="dxa"/>
            <w:noWrap/>
            <w:vAlign w:val="bottom"/>
          </w:tcPr>
          <w:p w:rsidR="00EB5A4F" w:rsidRDefault="00EB5A4F" w:rsidP="00AD7DC5">
            <w:pPr>
              <w:spacing w:line="240" w:lineRule="auto"/>
              <w:jc w:val="center"/>
              <w:rPr>
                <w:sz w:val="24"/>
                <w:szCs w:val="24"/>
              </w:rPr>
            </w:pPr>
            <w:r>
              <w:rPr>
                <w:sz w:val="24"/>
                <w:szCs w:val="24"/>
              </w:rPr>
              <w:t>174</w:t>
            </w:r>
          </w:p>
        </w:tc>
        <w:tc>
          <w:tcPr>
            <w:tcW w:w="1134" w:type="dxa"/>
            <w:vAlign w:val="bottom"/>
          </w:tcPr>
          <w:p w:rsidR="00EB5A4F" w:rsidRDefault="00EB5A4F" w:rsidP="00AD7DC5">
            <w:pPr>
              <w:spacing w:line="240" w:lineRule="auto"/>
              <w:jc w:val="center"/>
              <w:rPr>
                <w:sz w:val="24"/>
                <w:szCs w:val="24"/>
              </w:rPr>
            </w:pPr>
            <w:r>
              <w:rPr>
                <w:sz w:val="24"/>
                <w:szCs w:val="24"/>
              </w:rPr>
              <w:t>85</w:t>
            </w:r>
          </w:p>
        </w:tc>
        <w:tc>
          <w:tcPr>
            <w:tcW w:w="1134"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0.8%</w:t>
            </w:r>
          </w:p>
        </w:tc>
        <w:tc>
          <w:tcPr>
            <w:tcW w:w="1276" w:type="dxa"/>
            <w:noWrap/>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1134" w:type="dxa"/>
            <w:vAlign w:val="bottom"/>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0.7%</w:t>
            </w:r>
          </w:p>
        </w:tc>
      </w:tr>
      <w:tr w:rsidR="00EB5A4F" w:rsidTr="00AD7DC5">
        <w:trPr>
          <w:trHeight w:val="565"/>
        </w:trPr>
        <w:tc>
          <w:tcPr>
            <w:tcW w:w="2448" w:type="dxa"/>
          </w:tcPr>
          <w:p w:rsidR="00EB5A4F" w:rsidRDefault="00EB5A4F" w:rsidP="00DC4BC1">
            <w:pPr>
              <w:spacing w:line="240" w:lineRule="auto"/>
              <w:rPr>
                <w:sz w:val="24"/>
                <w:szCs w:val="24"/>
              </w:rPr>
            </w:pPr>
            <w:r>
              <w:rPr>
                <w:sz w:val="24"/>
                <w:szCs w:val="24"/>
              </w:rPr>
              <w:t>Прочие пассивы</w:t>
            </w:r>
          </w:p>
        </w:tc>
        <w:tc>
          <w:tcPr>
            <w:tcW w:w="1204" w:type="dxa"/>
            <w:noWrap/>
          </w:tcPr>
          <w:p w:rsidR="00EB5A4F" w:rsidRDefault="00EB5A4F" w:rsidP="00AD7DC5">
            <w:pPr>
              <w:spacing w:line="240" w:lineRule="auto"/>
              <w:jc w:val="center"/>
              <w:rPr>
                <w:sz w:val="24"/>
                <w:szCs w:val="24"/>
              </w:rPr>
            </w:pPr>
            <w:r>
              <w:rPr>
                <w:sz w:val="24"/>
                <w:szCs w:val="24"/>
              </w:rPr>
              <w:t>26</w:t>
            </w:r>
          </w:p>
        </w:tc>
        <w:tc>
          <w:tcPr>
            <w:tcW w:w="1134" w:type="dxa"/>
            <w:noWrap/>
          </w:tcPr>
          <w:p w:rsidR="00EB5A4F" w:rsidRDefault="00EB5A4F" w:rsidP="00AD7DC5">
            <w:pPr>
              <w:spacing w:line="240" w:lineRule="auto"/>
              <w:jc w:val="center"/>
              <w:rPr>
                <w:sz w:val="24"/>
                <w:szCs w:val="24"/>
              </w:rPr>
            </w:pPr>
            <w:r>
              <w:rPr>
                <w:sz w:val="24"/>
                <w:szCs w:val="24"/>
              </w:rPr>
              <w:t>82</w:t>
            </w:r>
          </w:p>
        </w:tc>
        <w:tc>
          <w:tcPr>
            <w:tcW w:w="1134" w:type="dxa"/>
          </w:tcPr>
          <w:p w:rsidR="00EB5A4F" w:rsidRDefault="00EB5A4F" w:rsidP="00AD7DC5">
            <w:pPr>
              <w:spacing w:line="240" w:lineRule="auto"/>
              <w:jc w:val="center"/>
              <w:rPr>
                <w:sz w:val="24"/>
                <w:szCs w:val="24"/>
              </w:rPr>
            </w:pPr>
            <w:r>
              <w:rPr>
                <w:sz w:val="24"/>
                <w:szCs w:val="24"/>
              </w:rPr>
              <w:t>143</w:t>
            </w:r>
          </w:p>
        </w:tc>
        <w:tc>
          <w:tcPr>
            <w:tcW w:w="1134" w:type="dxa"/>
            <w:noWrap/>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w:t>
            </w:r>
          </w:p>
        </w:tc>
        <w:tc>
          <w:tcPr>
            <w:tcW w:w="1276" w:type="dxa"/>
            <w:noWrap/>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0.8%</w:t>
            </w:r>
          </w:p>
        </w:tc>
        <w:tc>
          <w:tcPr>
            <w:tcW w:w="1134" w:type="dxa"/>
          </w:tcPr>
          <w:p w:rsidR="00EB5A4F" w:rsidRDefault="00EB5A4F" w:rsidP="00AD7DC5">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EB5A4F" w:rsidTr="00AD7DC5">
        <w:trPr>
          <w:trHeight w:val="256"/>
        </w:trPr>
        <w:tc>
          <w:tcPr>
            <w:tcW w:w="2448" w:type="dxa"/>
          </w:tcPr>
          <w:p w:rsidR="00EB5A4F" w:rsidRDefault="00EB5A4F" w:rsidP="00DC4BC1">
            <w:pPr>
              <w:spacing w:line="240" w:lineRule="auto"/>
              <w:rPr>
                <w:bCs/>
                <w:sz w:val="24"/>
                <w:szCs w:val="24"/>
              </w:rPr>
            </w:pPr>
            <w:r>
              <w:rPr>
                <w:bCs/>
                <w:sz w:val="24"/>
                <w:szCs w:val="24"/>
              </w:rPr>
              <w:t>Всего источников собственных средств</w:t>
            </w:r>
          </w:p>
        </w:tc>
        <w:tc>
          <w:tcPr>
            <w:tcW w:w="1204" w:type="dxa"/>
            <w:noWrap/>
            <w:vAlign w:val="bottom"/>
          </w:tcPr>
          <w:p w:rsidR="00EB5A4F" w:rsidRDefault="00EB5A4F" w:rsidP="00AD7DC5">
            <w:pPr>
              <w:spacing w:line="240" w:lineRule="auto"/>
              <w:jc w:val="center"/>
              <w:rPr>
                <w:bCs/>
                <w:sz w:val="24"/>
                <w:szCs w:val="24"/>
              </w:rPr>
            </w:pPr>
            <w:r>
              <w:rPr>
                <w:bCs/>
                <w:sz w:val="24"/>
                <w:szCs w:val="24"/>
              </w:rPr>
              <w:t>952</w:t>
            </w:r>
          </w:p>
        </w:tc>
        <w:tc>
          <w:tcPr>
            <w:tcW w:w="1134" w:type="dxa"/>
            <w:noWrap/>
            <w:vAlign w:val="bottom"/>
          </w:tcPr>
          <w:p w:rsidR="00EB5A4F" w:rsidRDefault="00EB5A4F" w:rsidP="00AD7DC5">
            <w:pPr>
              <w:spacing w:line="240" w:lineRule="auto"/>
              <w:jc w:val="center"/>
              <w:rPr>
                <w:bCs/>
                <w:sz w:val="24"/>
                <w:szCs w:val="24"/>
              </w:rPr>
            </w:pPr>
            <w:r>
              <w:rPr>
                <w:bCs/>
                <w:sz w:val="24"/>
                <w:szCs w:val="24"/>
              </w:rPr>
              <w:t>1 284</w:t>
            </w:r>
          </w:p>
        </w:tc>
        <w:tc>
          <w:tcPr>
            <w:tcW w:w="1134" w:type="dxa"/>
            <w:vAlign w:val="bottom"/>
          </w:tcPr>
          <w:p w:rsidR="00EB5A4F" w:rsidRDefault="00EB5A4F" w:rsidP="00AD7DC5">
            <w:pPr>
              <w:spacing w:line="240" w:lineRule="auto"/>
              <w:jc w:val="center"/>
              <w:rPr>
                <w:bCs/>
                <w:sz w:val="24"/>
                <w:szCs w:val="24"/>
              </w:rPr>
            </w:pPr>
            <w:r>
              <w:rPr>
                <w:bCs/>
                <w:sz w:val="24"/>
                <w:szCs w:val="24"/>
              </w:rPr>
              <w:t>1 386</w:t>
            </w:r>
          </w:p>
        </w:tc>
        <w:tc>
          <w:tcPr>
            <w:tcW w:w="1134" w:type="dxa"/>
            <w:noWrap/>
            <w:vAlign w:val="bottom"/>
          </w:tcPr>
          <w:p w:rsidR="00EB5A4F" w:rsidRDefault="00EB5A4F" w:rsidP="00AD7DC5">
            <w:pPr>
              <w:spacing w:line="240" w:lineRule="auto"/>
              <w:jc w:val="center"/>
              <w:rPr>
                <w:rFonts w:ascii="Times New Roman CYR" w:hAnsi="Times New Roman CYR" w:cs="Times New Roman CYR"/>
                <w:bCs/>
                <w:sz w:val="24"/>
                <w:szCs w:val="24"/>
              </w:rPr>
            </w:pPr>
            <w:r>
              <w:rPr>
                <w:rFonts w:ascii="Times New Roman CYR" w:hAnsi="Times New Roman CYR" w:cs="Times New Roman CYR"/>
                <w:sz w:val="24"/>
                <w:szCs w:val="24"/>
              </w:rPr>
              <w:t>9,2%</w:t>
            </w:r>
          </w:p>
        </w:tc>
        <w:tc>
          <w:tcPr>
            <w:tcW w:w="1276" w:type="dxa"/>
            <w:noWrap/>
            <w:vAlign w:val="bottom"/>
          </w:tcPr>
          <w:p w:rsidR="00EB5A4F" w:rsidRDefault="00EB5A4F" w:rsidP="00AD7DC5">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12.3%</w:t>
            </w:r>
          </w:p>
        </w:tc>
        <w:tc>
          <w:tcPr>
            <w:tcW w:w="1134" w:type="dxa"/>
            <w:vAlign w:val="bottom"/>
          </w:tcPr>
          <w:p w:rsidR="00EB5A4F" w:rsidRDefault="00EB5A4F" w:rsidP="00AD7DC5">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10.8%</w:t>
            </w:r>
          </w:p>
        </w:tc>
      </w:tr>
      <w:tr w:rsidR="00EB5A4F" w:rsidTr="00AD7DC5">
        <w:trPr>
          <w:trHeight w:val="439"/>
        </w:trPr>
        <w:tc>
          <w:tcPr>
            <w:tcW w:w="2448" w:type="dxa"/>
          </w:tcPr>
          <w:p w:rsidR="00EB5A4F" w:rsidRDefault="00EB5A4F" w:rsidP="00DC4BC1">
            <w:pPr>
              <w:spacing w:line="240" w:lineRule="auto"/>
              <w:rPr>
                <w:bCs/>
                <w:sz w:val="24"/>
                <w:szCs w:val="24"/>
              </w:rPr>
            </w:pPr>
            <w:r>
              <w:rPr>
                <w:bCs/>
                <w:sz w:val="24"/>
                <w:szCs w:val="24"/>
              </w:rPr>
              <w:t>ВСЕГО ПАССИВОВ</w:t>
            </w:r>
          </w:p>
        </w:tc>
        <w:tc>
          <w:tcPr>
            <w:tcW w:w="1204" w:type="dxa"/>
            <w:noWrap/>
            <w:vAlign w:val="bottom"/>
          </w:tcPr>
          <w:p w:rsidR="00EB5A4F" w:rsidRDefault="00EB5A4F" w:rsidP="00AD7DC5">
            <w:pPr>
              <w:spacing w:line="240" w:lineRule="auto"/>
              <w:jc w:val="center"/>
              <w:rPr>
                <w:bCs/>
                <w:sz w:val="24"/>
                <w:szCs w:val="24"/>
              </w:rPr>
            </w:pPr>
            <w:r>
              <w:rPr>
                <w:bCs/>
                <w:sz w:val="24"/>
                <w:szCs w:val="24"/>
              </w:rPr>
              <w:t>10 345</w:t>
            </w:r>
          </w:p>
        </w:tc>
        <w:tc>
          <w:tcPr>
            <w:tcW w:w="1134" w:type="dxa"/>
            <w:noWrap/>
            <w:vAlign w:val="bottom"/>
          </w:tcPr>
          <w:p w:rsidR="00EB5A4F" w:rsidRDefault="00EB5A4F" w:rsidP="00AD7DC5">
            <w:pPr>
              <w:spacing w:line="240" w:lineRule="auto"/>
              <w:jc w:val="center"/>
              <w:rPr>
                <w:bCs/>
                <w:sz w:val="24"/>
                <w:szCs w:val="24"/>
              </w:rPr>
            </w:pPr>
            <w:r>
              <w:rPr>
                <w:bCs/>
                <w:sz w:val="24"/>
                <w:szCs w:val="24"/>
              </w:rPr>
              <w:t>10 474</w:t>
            </w:r>
          </w:p>
        </w:tc>
        <w:tc>
          <w:tcPr>
            <w:tcW w:w="1134" w:type="dxa"/>
            <w:vAlign w:val="bottom"/>
          </w:tcPr>
          <w:p w:rsidR="00EB5A4F" w:rsidRDefault="00EB5A4F" w:rsidP="00AD7DC5">
            <w:pPr>
              <w:spacing w:line="240" w:lineRule="auto"/>
              <w:jc w:val="center"/>
              <w:rPr>
                <w:bCs/>
                <w:sz w:val="24"/>
                <w:szCs w:val="24"/>
              </w:rPr>
            </w:pPr>
            <w:r>
              <w:rPr>
                <w:bCs/>
                <w:sz w:val="24"/>
                <w:szCs w:val="24"/>
              </w:rPr>
              <w:t>12 832</w:t>
            </w:r>
          </w:p>
        </w:tc>
        <w:tc>
          <w:tcPr>
            <w:tcW w:w="1134" w:type="dxa"/>
            <w:noWrap/>
            <w:vAlign w:val="bottom"/>
          </w:tcPr>
          <w:p w:rsidR="00EB5A4F" w:rsidRDefault="00EB5A4F" w:rsidP="00AD7DC5">
            <w:pPr>
              <w:spacing w:line="240" w:lineRule="auto"/>
              <w:jc w:val="center"/>
              <w:rPr>
                <w:rFonts w:ascii="Times New Roman CYR" w:hAnsi="Times New Roman CYR" w:cs="Times New Roman CYR"/>
                <w:bCs/>
                <w:sz w:val="24"/>
                <w:szCs w:val="24"/>
              </w:rPr>
            </w:pPr>
            <w:r>
              <w:rPr>
                <w:rFonts w:ascii="Times New Roman CYR" w:hAnsi="Times New Roman CYR" w:cs="Times New Roman CYR"/>
                <w:sz w:val="24"/>
                <w:szCs w:val="24"/>
              </w:rPr>
              <w:t>100%</w:t>
            </w:r>
          </w:p>
        </w:tc>
        <w:tc>
          <w:tcPr>
            <w:tcW w:w="1276" w:type="dxa"/>
            <w:noWrap/>
            <w:vAlign w:val="bottom"/>
          </w:tcPr>
          <w:p w:rsidR="00EB5A4F" w:rsidRDefault="00EB5A4F" w:rsidP="00AD7DC5">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100.0%</w:t>
            </w:r>
          </w:p>
        </w:tc>
        <w:tc>
          <w:tcPr>
            <w:tcW w:w="1134" w:type="dxa"/>
            <w:vAlign w:val="bottom"/>
          </w:tcPr>
          <w:p w:rsidR="00EB5A4F" w:rsidRDefault="00EB5A4F" w:rsidP="00AD7DC5">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100.0%</w:t>
            </w:r>
          </w:p>
        </w:tc>
      </w:tr>
    </w:tbl>
    <w:p w:rsidR="00EB5A4F" w:rsidRDefault="00EB5A4F" w:rsidP="00D67A02">
      <w:pPr>
        <w:ind w:firstLine="708"/>
        <w:rPr>
          <w:sz w:val="28"/>
        </w:rPr>
      </w:pPr>
    </w:p>
    <w:p w:rsidR="00EB5A4F" w:rsidRDefault="00EB5A4F" w:rsidP="00D67A02">
      <w:pPr>
        <w:ind w:firstLine="708"/>
        <w:rPr>
          <w:iCs/>
          <w:sz w:val="28"/>
        </w:rPr>
      </w:pPr>
      <w:r>
        <w:rPr>
          <w:sz w:val="28"/>
        </w:rPr>
        <w:t xml:space="preserve">Привлеченные средства корпоративных клиентов на конец 2008 года (не кредитных организаций) составили 2 913 млн. рублей, привлеченные средства физических лиц превысили 5 135 млн. рублей. В структуре привлеченных средств, средства на счетах корпоративных клиентов  составляют 31.9% (в </w:t>
      </w:r>
      <w:smartTag w:uri="urn:schemas-microsoft-com:office:smarttags" w:element="metricconverter">
        <w:smartTagPr>
          <w:attr w:name="ProductID" w:val="2007 г"/>
        </w:smartTagPr>
        <w:r>
          <w:rPr>
            <w:sz w:val="28"/>
          </w:rPr>
          <w:t>2007 г</w:t>
        </w:r>
      </w:smartTag>
      <w:r>
        <w:rPr>
          <w:sz w:val="28"/>
        </w:rPr>
        <w:t xml:space="preserve">. – 39.5%), средства на счетах физических лиц  составляют 55.9% (в </w:t>
      </w:r>
      <w:smartTag w:uri="urn:schemas-microsoft-com:office:smarttags" w:element="metricconverter">
        <w:smartTagPr>
          <w:attr w:name="ProductID" w:val="2007 г"/>
        </w:smartTagPr>
        <w:r>
          <w:rPr>
            <w:sz w:val="28"/>
          </w:rPr>
          <w:t>2007 г</w:t>
        </w:r>
      </w:smartTag>
      <w:r>
        <w:rPr>
          <w:sz w:val="28"/>
        </w:rPr>
        <w:t>. – 50.1%).</w:t>
      </w:r>
    </w:p>
    <w:p w:rsidR="00EB5A4F" w:rsidRDefault="00EB5A4F" w:rsidP="002646CF">
      <w:pPr>
        <w:ind w:firstLine="708"/>
        <w:rPr>
          <w:sz w:val="28"/>
        </w:rPr>
      </w:pPr>
      <w:r>
        <w:rPr>
          <w:sz w:val="28"/>
        </w:rPr>
        <w:t>Банк стараемся предлагать своим клиентам лучшие условия, обеспечивать возможность выбора различных параметров депозита в зависимости от целей и потребностей клиента. Рост депозитов физических лиц говорит о высоком уровне доверия, оказываемого банку частными лицами.</w:t>
      </w:r>
    </w:p>
    <w:p w:rsidR="00EB5A4F" w:rsidRDefault="00EB5A4F" w:rsidP="002646CF">
      <w:pPr>
        <w:ind w:firstLine="708"/>
        <w:rPr>
          <w:sz w:val="28"/>
        </w:rPr>
      </w:pPr>
      <w:r>
        <w:rPr>
          <w:sz w:val="28"/>
        </w:rPr>
        <w:t xml:space="preserve">Особой популярностью в исследуемый период пользовались вклады в рублях и иностранной валюте сроком на 1 год, во втором полугодии, в связи с колебаниями валютных курсов, – вклад «Мультивалютный». </w:t>
      </w:r>
    </w:p>
    <w:p w:rsidR="00EB5A4F" w:rsidRDefault="00EB5A4F" w:rsidP="002646CF">
      <w:pPr>
        <w:ind w:firstLine="720"/>
        <w:rPr>
          <w:iCs/>
          <w:sz w:val="28"/>
          <w:szCs w:val="28"/>
        </w:rPr>
      </w:pPr>
      <w:r>
        <w:rPr>
          <w:iCs/>
          <w:sz w:val="28"/>
          <w:szCs w:val="28"/>
        </w:rPr>
        <w:t>Стремясь к увеличению размеров ресурсной базы, банк разработал и предлагал в 2009 году широкий спектр депозитов и вкладов на привлекательных для клиентов условиях. В результате удалось существенно увеличить объем привлеченных вкладов населения.</w:t>
      </w:r>
    </w:p>
    <w:p w:rsidR="00EB5A4F" w:rsidRDefault="00EB5A4F" w:rsidP="002646CF">
      <w:pPr>
        <w:ind w:firstLine="720"/>
        <w:rPr>
          <w:sz w:val="28"/>
          <w:szCs w:val="28"/>
        </w:rPr>
      </w:pPr>
      <w:r>
        <w:rPr>
          <w:sz w:val="28"/>
          <w:szCs w:val="28"/>
        </w:rPr>
        <w:t>Средства клиентов физических лиц в течение года показывали устойчивую динамику роста (темп прироста 34.6%) и составили на конец года 6 914 млн. рублей.</w:t>
      </w:r>
    </w:p>
    <w:p w:rsidR="00EB5A4F" w:rsidRDefault="00EB5A4F" w:rsidP="002646CF">
      <w:pPr>
        <w:ind w:firstLine="720"/>
        <w:rPr>
          <w:sz w:val="28"/>
          <w:szCs w:val="28"/>
        </w:rPr>
      </w:pPr>
      <w:r>
        <w:rPr>
          <w:sz w:val="28"/>
          <w:szCs w:val="28"/>
        </w:rPr>
        <w:t xml:space="preserve">Средства клиентов юридических лиц выросли на 35.4% и составили 3 945 млн. рублей. </w:t>
      </w:r>
    </w:p>
    <w:p w:rsidR="00EB5A4F" w:rsidRDefault="00EB5A4F" w:rsidP="002646CF">
      <w:pPr>
        <w:ind w:firstLine="708"/>
        <w:rPr>
          <w:sz w:val="28"/>
          <w:szCs w:val="28"/>
        </w:rPr>
      </w:pPr>
      <w:r>
        <w:rPr>
          <w:sz w:val="28"/>
          <w:szCs w:val="28"/>
        </w:rPr>
        <w:t xml:space="preserve">Особой популярностью в 2009 году пользовались вклады в рублях и иностранной валюте сроком на 1 год и, в связи с колебаниями валютных курсов, – вклад «Мультивалютный». </w:t>
      </w:r>
    </w:p>
    <w:p w:rsidR="00EB5A4F" w:rsidRDefault="00EB5A4F" w:rsidP="002646CF">
      <w:pPr>
        <w:ind w:firstLine="708"/>
        <w:rPr>
          <w:sz w:val="28"/>
          <w:szCs w:val="28"/>
        </w:rPr>
      </w:pPr>
      <w:r>
        <w:rPr>
          <w:sz w:val="28"/>
          <w:szCs w:val="28"/>
        </w:rPr>
        <w:t xml:space="preserve">В структуре пассивов, средства на счетах корпоративных клиентов  составляют 30.7% (в </w:t>
      </w:r>
      <w:smartTag w:uri="urn:schemas-microsoft-com:office:smarttags" w:element="metricconverter">
        <w:smartTagPr>
          <w:attr w:name="ProductID" w:val="2008 г"/>
        </w:smartTagPr>
        <w:r>
          <w:rPr>
            <w:sz w:val="28"/>
            <w:szCs w:val="28"/>
          </w:rPr>
          <w:t>2008 г</w:t>
        </w:r>
      </w:smartTag>
      <w:r>
        <w:rPr>
          <w:sz w:val="28"/>
          <w:szCs w:val="28"/>
        </w:rPr>
        <w:t xml:space="preserve">. – 27.8%), средства на счетах физических лиц  составляют 53.9% (в </w:t>
      </w:r>
      <w:smartTag w:uri="urn:schemas-microsoft-com:office:smarttags" w:element="metricconverter">
        <w:smartTagPr>
          <w:attr w:name="ProductID" w:val="2008 г"/>
        </w:smartTagPr>
        <w:r>
          <w:rPr>
            <w:sz w:val="28"/>
            <w:szCs w:val="28"/>
          </w:rPr>
          <w:t>2008 г</w:t>
        </w:r>
      </w:smartTag>
      <w:r>
        <w:rPr>
          <w:sz w:val="28"/>
          <w:szCs w:val="28"/>
        </w:rPr>
        <w:t>. – 49.0%).</w:t>
      </w:r>
    </w:p>
    <w:p w:rsidR="00EB5A4F" w:rsidRDefault="00EB5A4F" w:rsidP="002646CF">
      <w:pPr>
        <w:rPr>
          <w:sz w:val="28"/>
          <w:szCs w:val="28"/>
        </w:rPr>
      </w:pPr>
      <w:r>
        <w:rPr>
          <w:sz w:val="28"/>
          <w:szCs w:val="28"/>
        </w:rPr>
        <w:tab/>
        <w:t>На расчетных счетах юридических лиц отражается поступающая в их адрес от контрагентов выручка от реализации товаров, работ, услуг, доходы от внереализационных операций, суммы полученных от банков кредитов, а также расходование этих средств на платежи поставщикам, уплату налогов в бюджеты разного уровня, перечисления в различные внебюджетные фонды, выплаты заработной платы работникам и другое. Остатки средств на расчетных (текущих) счетах юридических лиц являются подвижными, что заставляет банк для сохранения своей ликвидности постоянно держать на достаточном уровне свои высоколиквидные активы (денежные средства в кассе банка и на корреспондентском счете в РКЦ Банка России).</w:t>
      </w:r>
    </w:p>
    <w:p w:rsidR="00EB5A4F" w:rsidRDefault="00EB5A4F" w:rsidP="002646CF">
      <w:pPr>
        <w:widowControl w:val="0"/>
        <w:autoSpaceDE w:val="0"/>
        <w:autoSpaceDN w:val="0"/>
        <w:adjustRightInd w:val="0"/>
        <w:ind w:firstLine="709"/>
        <w:rPr>
          <w:sz w:val="28"/>
          <w:szCs w:val="28"/>
        </w:rPr>
      </w:pPr>
      <w:r>
        <w:rPr>
          <w:sz w:val="28"/>
          <w:szCs w:val="28"/>
        </w:rPr>
        <w:t>Определим динамику пассивных операций ОАО ФСКБ «Примсоцбанк» в таблице 5.</w:t>
      </w:r>
    </w:p>
    <w:p w:rsidR="00EB5A4F" w:rsidRDefault="00EB5A4F" w:rsidP="002646CF">
      <w:pPr>
        <w:widowControl w:val="0"/>
        <w:autoSpaceDE w:val="0"/>
        <w:autoSpaceDN w:val="0"/>
        <w:adjustRightInd w:val="0"/>
        <w:ind w:firstLine="709"/>
        <w:rPr>
          <w:sz w:val="28"/>
          <w:szCs w:val="28"/>
        </w:rPr>
      </w:pPr>
      <w:r>
        <w:rPr>
          <w:sz w:val="28"/>
          <w:szCs w:val="28"/>
        </w:rPr>
        <w:t>.</w:t>
      </w:r>
    </w:p>
    <w:p w:rsidR="00EB5A4F" w:rsidRDefault="00EB5A4F" w:rsidP="002646CF">
      <w:pPr>
        <w:widowControl w:val="0"/>
        <w:autoSpaceDE w:val="0"/>
        <w:autoSpaceDN w:val="0"/>
        <w:adjustRightInd w:val="0"/>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Cs/>
          <w:sz w:val="24"/>
          <w:szCs w:val="24"/>
        </w:rPr>
        <w:t>Таблица  5</w:t>
      </w:r>
    </w:p>
    <w:p w:rsidR="00EB5A4F" w:rsidRDefault="00EB5A4F" w:rsidP="002646CF">
      <w:pPr>
        <w:jc w:val="center"/>
        <w:rPr>
          <w:iCs/>
          <w:sz w:val="24"/>
          <w:szCs w:val="24"/>
        </w:rPr>
      </w:pPr>
      <w:r>
        <w:rPr>
          <w:iCs/>
          <w:sz w:val="24"/>
          <w:szCs w:val="24"/>
        </w:rPr>
        <w:t>Динамика пассивных операций ОАО ФСКБ «Примсоцбанк» за 2008-</w:t>
      </w:r>
      <w:smartTag w:uri="urn:schemas-microsoft-com:office:smarttags" w:element="metricconverter">
        <w:smartTagPr>
          <w:attr w:name="ProductID" w:val="2009 г"/>
        </w:smartTagPr>
        <w:r>
          <w:rPr>
            <w:iCs/>
            <w:sz w:val="24"/>
            <w:szCs w:val="24"/>
          </w:rPr>
          <w:t>2009 г</w:t>
        </w:r>
      </w:smartTag>
      <w:r>
        <w:rPr>
          <w:iCs/>
          <w:sz w:val="24"/>
          <w:szCs w:val="24"/>
        </w:rPr>
        <w:t>.г.(млн.руб.)</w:t>
      </w:r>
    </w:p>
    <w:tbl>
      <w:tblPr>
        <w:tblW w:w="9807" w:type="dxa"/>
        <w:tblLayout w:type="fixed"/>
        <w:tblLook w:val="00A0" w:firstRow="1" w:lastRow="0" w:firstColumn="1" w:lastColumn="0" w:noHBand="0" w:noVBand="0"/>
      </w:tblPr>
      <w:tblGrid>
        <w:gridCol w:w="1548"/>
        <w:gridCol w:w="1176"/>
        <w:gridCol w:w="984"/>
        <w:gridCol w:w="900"/>
        <w:gridCol w:w="1260"/>
        <w:gridCol w:w="1260"/>
        <w:gridCol w:w="1260"/>
        <w:gridCol w:w="1419"/>
      </w:tblGrid>
      <w:tr w:rsidR="00EB5A4F" w:rsidTr="00D67A02">
        <w:trPr>
          <w:trHeight w:val="256"/>
        </w:trPr>
        <w:tc>
          <w:tcPr>
            <w:tcW w:w="1548" w:type="dxa"/>
            <w:tcBorders>
              <w:top w:val="nil"/>
              <w:left w:val="nil"/>
              <w:bottom w:val="single" w:sz="4" w:space="0" w:color="auto"/>
              <w:right w:val="nil"/>
            </w:tcBorders>
            <w:vAlign w:val="center"/>
          </w:tcPr>
          <w:p w:rsidR="00EB5A4F" w:rsidRDefault="00EB5A4F" w:rsidP="00DC4BC1">
            <w:pPr>
              <w:spacing w:line="240" w:lineRule="auto"/>
              <w:jc w:val="center"/>
              <w:rPr>
                <w:bCs/>
                <w:sz w:val="24"/>
                <w:szCs w:val="24"/>
              </w:rPr>
            </w:pPr>
            <w:r>
              <w:rPr>
                <w:bCs/>
                <w:sz w:val="24"/>
                <w:szCs w:val="24"/>
              </w:rPr>
              <w:t>Наименование статей</w:t>
            </w:r>
          </w:p>
        </w:tc>
        <w:tc>
          <w:tcPr>
            <w:tcW w:w="1176" w:type="dxa"/>
            <w:tcBorders>
              <w:top w:val="nil"/>
              <w:left w:val="single" w:sz="4" w:space="0" w:color="auto"/>
              <w:bottom w:val="single" w:sz="4" w:space="0" w:color="auto"/>
              <w:right w:val="single" w:sz="4" w:space="0" w:color="auto"/>
            </w:tcBorders>
            <w:noWrap/>
            <w:vAlign w:val="bottom"/>
          </w:tcPr>
          <w:p w:rsidR="00EB5A4F" w:rsidRDefault="00EB5A4F" w:rsidP="00DC4BC1">
            <w:pPr>
              <w:spacing w:line="240" w:lineRule="auto"/>
              <w:jc w:val="left"/>
              <w:rPr>
                <w:rFonts w:ascii="Times New Roman CYR" w:hAnsi="Times New Roman CYR" w:cs="Times New Roman CYR"/>
                <w:bCs/>
                <w:sz w:val="24"/>
                <w:szCs w:val="24"/>
              </w:rPr>
            </w:pPr>
            <w:r>
              <w:rPr>
                <w:rFonts w:ascii="Times New Roman CYR" w:hAnsi="Times New Roman CYR" w:cs="Times New Roman CYR"/>
                <w:bCs/>
                <w:sz w:val="24"/>
                <w:szCs w:val="24"/>
              </w:rPr>
              <w:t>Сумма</w:t>
            </w:r>
          </w:p>
        </w:tc>
        <w:tc>
          <w:tcPr>
            <w:tcW w:w="984" w:type="dxa"/>
            <w:tcBorders>
              <w:top w:val="nil"/>
              <w:left w:val="nil"/>
              <w:bottom w:val="single" w:sz="4" w:space="0" w:color="auto"/>
              <w:right w:val="single" w:sz="4" w:space="0" w:color="auto"/>
            </w:tcBorders>
            <w:noWrap/>
            <w:vAlign w:val="bottom"/>
          </w:tcPr>
          <w:p w:rsidR="00EB5A4F" w:rsidRDefault="00EB5A4F" w:rsidP="00DC4BC1">
            <w:pPr>
              <w:spacing w:line="240" w:lineRule="auto"/>
              <w:jc w:val="left"/>
              <w:rPr>
                <w:bCs/>
                <w:sz w:val="24"/>
                <w:szCs w:val="24"/>
              </w:rPr>
            </w:pPr>
          </w:p>
        </w:tc>
        <w:tc>
          <w:tcPr>
            <w:tcW w:w="900" w:type="dxa"/>
            <w:tcBorders>
              <w:top w:val="nil"/>
              <w:left w:val="nil"/>
              <w:bottom w:val="single" w:sz="4" w:space="0" w:color="auto"/>
              <w:right w:val="nil"/>
            </w:tcBorders>
          </w:tcPr>
          <w:p w:rsidR="00EB5A4F" w:rsidRDefault="00EB5A4F" w:rsidP="00DC4BC1">
            <w:pPr>
              <w:spacing w:line="240" w:lineRule="auto"/>
              <w:jc w:val="left"/>
              <w:rPr>
                <w:bCs/>
                <w:sz w:val="24"/>
                <w:szCs w:val="24"/>
              </w:rPr>
            </w:pPr>
          </w:p>
        </w:tc>
        <w:tc>
          <w:tcPr>
            <w:tcW w:w="1260" w:type="dxa"/>
            <w:tcBorders>
              <w:top w:val="nil"/>
              <w:left w:val="nil"/>
              <w:bottom w:val="single" w:sz="4" w:space="0" w:color="auto"/>
              <w:right w:val="single" w:sz="4" w:space="0" w:color="auto"/>
            </w:tcBorders>
            <w:noWrap/>
            <w:vAlign w:val="center"/>
          </w:tcPr>
          <w:p w:rsidR="00EB5A4F" w:rsidRDefault="00EB5A4F" w:rsidP="00DC4BC1">
            <w:pPr>
              <w:spacing w:line="240" w:lineRule="auto"/>
              <w:jc w:val="left"/>
              <w:rPr>
                <w:bCs/>
                <w:sz w:val="24"/>
                <w:szCs w:val="24"/>
              </w:rPr>
            </w:pPr>
            <w:r>
              <w:rPr>
                <w:bCs/>
                <w:sz w:val="24"/>
                <w:szCs w:val="24"/>
              </w:rPr>
              <w:t>Абсолют</w:t>
            </w:r>
          </w:p>
          <w:p w:rsidR="00EB5A4F" w:rsidRDefault="00EB5A4F" w:rsidP="00DC4BC1">
            <w:pPr>
              <w:spacing w:line="240" w:lineRule="auto"/>
              <w:jc w:val="left"/>
              <w:rPr>
                <w:bCs/>
                <w:sz w:val="24"/>
                <w:szCs w:val="24"/>
              </w:rPr>
            </w:pPr>
            <w:r>
              <w:rPr>
                <w:bCs/>
                <w:sz w:val="24"/>
                <w:szCs w:val="24"/>
              </w:rPr>
              <w:t>ное отклонение</w:t>
            </w:r>
          </w:p>
        </w:tc>
        <w:tc>
          <w:tcPr>
            <w:tcW w:w="1260" w:type="dxa"/>
            <w:tcBorders>
              <w:top w:val="nil"/>
              <w:left w:val="nil"/>
              <w:bottom w:val="single" w:sz="4" w:space="0" w:color="auto"/>
              <w:right w:val="single" w:sz="4" w:space="0" w:color="auto"/>
            </w:tcBorders>
            <w:noWrap/>
            <w:vAlign w:val="center"/>
          </w:tcPr>
          <w:p w:rsidR="00EB5A4F" w:rsidRDefault="00EB5A4F" w:rsidP="00DC4BC1">
            <w:pPr>
              <w:spacing w:line="240" w:lineRule="auto"/>
              <w:jc w:val="left"/>
              <w:rPr>
                <w:bCs/>
                <w:sz w:val="24"/>
                <w:szCs w:val="24"/>
              </w:rPr>
            </w:pPr>
            <w:r>
              <w:rPr>
                <w:bCs/>
                <w:sz w:val="24"/>
                <w:szCs w:val="24"/>
              </w:rPr>
              <w:t>Абсолют</w:t>
            </w:r>
          </w:p>
          <w:p w:rsidR="00EB5A4F" w:rsidRDefault="00EB5A4F" w:rsidP="00DC4BC1">
            <w:pPr>
              <w:spacing w:line="240" w:lineRule="auto"/>
              <w:jc w:val="left"/>
              <w:rPr>
                <w:bCs/>
                <w:sz w:val="24"/>
                <w:szCs w:val="24"/>
              </w:rPr>
            </w:pPr>
            <w:r>
              <w:rPr>
                <w:bCs/>
                <w:sz w:val="24"/>
                <w:szCs w:val="24"/>
              </w:rPr>
              <w:t>ное отклонение</w:t>
            </w:r>
          </w:p>
        </w:tc>
        <w:tc>
          <w:tcPr>
            <w:tcW w:w="1260" w:type="dxa"/>
            <w:tcBorders>
              <w:top w:val="nil"/>
              <w:left w:val="nil"/>
              <w:bottom w:val="single" w:sz="4" w:space="0" w:color="auto"/>
              <w:right w:val="single" w:sz="4" w:space="0" w:color="auto"/>
            </w:tcBorders>
          </w:tcPr>
          <w:p w:rsidR="00EB5A4F" w:rsidRDefault="00EB5A4F" w:rsidP="00DC4BC1">
            <w:pPr>
              <w:spacing w:line="240" w:lineRule="auto"/>
              <w:jc w:val="left"/>
              <w:rPr>
                <w:bCs/>
                <w:sz w:val="24"/>
                <w:szCs w:val="24"/>
              </w:rPr>
            </w:pPr>
            <w:r>
              <w:rPr>
                <w:bCs/>
                <w:sz w:val="24"/>
                <w:szCs w:val="24"/>
              </w:rPr>
              <w:t>Темп прироста, %</w:t>
            </w: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center"/>
              <w:rPr>
                <w:bCs/>
                <w:sz w:val="24"/>
                <w:szCs w:val="24"/>
              </w:rPr>
            </w:pPr>
            <w:r>
              <w:rPr>
                <w:bCs/>
                <w:sz w:val="24"/>
                <w:szCs w:val="24"/>
              </w:rPr>
              <w:t>Темп прироста,%</w:t>
            </w:r>
          </w:p>
        </w:tc>
      </w:tr>
      <w:tr w:rsidR="00EB5A4F" w:rsidTr="00D67A02">
        <w:trPr>
          <w:trHeight w:val="256"/>
        </w:trPr>
        <w:tc>
          <w:tcPr>
            <w:tcW w:w="1548" w:type="dxa"/>
            <w:tcBorders>
              <w:top w:val="nil"/>
              <w:left w:val="nil"/>
              <w:bottom w:val="single" w:sz="4" w:space="0" w:color="auto"/>
              <w:right w:val="nil"/>
            </w:tcBorders>
          </w:tcPr>
          <w:p w:rsidR="00EB5A4F" w:rsidRDefault="00EB5A4F" w:rsidP="00DC4BC1">
            <w:pPr>
              <w:spacing w:line="240" w:lineRule="auto"/>
              <w:jc w:val="center"/>
              <w:rPr>
                <w:bCs/>
                <w:sz w:val="24"/>
                <w:szCs w:val="24"/>
              </w:rPr>
            </w:pPr>
            <w:r>
              <w:rPr>
                <w:bCs/>
                <w:sz w:val="24"/>
                <w:szCs w:val="24"/>
              </w:rPr>
              <w:t>ПАССИВЫ</w:t>
            </w:r>
          </w:p>
        </w:tc>
        <w:tc>
          <w:tcPr>
            <w:tcW w:w="1176" w:type="dxa"/>
            <w:tcBorders>
              <w:top w:val="nil"/>
              <w:left w:val="single" w:sz="4" w:space="0" w:color="auto"/>
              <w:bottom w:val="single" w:sz="4" w:space="0" w:color="auto"/>
              <w:right w:val="single" w:sz="4" w:space="0" w:color="auto"/>
            </w:tcBorders>
            <w:noWrap/>
            <w:vAlign w:val="center"/>
          </w:tcPr>
          <w:p w:rsidR="00EB5A4F" w:rsidRDefault="00EB5A4F" w:rsidP="00DC4BC1">
            <w:pPr>
              <w:spacing w:line="240" w:lineRule="auto"/>
              <w:jc w:val="left"/>
              <w:rPr>
                <w:bCs/>
                <w:sz w:val="22"/>
              </w:rPr>
            </w:pPr>
            <w:r>
              <w:rPr>
                <w:bCs/>
                <w:sz w:val="22"/>
              </w:rPr>
              <w:t>01.01.08</w:t>
            </w:r>
          </w:p>
        </w:tc>
        <w:tc>
          <w:tcPr>
            <w:tcW w:w="984" w:type="dxa"/>
            <w:tcBorders>
              <w:top w:val="nil"/>
              <w:left w:val="nil"/>
              <w:bottom w:val="single" w:sz="4" w:space="0" w:color="auto"/>
              <w:right w:val="single" w:sz="4" w:space="0" w:color="auto"/>
            </w:tcBorders>
            <w:noWrap/>
            <w:vAlign w:val="center"/>
          </w:tcPr>
          <w:p w:rsidR="00EB5A4F" w:rsidRDefault="00EB5A4F" w:rsidP="00DC4BC1">
            <w:pPr>
              <w:spacing w:line="240" w:lineRule="auto"/>
              <w:jc w:val="left"/>
              <w:rPr>
                <w:bCs/>
                <w:sz w:val="22"/>
              </w:rPr>
            </w:pPr>
            <w:r>
              <w:rPr>
                <w:bCs/>
                <w:sz w:val="22"/>
              </w:rPr>
              <w:t>01.01.09</w:t>
            </w:r>
          </w:p>
        </w:tc>
        <w:tc>
          <w:tcPr>
            <w:tcW w:w="900" w:type="dxa"/>
            <w:tcBorders>
              <w:top w:val="nil"/>
              <w:left w:val="nil"/>
              <w:bottom w:val="single" w:sz="4" w:space="0" w:color="auto"/>
              <w:right w:val="nil"/>
            </w:tcBorders>
            <w:vAlign w:val="center"/>
          </w:tcPr>
          <w:p w:rsidR="00EB5A4F" w:rsidRDefault="00EB5A4F" w:rsidP="00DC4BC1">
            <w:pPr>
              <w:spacing w:line="240" w:lineRule="auto"/>
              <w:jc w:val="left"/>
              <w:rPr>
                <w:bCs/>
                <w:sz w:val="22"/>
              </w:rPr>
            </w:pPr>
            <w:r>
              <w:rPr>
                <w:bCs/>
                <w:sz w:val="22"/>
              </w:rPr>
              <w:t>01.01.10</w:t>
            </w:r>
          </w:p>
        </w:tc>
        <w:tc>
          <w:tcPr>
            <w:tcW w:w="1260" w:type="dxa"/>
            <w:tcBorders>
              <w:top w:val="nil"/>
              <w:left w:val="nil"/>
              <w:bottom w:val="single" w:sz="4" w:space="0" w:color="auto"/>
              <w:right w:val="single" w:sz="4" w:space="0" w:color="auto"/>
            </w:tcBorders>
            <w:noWrap/>
            <w:vAlign w:val="center"/>
          </w:tcPr>
          <w:p w:rsidR="00EB5A4F" w:rsidRDefault="00EB5A4F" w:rsidP="00DC4BC1">
            <w:pPr>
              <w:spacing w:line="240" w:lineRule="auto"/>
              <w:jc w:val="left"/>
              <w:rPr>
                <w:bCs/>
                <w:sz w:val="22"/>
              </w:rPr>
            </w:pPr>
            <w:r>
              <w:rPr>
                <w:bCs/>
                <w:sz w:val="22"/>
              </w:rPr>
              <w:t>01.01.08/</w:t>
            </w:r>
          </w:p>
          <w:p w:rsidR="00EB5A4F" w:rsidRDefault="00EB5A4F" w:rsidP="00DC4BC1">
            <w:pPr>
              <w:spacing w:line="240" w:lineRule="auto"/>
              <w:jc w:val="left"/>
              <w:rPr>
                <w:bCs/>
                <w:sz w:val="22"/>
              </w:rPr>
            </w:pPr>
            <w:r>
              <w:rPr>
                <w:bCs/>
                <w:sz w:val="22"/>
              </w:rPr>
              <w:t>01.01.2009</w:t>
            </w:r>
          </w:p>
        </w:tc>
        <w:tc>
          <w:tcPr>
            <w:tcW w:w="1260" w:type="dxa"/>
            <w:tcBorders>
              <w:top w:val="nil"/>
              <w:left w:val="nil"/>
              <w:bottom w:val="single" w:sz="4" w:space="0" w:color="auto"/>
              <w:right w:val="single" w:sz="4" w:space="0" w:color="auto"/>
            </w:tcBorders>
            <w:noWrap/>
            <w:vAlign w:val="center"/>
          </w:tcPr>
          <w:p w:rsidR="00EB5A4F" w:rsidRDefault="00EB5A4F" w:rsidP="00DC4BC1">
            <w:pPr>
              <w:spacing w:line="240" w:lineRule="auto"/>
              <w:jc w:val="left"/>
              <w:rPr>
                <w:bCs/>
                <w:sz w:val="22"/>
              </w:rPr>
            </w:pPr>
            <w:r>
              <w:rPr>
                <w:bCs/>
                <w:sz w:val="22"/>
              </w:rPr>
              <w:t>01.01.09/</w:t>
            </w:r>
          </w:p>
          <w:p w:rsidR="00EB5A4F" w:rsidRDefault="00EB5A4F" w:rsidP="00DC4BC1">
            <w:pPr>
              <w:spacing w:line="240" w:lineRule="auto"/>
              <w:jc w:val="left"/>
              <w:rPr>
                <w:bCs/>
                <w:sz w:val="22"/>
              </w:rPr>
            </w:pPr>
            <w:r>
              <w:rPr>
                <w:bCs/>
                <w:sz w:val="22"/>
              </w:rPr>
              <w:t>01.01.2010</w:t>
            </w:r>
          </w:p>
        </w:tc>
        <w:tc>
          <w:tcPr>
            <w:tcW w:w="1260" w:type="dxa"/>
            <w:tcBorders>
              <w:top w:val="nil"/>
              <w:left w:val="nil"/>
              <w:bottom w:val="single" w:sz="4" w:space="0" w:color="auto"/>
              <w:right w:val="single" w:sz="4" w:space="0" w:color="auto"/>
            </w:tcBorders>
            <w:vAlign w:val="center"/>
          </w:tcPr>
          <w:p w:rsidR="00EB5A4F" w:rsidRDefault="00EB5A4F" w:rsidP="00DC4BC1">
            <w:pPr>
              <w:spacing w:line="240" w:lineRule="auto"/>
              <w:jc w:val="left"/>
              <w:rPr>
                <w:bCs/>
                <w:sz w:val="22"/>
              </w:rPr>
            </w:pPr>
            <w:r>
              <w:rPr>
                <w:bCs/>
                <w:sz w:val="22"/>
              </w:rPr>
              <w:t>01.01.08/</w:t>
            </w:r>
          </w:p>
          <w:p w:rsidR="00EB5A4F" w:rsidRDefault="00EB5A4F" w:rsidP="00DC4BC1">
            <w:pPr>
              <w:spacing w:line="240" w:lineRule="auto"/>
              <w:jc w:val="left"/>
              <w:rPr>
                <w:bCs/>
                <w:sz w:val="22"/>
              </w:rPr>
            </w:pPr>
            <w:r>
              <w:rPr>
                <w:bCs/>
                <w:sz w:val="22"/>
              </w:rPr>
              <w:t>01.01.2009</w:t>
            </w: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left"/>
              <w:rPr>
                <w:bCs/>
                <w:sz w:val="22"/>
              </w:rPr>
            </w:pPr>
            <w:r>
              <w:rPr>
                <w:bCs/>
                <w:sz w:val="22"/>
              </w:rPr>
              <w:t>01.01.09/</w:t>
            </w:r>
          </w:p>
          <w:p w:rsidR="00EB5A4F" w:rsidRDefault="00EB5A4F" w:rsidP="00DC4BC1">
            <w:pPr>
              <w:spacing w:line="240" w:lineRule="auto"/>
              <w:jc w:val="center"/>
              <w:rPr>
                <w:bCs/>
                <w:sz w:val="22"/>
              </w:rPr>
            </w:pPr>
            <w:r>
              <w:rPr>
                <w:bCs/>
                <w:sz w:val="22"/>
              </w:rPr>
              <w:t>01.01.2010</w:t>
            </w:r>
          </w:p>
        </w:tc>
      </w:tr>
      <w:tr w:rsidR="00EB5A4F" w:rsidTr="00D67A02">
        <w:trPr>
          <w:trHeight w:val="771"/>
        </w:trPr>
        <w:tc>
          <w:tcPr>
            <w:tcW w:w="1548" w:type="dxa"/>
            <w:tcBorders>
              <w:top w:val="nil"/>
              <w:left w:val="nil"/>
              <w:bottom w:val="single" w:sz="4" w:space="0" w:color="auto"/>
              <w:right w:val="nil"/>
            </w:tcBorders>
          </w:tcPr>
          <w:p w:rsidR="00EB5A4F" w:rsidRDefault="00EB5A4F" w:rsidP="00DC4BC1">
            <w:pPr>
              <w:spacing w:line="240" w:lineRule="auto"/>
              <w:rPr>
                <w:sz w:val="24"/>
                <w:szCs w:val="24"/>
              </w:rPr>
            </w:pPr>
            <w:r>
              <w:rPr>
                <w:sz w:val="24"/>
                <w:szCs w:val="24"/>
              </w:rPr>
              <w:t>Кредиты Центрального банка РФ</w:t>
            </w:r>
          </w:p>
        </w:tc>
        <w:tc>
          <w:tcPr>
            <w:tcW w:w="1176" w:type="dxa"/>
            <w:tcBorders>
              <w:top w:val="nil"/>
              <w:left w:val="single" w:sz="4" w:space="0" w:color="auto"/>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0</w:t>
            </w:r>
          </w:p>
        </w:tc>
        <w:tc>
          <w:tcPr>
            <w:tcW w:w="984" w:type="dxa"/>
            <w:tcBorders>
              <w:top w:val="nil"/>
              <w:left w:val="nil"/>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56</w:t>
            </w:r>
          </w:p>
        </w:tc>
        <w:tc>
          <w:tcPr>
            <w:tcW w:w="900" w:type="dxa"/>
            <w:tcBorders>
              <w:top w:val="nil"/>
              <w:left w:val="nil"/>
              <w:bottom w:val="single" w:sz="4" w:space="0" w:color="auto"/>
              <w:right w:val="nil"/>
            </w:tcBorders>
          </w:tcPr>
          <w:p w:rsidR="00EB5A4F" w:rsidRDefault="00EB5A4F" w:rsidP="00DC4BC1">
            <w:pPr>
              <w:spacing w:line="240" w:lineRule="auto"/>
              <w:jc w:val="center"/>
              <w:rPr>
                <w:sz w:val="24"/>
                <w:szCs w:val="24"/>
              </w:rPr>
            </w:pPr>
            <w:r>
              <w:rPr>
                <w:sz w:val="24"/>
                <w:szCs w:val="24"/>
              </w:rPr>
              <w:t>0</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w:t>
            </w:r>
          </w:p>
        </w:tc>
        <w:tc>
          <w:tcPr>
            <w:tcW w:w="1260" w:type="dxa"/>
            <w:tcBorders>
              <w:top w:val="nil"/>
              <w:left w:val="nil"/>
              <w:bottom w:val="single" w:sz="4" w:space="0" w:color="auto"/>
              <w:right w:val="single" w:sz="4" w:space="0" w:color="auto"/>
            </w:tcBorders>
            <w:vAlign w:val="bottom"/>
          </w:tcPr>
          <w:p w:rsidR="00EB5A4F" w:rsidRDefault="00EB5A4F" w:rsidP="00DC4BC1">
            <w:pPr>
              <w:spacing w:line="240" w:lineRule="auto"/>
              <w:jc w:val="center"/>
              <w:rPr>
                <w:rFonts w:ascii="Times New Roman CYR" w:hAnsi="Times New Roman CYR" w:cs="Times New Roman CYR"/>
                <w:sz w:val="24"/>
                <w:szCs w:val="24"/>
              </w:rPr>
            </w:pP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center"/>
              <w:rPr>
                <w:rFonts w:ascii="Times New Roman CYR" w:hAnsi="Times New Roman CYR" w:cs="Times New Roman CYR"/>
                <w:sz w:val="24"/>
                <w:szCs w:val="24"/>
              </w:rPr>
            </w:pPr>
          </w:p>
        </w:tc>
      </w:tr>
      <w:tr w:rsidR="00EB5A4F" w:rsidTr="00D67A02">
        <w:trPr>
          <w:trHeight w:val="256"/>
        </w:trPr>
        <w:tc>
          <w:tcPr>
            <w:tcW w:w="1548" w:type="dxa"/>
            <w:tcBorders>
              <w:top w:val="nil"/>
              <w:left w:val="nil"/>
              <w:bottom w:val="single" w:sz="4" w:space="0" w:color="auto"/>
              <w:right w:val="nil"/>
            </w:tcBorders>
          </w:tcPr>
          <w:p w:rsidR="00EB5A4F" w:rsidRDefault="00EB5A4F" w:rsidP="00DC4BC1">
            <w:pPr>
              <w:spacing w:line="240" w:lineRule="auto"/>
              <w:rPr>
                <w:sz w:val="24"/>
                <w:szCs w:val="24"/>
              </w:rPr>
            </w:pPr>
            <w:r>
              <w:rPr>
                <w:sz w:val="24"/>
                <w:szCs w:val="24"/>
              </w:rPr>
              <w:t>Средства кредитных организаций</w:t>
            </w:r>
          </w:p>
        </w:tc>
        <w:tc>
          <w:tcPr>
            <w:tcW w:w="1176" w:type="dxa"/>
            <w:tcBorders>
              <w:top w:val="nil"/>
              <w:left w:val="single" w:sz="4" w:space="0" w:color="auto"/>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811</w:t>
            </w:r>
          </w:p>
        </w:tc>
        <w:tc>
          <w:tcPr>
            <w:tcW w:w="984" w:type="dxa"/>
            <w:tcBorders>
              <w:top w:val="nil"/>
              <w:left w:val="nil"/>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830</w:t>
            </w:r>
          </w:p>
        </w:tc>
        <w:tc>
          <w:tcPr>
            <w:tcW w:w="900" w:type="dxa"/>
            <w:tcBorders>
              <w:top w:val="nil"/>
              <w:left w:val="nil"/>
              <w:bottom w:val="single" w:sz="4" w:space="0" w:color="auto"/>
              <w:right w:val="nil"/>
            </w:tcBorders>
          </w:tcPr>
          <w:p w:rsidR="00EB5A4F" w:rsidRDefault="00EB5A4F" w:rsidP="00DC4BC1">
            <w:pPr>
              <w:spacing w:line="240" w:lineRule="auto"/>
              <w:jc w:val="center"/>
              <w:rPr>
                <w:sz w:val="24"/>
                <w:szCs w:val="24"/>
              </w:rPr>
            </w:pPr>
            <w:r>
              <w:rPr>
                <w:sz w:val="24"/>
                <w:szCs w:val="24"/>
              </w:rPr>
              <w:t>360</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-470</w:t>
            </w:r>
          </w:p>
        </w:tc>
        <w:tc>
          <w:tcPr>
            <w:tcW w:w="1260" w:type="dxa"/>
            <w:tcBorders>
              <w:top w:val="nil"/>
              <w:left w:val="nil"/>
              <w:bottom w:val="single" w:sz="4" w:space="0" w:color="auto"/>
              <w:right w:val="single" w:sz="4" w:space="0" w:color="auto"/>
            </w:tcBorders>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102,3</w:t>
            </w: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center"/>
              <w:rPr>
                <w:rFonts w:ascii="Times New Roman CYR" w:hAnsi="Times New Roman CYR" w:cs="Times New Roman CYR"/>
                <w:sz w:val="24"/>
                <w:szCs w:val="24"/>
              </w:rPr>
            </w:pPr>
          </w:p>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43,4</w:t>
            </w:r>
          </w:p>
        </w:tc>
      </w:tr>
      <w:tr w:rsidR="00EB5A4F" w:rsidTr="00D67A02">
        <w:trPr>
          <w:trHeight w:val="256"/>
        </w:trPr>
        <w:tc>
          <w:tcPr>
            <w:tcW w:w="1548" w:type="dxa"/>
            <w:tcBorders>
              <w:top w:val="nil"/>
              <w:left w:val="nil"/>
              <w:bottom w:val="single" w:sz="4" w:space="0" w:color="auto"/>
              <w:right w:val="nil"/>
            </w:tcBorders>
          </w:tcPr>
          <w:p w:rsidR="00EB5A4F" w:rsidRDefault="00EB5A4F" w:rsidP="00DC4BC1">
            <w:pPr>
              <w:spacing w:line="240" w:lineRule="auto"/>
              <w:rPr>
                <w:sz w:val="24"/>
                <w:szCs w:val="24"/>
              </w:rPr>
            </w:pPr>
            <w:r>
              <w:rPr>
                <w:sz w:val="24"/>
                <w:szCs w:val="24"/>
              </w:rPr>
              <w:t>Средства юридических лиц</w:t>
            </w:r>
          </w:p>
        </w:tc>
        <w:tc>
          <w:tcPr>
            <w:tcW w:w="1176" w:type="dxa"/>
            <w:tcBorders>
              <w:top w:val="nil"/>
              <w:left w:val="single" w:sz="4" w:space="0" w:color="auto"/>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3 706</w:t>
            </w:r>
          </w:p>
        </w:tc>
        <w:tc>
          <w:tcPr>
            <w:tcW w:w="984" w:type="dxa"/>
            <w:tcBorders>
              <w:top w:val="nil"/>
              <w:left w:val="nil"/>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2 913</w:t>
            </w:r>
          </w:p>
        </w:tc>
        <w:tc>
          <w:tcPr>
            <w:tcW w:w="900" w:type="dxa"/>
            <w:tcBorders>
              <w:top w:val="nil"/>
              <w:left w:val="nil"/>
              <w:bottom w:val="single" w:sz="4" w:space="0" w:color="auto"/>
              <w:right w:val="nil"/>
            </w:tcBorders>
          </w:tcPr>
          <w:p w:rsidR="00EB5A4F" w:rsidRDefault="00EB5A4F" w:rsidP="00DC4BC1">
            <w:pPr>
              <w:spacing w:line="240" w:lineRule="auto"/>
              <w:jc w:val="center"/>
              <w:rPr>
                <w:sz w:val="24"/>
                <w:szCs w:val="24"/>
              </w:rPr>
            </w:pPr>
            <w:r>
              <w:rPr>
                <w:sz w:val="24"/>
                <w:szCs w:val="24"/>
              </w:rPr>
              <w:t>3 945</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-793</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1035</w:t>
            </w:r>
          </w:p>
        </w:tc>
        <w:tc>
          <w:tcPr>
            <w:tcW w:w="1260" w:type="dxa"/>
            <w:tcBorders>
              <w:top w:val="nil"/>
              <w:left w:val="nil"/>
              <w:bottom w:val="single" w:sz="4" w:space="0" w:color="auto"/>
              <w:right w:val="single" w:sz="4" w:space="0" w:color="auto"/>
            </w:tcBorders>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78,6</w:t>
            </w: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135,4</w:t>
            </w:r>
          </w:p>
        </w:tc>
      </w:tr>
      <w:tr w:rsidR="00EB5A4F" w:rsidTr="00D67A02">
        <w:trPr>
          <w:trHeight w:val="256"/>
        </w:trPr>
        <w:tc>
          <w:tcPr>
            <w:tcW w:w="1548" w:type="dxa"/>
            <w:tcBorders>
              <w:top w:val="nil"/>
              <w:left w:val="nil"/>
              <w:bottom w:val="single" w:sz="4" w:space="0" w:color="auto"/>
              <w:right w:val="nil"/>
            </w:tcBorders>
          </w:tcPr>
          <w:p w:rsidR="00EB5A4F" w:rsidRDefault="00EB5A4F" w:rsidP="00DC4BC1">
            <w:pPr>
              <w:spacing w:line="240" w:lineRule="auto"/>
              <w:rPr>
                <w:sz w:val="24"/>
                <w:szCs w:val="24"/>
              </w:rPr>
            </w:pPr>
            <w:r>
              <w:rPr>
                <w:sz w:val="24"/>
                <w:szCs w:val="24"/>
              </w:rPr>
              <w:t>Вклады физических лиц</w:t>
            </w:r>
          </w:p>
        </w:tc>
        <w:tc>
          <w:tcPr>
            <w:tcW w:w="1176" w:type="dxa"/>
            <w:tcBorders>
              <w:top w:val="nil"/>
              <w:left w:val="single" w:sz="4" w:space="0" w:color="auto"/>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4 704</w:t>
            </w:r>
          </w:p>
        </w:tc>
        <w:tc>
          <w:tcPr>
            <w:tcW w:w="984" w:type="dxa"/>
            <w:tcBorders>
              <w:top w:val="nil"/>
              <w:left w:val="nil"/>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5 136</w:t>
            </w:r>
          </w:p>
        </w:tc>
        <w:tc>
          <w:tcPr>
            <w:tcW w:w="900" w:type="dxa"/>
            <w:tcBorders>
              <w:top w:val="nil"/>
              <w:left w:val="nil"/>
              <w:bottom w:val="single" w:sz="4" w:space="0" w:color="auto"/>
              <w:right w:val="nil"/>
            </w:tcBorders>
          </w:tcPr>
          <w:p w:rsidR="00EB5A4F" w:rsidRDefault="00EB5A4F" w:rsidP="00DC4BC1">
            <w:pPr>
              <w:spacing w:line="240" w:lineRule="auto"/>
              <w:jc w:val="center"/>
              <w:rPr>
                <w:sz w:val="24"/>
                <w:szCs w:val="24"/>
              </w:rPr>
            </w:pPr>
            <w:r>
              <w:rPr>
                <w:sz w:val="24"/>
                <w:szCs w:val="24"/>
              </w:rPr>
              <w:t>6 914</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432</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1778</w:t>
            </w:r>
          </w:p>
        </w:tc>
        <w:tc>
          <w:tcPr>
            <w:tcW w:w="1260" w:type="dxa"/>
            <w:tcBorders>
              <w:top w:val="nil"/>
              <w:left w:val="nil"/>
              <w:bottom w:val="single" w:sz="4" w:space="0" w:color="auto"/>
              <w:right w:val="single" w:sz="4" w:space="0" w:color="auto"/>
            </w:tcBorders>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109,2</w:t>
            </w: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134,6</w:t>
            </w:r>
          </w:p>
        </w:tc>
      </w:tr>
      <w:tr w:rsidR="00EB5A4F" w:rsidTr="00D67A02">
        <w:trPr>
          <w:trHeight w:val="256"/>
        </w:trPr>
        <w:tc>
          <w:tcPr>
            <w:tcW w:w="1548" w:type="dxa"/>
            <w:tcBorders>
              <w:top w:val="nil"/>
              <w:left w:val="nil"/>
              <w:bottom w:val="single" w:sz="4" w:space="0" w:color="auto"/>
              <w:right w:val="nil"/>
            </w:tcBorders>
          </w:tcPr>
          <w:p w:rsidR="00EB5A4F" w:rsidRDefault="00EB5A4F" w:rsidP="00DC4BC1">
            <w:pPr>
              <w:spacing w:line="240" w:lineRule="auto"/>
              <w:rPr>
                <w:sz w:val="24"/>
                <w:szCs w:val="24"/>
              </w:rPr>
            </w:pPr>
            <w:r>
              <w:rPr>
                <w:sz w:val="24"/>
                <w:szCs w:val="24"/>
              </w:rPr>
              <w:t>Выпущенные долговые обязательства</w:t>
            </w:r>
          </w:p>
        </w:tc>
        <w:tc>
          <w:tcPr>
            <w:tcW w:w="1176" w:type="dxa"/>
            <w:tcBorders>
              <w:top w:val="nil"/>
              <w:left w:val="single" w:sz="4" w:space="0" w:color="auto"/>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83</w:t>
            </w:r>
          </w:p>
        </w:tc>
        <w:tc>
          <w:tcPr>
            <w:tcW w:w="984" w:type="dxa"/>
            <w:tcBorders>
              <w:top w:val="nil"/>
              <w:left w:val="nil"/>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174</w:t>
            </w:r>
          </w:p>
        </w:tc>
        <w:tc>
          <w:tcPr>
            <w:tcW w:w="900" w:type="dxa"/>
            <w:tcBorders>
              <w:top w:val="nil"/>
              <w:left w:val="nil"/>
              <w:bottom w:val="single" w:sz="4" w:space="0" w:color="auto"/>
              <w:right w:val="nil"/>
            </w:tcBorders>
          </w:tcPr>
          <w:p w:rsidR="00EB5A4F" w:rsidRDefault="00EB5A4F" w:rsidP="00DC4BC1">
            <w:pPr>
              <w:spacing w:line="240" w:lineRule="auto"/>
              <w:jc w:val="center"/>
              <w:rPr>
                <w:sz w:val="24"/>
                <w:szCs w:val="24"/>
              </w:rPr>
            </w:pPr>
            <w:r>
              <w:rPr>
                <w:sz w:val="24"/>
                <w:szCs w:val="24"/>
              </w:rPr>
              <w:t>85</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91</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-89</w:t>
            </w:r>
          </w:p>
        </w:tc>
        <w:tc>
          <w:tcPr>
            <w:tcW w:w="1260" w:type="dxa"/>
            <w:tcBorders>
              <w:top w:val="nil"/>
              <w:left w:val="nil"/>
              <w:bottom w:val="single" w:sz="4" w:space="0" w:color="auto"/>
              <w:right w:val="single" w:sz="4" w:space="0" w:color="auto"/>
            </w:tcBorders>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209,6</w:t>
            </w: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48,8</w:t>
            </w:r>
          </w:p>
        </w:tc>
      </w:tr>
      <w:tr w:rsidR="00EB5A4F" w:rsidTr="00D67A02">
        <w:trPr>
          <w:trHeight w:val="256"/>
        </w:trPr>
        <w:tc>
          <w:tcPr>
            <w:tcW w:w="1548" w:type="dxa"/>
            <w:tcBorders>
              <w:top w:val="nil"/>
              <w:left w:val="nil"/>
              <w:bottom w:val="single" w:sz="4" w:space="0" w:color="auto"/>
              <w:right w:val="nil"/>
            </w:tcBorders>
          </w:tcPr>
          <w:p w:rsidR="00EB5A4F" w:rsidRDefault="00EB5A4F" w:rsidP="00DC4BC1">
            <w:pPr>
              <w:spacing w:line="240" w:lineRule="auto"/>
              <w:rPr>
                <w:sz w:val="24"/>
                <w:szCs w:val="24"/>
              </w:rPr>
            </w:pPr>
            <w:r>
              <w:rPr>
                <w:sz w:val="24"/>
                <w:szCs w:val="24"/>
              </w:rPr>
              <w:t>Прочие пассивы</w:t>
            </w:r>
          </w:p>
        </w:tc>
        <w:tc>
          <w:tcPr>
            <w:tcW w:w="1176" w:type="dxa"/>
            <w:tcBorders>
              <w:top w:val="nil"/>
              <w:left w:val="single" w:sz="4" w:space="0" w:color="auto"/>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26</w:t>
            </w:r>
          </w:p>
        </w:tc>
        <w:tc>
          <w:tcPr>
            <w:tcW w:w="984" w:type="dxa"/>
            <w:tcBorders>
              <w:top w:val="nil"/>
              <w:left w:val="nil"/>
              <w:bottom w:val="single" w:sz="4" w:space="0" w:color="auto"/>
              <w:right w:val="single" w:sz="4" w:space="0" w:color="auto"/>
            </w:tcBorders>
            <w:noWrap/>
          </w:tcPr>
          <w:p w:rsidR="00EB5A4F" w:rsidRDefault="00EB5A4F" w:rsidP="00DC4BC1">
            <w:pPr>
              <w:spacing w:line="240" w:lineRule="auto"/>
              <w:jc w:val="center"/>
              <w:rPr>
                <w:sz w:val="24"/>
                <w:szCs w:val="24"/>
              </w:rPr>
            </w:pPr>
            <w:r>
              <w:rPr>
                <w:sz w:val="24"/>
                <w:szCs w:val="24"/>
              </w:rPr>
              <w:t>82</w:t>
            </w:r>
          </w:p>
        </w:tc>
        <w:tc>
          <w:tcPr>
            <w:tcW w:w="900" w:type="dxa"/>
            <w:tcBorders>
              <w:top w:val="nil"/>
              <w:left w:val="nil"/>
              <w:bottom w:val="single" w:sz="4" w:space="0" w:color="auto"/>
              <w:right w:val="nil"/>
            </w:tcBorders>
          </w:tcPr>
          <w:p w:rsidR="00EB5A4F" w:rsidRDefault="00EB5A4F" w:rsidP="00DC4BC1">
            <w:pPr>
              <w:spacing w:line="240" w:lineRule="auto"/>
              <w:jc w:val="center"/>
              <w:rPr>
                <w:sz w:val="24"/>
                <w:szCs w:val="24"/>
              </w:rPr>
            </w:pPr>
            <w:r>
              <w:rPr>
                <w:sz w:val="24"/>
                <w:szCs w:val="24"/>
              </w:rPr>
              <w:t>143</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61</w:t>
            </w:r>
          </w:p>
        </w:tc>
        <w:tc>
          <w:tcPr>
            <w:tcW w:w="1260" w:type="dxa"/>
            <w:tcBorders>
              <w:top w:val="nil"/>
              <w:left w:val="nil"/>
              <w:bottom w:val="single" w:sz="4" w:space="0" w:color="auto"/>
              <w:right w:val="single" w:sz="4" w:space="0" w:color="auto"/>
            </w:tcBorders>
            <w:vAlign w:val="bottom"/>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315,4</w:t>
            </w: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174,3</w:t>
            </w:r>
          </w:p>
        </w:tc>
      </w:tr>
      <w:tr w:rsidR="00EB5A4F" w:rsidTr="00D67A02">
        <w:trPr>
          <w:trHeight w:val="256"/>
        </w:trPr>
        <w:tc>
          <w:tcPr>
            <w:tcW w:w="1548" w:type="dxa"/>
            <w:tcBorders>
              <w:top w:val="nil"/>
              <w:left w:val="nil"/>
              <w:bottom w:val="single" w:sz="4" w:space="0" w:color="auto"/>
              <w:right w:val="nil"/>
            </w:tcBorders>
          </w:tcPr>
          <w:p w:rsidR="00EB5A4F" w:rsidRDefault="00EB5A4F" w:rsidP="00DC4BC1">
            <w:pPr>
              <w:spacing w:line="240" w:lineRule="auto"/>
              <w:rPr>
                <w:bCs/>
                <w:sz w:val="24"/>
                <w:szCs w:val="24"/>
              </w:rPr>
            </w:pPr>
            <w:r>
              <w:rPr>
                <w:bCs/>
                <w:sz w:val="24"/>
                <w:szCs w:val="24"/>
              </w:rPr>
              <w:t>Всего источников собственных средств</w:t>
            </w:r>
          </w:p>
        </w:tc>
        <w:tc>
          <w:tcPr>
            <w:tcW w:w="1176" w:type="dxa"/>
            <w:tcBorders>
              <w:top w:val="nil"/>
              <w:left w:val="single" w:sz="4" w:space="0" w:color="auto"/>
              <w:bottom w:val="single" w:sz="4" w:space="0" w:color="auto"/>
              <w:right w:val="single" w:sz="4" w:space="0" w:color="auto"/>
            </w:tcBorders>
            <w:noWrap/>
          </w:tcPr>
          <w:p w:rsidR="00EB5A4F" w:rsidRDefault="00EB5A4F" w:rsidP="00DC4BC1">
            <w:pPr>
              <w:spacing w:line="240" w:lineRule="auto"/>
              <w:jc w:val="center"/>
              <w:rPr>
                <w:bCs/>
                <w:sz w:val="24"/>
                <w:szCs w:val="24"/>
              </w:rPr>
            </w:pPr>
            <w:r>
              <w:rPr>
                <w:bCs/>
                <w:sz w:val="24"/>
                <w:szCs w:val="24"/>
              </w:rPr>
              <w:t>952</w:t>
            </w:r>
          </w:p>
        </w:tc>
        <w:tc>
          <w:tcPr>
            <w:tcW w:w="984" w:type="dxa"/>
            <w:tcBorders>
              <w:top w:val="nil"/>
              <w:left w:val="nil"/>
              <w:bottom w:val="single" w:sz="4" w:space="0" w:color="auto"/>
              <w:right w:val="single" w:sz="4" w:space="0" w:color="auto"/>
            </w:tcBorders>
            <w:noWrap/>
          </w:tcPr>
          <w:p w:rsidR="00EB5A4F" w:rsidRDefault="00EB5A4F" w:rsidP="00DC4BC1">
            <w:pPr>
              <w:spacing w:line="240" w:lineRule="auto"/>
              <w:jc w:val="center"/>
              <w:rPr>
                <w:bCs/>
                <w:sz w:val="24"/>
                <w:szCs w:val="24"/>
              </w:rPr>
            </w:pPr>
            <w:r>
              <w:rPr>
                <w:bCs/>
                <w:sz w:val="24"/>
                <w:szCs w:val="24"/>
              </w:rPr>
              <w:t>1 284</w:t>
            </w:r>
          </w:p>
        </w:tc>
        <w:tc>
          <w:tcPr>
            <w:tcW w:w="900" w:type="dxa"/>
            <w:tcBorders>
              <w:top w:val="nil"/>
              <w:left w:val="nil"/>
              <w:bottom w:val="single" w:sz="4" w:space="0" w:color="auto"/>
              <w:right w:val="nil"/>
            </w:tcBorders>
          </w:tcPr>
          <w:p w:rsidR="00EB5A4F" w:rsidRDefault="00EB5A4F" w:rsidP="00DC4BC1">
            <w:pPr>
              <w:spacing w:line="240" w:lineRule="auto"/>
              <w:jc w:val="center"/>
              <w:rPr>
                <w:bCs/>
                <w:sz w:val="24"/>
                <w:szCs w:val="24"/>
              </w:rPr>
            </w:pPr>
            <w:r>
              <w:rPr>
                <w:bCs/>
                <w:sz w:val="24"/>
                <w:szCs w:val="24"/>
              </w:rPr>
              <w:t>1 386</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332</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102</w:t>
            </w:r>
          </w:p>
        </w:tc>
        <w:tc>
          <w:tcPr>
            <w:tcW w:w="1260" w:type="dxa"/>
            <w:tcBorders>
              <w:top w:val="nil"/>
              <w:left w:val="nil"/>
              <w:bottom w:val="single" w:sz="4" w:space="0" w:color="auto"/>
              <w:right w:val="single" w:sz="4" w:space="0" w:color="auto"/>
            </w:tcBorders>
            <w:vAlign w:val="bottom"/>
          </w:tcPr>
          <w:p w:rsidR="00EB5A4F" w:rsidRDefault="00EB5A4F" w:rsidP="00DC4BC1">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134,9</w:t>
            </w: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107,9</w:t>
            </w:r>
          </w:p>
        </w:tc>
      </w:tr>
      <w:tr w:rsidR="00EB5A4F" w:rsidTr="00D67A02">
        <w:trPr>
          <w:trHeight w:val="256"/>
        </w:trPr>
        <w:tc>
          <w:tcPr>
            <w:tcW w:w="1548" w:type="dxa"/>
            <w:tcBorders>
              <w:top w:val="nil"/>
              <w:left w:val="nil"/>
              <w:bottom w:val="single" w:sz="4" w:space="0" w:color="auto"/>
              <w:right w:val="nil"/>
            </w:tcBorders>
          </w:tcPr>
          <w:p w:rsidR="00EB5A4F" w:rsidRDefault="00EB5A4F" w:rsidP="00DC4BC1">
            <w:pPr>
              <w:spacing w:line="240" w:lineRule="auto"/>
              <w:rPr>
                <w:bCs/>
                <w:sz w:val="24"/>
                <w:szCs w:val="24"/>
              </w:rPr>
            </w:pPr>
            <w:r>
              <w:rPr>
                <w:bCs/>
                <w:sz w:val="24"/>
                <w:szCs w:val="24"/>
              </w:rPr>
              <w:t>ВСЕГО ПАССИВОВ</w:t>
            </w:r>
          </w:p>
        </w:tc>
        <w:tc>
          <w:tcPr>
            <w:tcW w:w="1176" w:type="dxa"/>
            <w:tcBorders>
              <w:top w:val="nil"/>
              <w:left w:val="single" w:sz="4" w:space="0" w:color="auto"/>
              <w:bottom w:val="single" w:sz="4" w:space="0" w:color="auto"/>
              <w:right w:val="single" w:sz="4" w:space="0" w:color="auto"/>
            </w:tcBorders>
            <w:noWrap/>
          </w:tcPr>
          <w:p w:rsidR="00EB5A4F" w:rsidRDefault="00EB5A4F" w:rsidP="00DC4BC1">
            <w:pPr>
              <w:spacing w:line="240" w:lineRule="auto"/>
              <w:jc w:val="center"/>
              <w:rPr>
                <w:bCs/>
                <w:sz w:val="24"/>
                <w:szCs w:val="24"/>
              </w:rPr>
            </w:pPr>
            <w:r>
              <w:rPr>
                <w:bCs/>
                <w:sz w:val="24"/>
                <w:szCs w:val="24"/>
              </w:rPr>
              <w:t>10 345</w:t>
            </w:r>
          </w:p>
        </w:tc>
        <w:tc>
          <w:tcPr>
            <w:tcW w:w="984" w:type="dxa"/>
            <w:tcBorders>
              <w:top w:val="nil"/>
              <w:left w:val="nil"/>
              <w:bottom w:val="single" w:sz="4" w:space="0" w:color="auto"/>
              <w:right w:val="single" w:sz="4" w:space="0" w:color="auto"/>
            </w:tcBorders>
            <w:noWrap/>
          </w:tcPr>
          <w:p w:rsidR="00EB5A4F" w:rsidRDefault="00EB5A4F" w:rsidP="00DC4BC1">
            <w:pPr>
              <w:spacing w:line="240" w:lineRule="auto"/>
              <w:jc w:val="center"/>
              <w:rPr>
                <w:bCs/>
                <w:sz w:val="24"/>
                <w:szCs w:val="24"/>
              </w:rPr>
            </w:pPr>
            <w:r>
              <w:rPr>
                <w:bCs/>
                <w:sz w:val="24"/>
                <w:szCs w:val="24"/>
              </w:rPr>
              <w:t>10 474</w:t>
            </w:r>
          </w:p>
        </w:tc>
        <w:tc>
          <w:tcPr>
            <w:tcW w:w="900" w:type="dxa"/>
            <w:tcBorders>
              <w:top w:val="nil"/>
              <w:left w:val="nil"/>
              <w:bottom w:val="single" w:sz="4" w:space="0" w:color="auto"/>
              <w:right w:val="nil"/>
            </w:tcBorders>
          </w:tcPr>
          <w:p w:rsidR="00EB5A4F" w:rsidRDefault="00EB5A4F" w:rsidP="00DC4BC1">
            <w:pPr>
              <w:spacing w:line="240" w:lineRule="auto"/>
              <w:jc w:val="center"/>
              <w:rPr>
                <w:bCs/>
                <w:sz w:val="24"/>
                <w:szCs w:val="24"/>
              </w:rPr>
            </w:pPr>
            <w:r>
              <w:rPr>
                <w:bCs/>
                <w:sz w:val="24"/>
                <w:szCs w:val="24"/>
              </w:rPr>
              <w:t>12 832</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129</w:t>
            </w:r>
          </w:p>
        </w:tc>
        <w:tc>
          <w:tcPr>
            <w:tcW w:w="1260" w:type="dxa"/>
            <w:tcBorders>
              <w:top w:val="nil"/>
              <w:left w:val="nil"/>
              <w:bottom w:val="single" w:sz="4" w:space="0" w:color="auto"/>
              <w:right w:val="single" w:sz="4" w:space="0" w:color="auto"/>
            </w:tcBorders>
            <w:noWrap/>
            <w:vAlign w:val="bottom"/>
          </w:tcPr>
          <w:p w:rsidR="00EB5A4F" w:rsidRDefault="00EB5A4F" w:rsidP="00DC4BC1">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2358</w:t>
            </w:r>
          </w:p>
        </w:tc>
        <w:tc>
          <w:tcPr>
            <w:tcW w:w="1260" w:type="dxa"/>
            <w:tcBorders>
              <w:top w:val="nil"/>
              <w:left w:val="nil"/>
              <w:bottom w:val="single" w:sz="4" w:space="0" w:color="auto"/>
              <w:right w:val="single" w:sz="4" w:space="0" w:color="auto"/>
            </w:tcBorders>
            <w:vAlign w:val="bottom"/>
          </w:tcPr>
          <w:p w:rsidR="00EB5A4F" w:rsidRDefault="00EB5A4F" w:rsidP="00DC4BC1">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101,2</w:t>
            </w:r>
          </w:p>
        </w:tc>
        <w:tc>
          <w:tcPr>
            <w:tcW w:w="1419" w:type="dxa"/>
            <w:tcBorders>
              <w:top w:val="nil"/>
              <w:left w:val="nil"/>
              <w:bottom w:val="single" w:sz="4" w:space="0" w:color="auto"/>
              <w:right w:val="single" w:sz="4" w:space="0" w:color="auto"/>
            </w:tcBorders>
          </w:tcPr>
          <w:p w:rsidR="00EB5A4F" w:rsidRDefault="00EB5A4F" w:rsidP="00DC4BC1">
            <w:pPr>
              <w:spacing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122,5</w:t>
            </w:r>
          </w:p>
        </w:tc>
      </w:tr>
    </w:tbl>
    <w:p w:rsidR="00EB5A4F" w:rsidRDefault="00EB5A4F" w:rsidP="00D67A02">
      <w:pPr>
        <w:widowControl w:val="0"/>
        <w:autoSpaceDE w:val="0"/>
        <w:autoSpaceDN w:val="0"/>
        <w:adjustRightInd w:val="0"/>
        <w:ind w:firstLine="709"/>
        <w:rPr>
          <w:sz w:val="28"/>
          <w:szCs w:val="28"/>
        </w:rPr>
      </w:pPr>
    </w:p>
    <w:p w:rsidR="00EB5A4F" w:rsidRDefault="00EB5A4F" w:rsidP="00D67A02">
      <w:pPr>
        <w:widowControl w:val="0"/>
        <w:autoSpaceDE w:val="0"/>
        <w:autoSpaceDN w:val="0"/>
        <w:adjustRightInd w:val="0"/>
        <w:ind w:firstLine="709"/>
        <w:rPr>
          <w:sz w:val="28"/>
          <w:szCs w:val="28"/>
        </w:rPr>
      </w:pPr>
      <w:r>
        <w:rPr>
          <w:sz w:val="28"/>
          <w:szCs w:val="28"/>
        </w:rPr>
        <w:t>Общая сумма пассивов в исследуемый период выросла на 2487 млн.руб., на 23.7%.</w:t>
      </w:r>
    </w:p>
    <w:p w:rsidR="00EB5A4F" w:rsidRDefault="00EB5A4F" w:rsidP="00D67A02">
      <w:pPr>
        <w:widowControl w:val="0"/>
        <w:autoSpaceDE w:val="0"/>
        <w:autoSpaceDN w:val="0"/>
        <w:adjustRightInd w:val="0"/>
        <w:ind w:firstLine="709"/>
        <w:rPr>
          <w:sz w:val="28"/>
          <w:szCs w:val="28"/>
        </w:rPr>
      </w:pPr>
      <w:r>
        <w:rPr>
          <w:sz w:val="28"/>
          <w:szCs w:val="28"/>
        </w:rPr>
        <w:t>Таким образом, в 2008 году привлеченные средства юридических лиц сократились на 21,4  %, а привлечение средств физических лиц увеличились   на 9.2  %.</w:t>
      </w:r>
    </w:p>
    <w:p w:rsidR="00EB5A4F" w:rsidRDefault="00EB5A4F" w:rsidP="00D67A02">
      <w:pPr>
        <w:widowControl w:val="0"/>
        <w:autoSpaceDE w:val="0"/>
        <w:autoSpaceDN w:val="0"/>
        <w:adjustRightInd w:val="0"/>
        <w:ind w:firstLine="709"/>
        <w:rPr>
          <w:sz w:val="28"/>
          <w:szCs w:val="28"/>
        </w:rPr>
      </w:pPr>
      <w:r>
        <w:rPr>
          <w:sz w:val="28"/>
          <w:szCs w:val="28"/>
        </w:rPr>
        <w:t>В 2009 году на произошло увеличение привлеченных средств от юридических лиц на 1035 млн руб. (35,4%). Привлеченные средства от физических лиц в 2009 году увеличились на 34,6 %.</w:t>
      </w:r>
    </w:p>
    <w:p w:rsidR="00EB5A4F" w:rsidRDefault="00EB5A4F" w:rsidP="00D67A02">
      <w:pPr>
        <w:widowControl w:val="0"/>
        <w:autoSpaceDE w:val="0"/>
        <w:autoSpaceDN w:val="0"/>
        <w:adjustRightInd w:val="0"/>
        <w:ind w:firstLine="709"/>
        <w:rPr>
          <w:sz w:val="28"/>
          <w:szCs w:val="28"/>
        </w:rPr>
      </w:pPr>
      <w:r>
        <w:rPr>
          <w:sz w:val="28"/>
          <w:szCs w:val="28"/>
        </w:rPr>
        <w:t>Средства кредитных организаций увеличились на 01.01.2008 г на 29 млн.руб., и снизились в 2009 году на 470 млн.руб.</w:t>
      </w:r>
    </w:p>
    <w:p w:rsidR="00EB5A4F" w:rsidRDefault="00EB5A4F" w:rsidP="002646CF">
      <w:pPr>
        <w:ind w:firstLine="709"/>
        <w:rPr>
          <w:sz w:val="28"/>
          <w:szCs w:val="28"/>
        </w:rPr>
      </w:pPr>
      <w:r>
        <w:rPr>
          <w:sz w:val="28"/>
          <w:szCs w:val="28"/>
        </w:rPr>
        <w:t>Анализируя работу банка в области привлечения депозитов от частных вкладчиков необходимо отметить, что банк в 2009 году имеет тенденцию к увеличению привлекаемых от населения средств. Об этом свидетельствуют данные таблицы в Приложении 3. Исходя из данных таблицы Приложения 3, можно сказать, что в структуре привлеченных банком вкладов граждан в 2007 году лидирующие позиции принадлежат рублевые депозитам.</w:t>
      </w:r>
    </w:p>
    <w:p w:rsidR="00EB5A4F" w:rsidRPr="002646CF" w:rsidRDefault="00EB5A4F" w:rsidP="002646CF">
      <w:pPr>
        <w:pStyle w:val="a4"/>
        <w:spacing w:after="0" w:line="360" w:lineRule="auto"/>
        <w:ind w:left="0" w:firstLine="709"/>
        <w:rPr>
          <w:rFonts w:ascii="Times New Roman" w:hAnsi="Times New Roman"/>
          <w:sz w:val="28"/>
          <w:szCs w:val="28"/>
        </w:rPr>
      </w:pPr>
      <w:r w:rsidRPr="002646CF">
        <w:rPr>
          <w:rFonts w:ascii="Times New Roman" w:hAnsi="Times New Roman"/>
          <w:sz w:val="28"/>
          <w:szCs w:val="28"/>
        </w:rPr>
        <w:t>Разработка различных мероприятий по совершенствованию работы с частными вкладчиками позволила банку и в 2009 году наметить тенденцию к увеличению объема привлекаемых депозитов от населения. По объемным характеристикам на первом месте находятся все те же валютные депозиты.</w:t>
      </w:r>
    </w:p>
    <w:p w:rsidR="00EB5A4F" w:rsidRDefault="00EB5A4F" w:rsidP="002646CF">
      <w:pPr>
        <w:widowControl w:val="0"/>
        <w:autoSpaceDE w:val="0"/>
        <w:autoSpaceDN w:val="0"/>
        <w:adjustRightInd w:val="0"/>
        <w:ind w:firstLine="709"/>
        <w:rPr>
          <w:sz w:val="28"/>
          <w:szCs w:val="28"/>
        </w:rPr>
      </w:pPr>
      <w:r>
        <w:rPr>
          <w:sz w:val="28"/>
          <w:szCs w:val="28"/>
        </w:rPr>
        <w:t>Подводя итог анализируемой деятельности банка, следует отметить: в течение рассматриваемого периода (2007-2009гг.) происходит значительное снижение депозитов со стороны юридических лиц, а также уменьшение удельного веса сберегательных сертификатов.</w:t>
      </w:r>
    </w:p>
    <w:p w:rsidR="00EB5A4F" w:rsidRDefault="00EB5A4F" w:rsidP="002646CF">
      <w:pPr>
        <w:widowControl w:val="0"/>
        <w:autoSpaceDE w:val="0"/>
        <w:autoSpaceDN w:val="0"/>
        <w:adjustRightInd w:val="0"/>
        <w:ind w:firstLine="709"/>
        <w:rPr>
          <w:sz w:val="28"/>
          <w:szCs w:val="28"/>
        </w:rPr>
      </w:pPr>
      <w:r>
        <w:rPr>
          <w:sz w:val="28"/>
          <w:szCs w:val="28"/>
        </w:rPr>
        <w:t>Для того, чтобы стабилизировать состояние банковской деятельности, следует разработать методику, согласно которой «Примсоцбанк» постепенно восстановит прежний режим деятельности, при этом увеличатся депозиты юридических и физических лиц, а также стабилизируется деятельность банка в целом.</w:t>
      </w:r>
    </w:p>
    <w:p w:rsidR="00EB5A4F" w:rsidRDefault="00EB5A4F" w:rsidP="002646CF">
      <w:pPr>
        <w:widowControl w:val="0"/>
        <w:autoSpaceDE w:val="0"/>
        <w:autoSpaceDN w:val="0"/>
        <w:adjustRightInd w:val="0"/>
        <w:ind w:firstLine="709"/>
        <w:rPr>
          <w:sz w:val="28"/>
          <w:szCs w:val="28"/>
        </w:rPr>
      </w:pPr>
    </w:p>
    <w:p w:rsidR="00EB5A4F" w:rsidRDefault="00EB5A4F" w:rsidP="002646CF">
      <w:pPr>
        <w:widowControl w:val="0"/>
        <w:autoSpaceDE w:val="0"/>
        <w:autoSpaceDN w:val="0"/>
        <w:adjustRightInd w:val="0"/>
        <w:ind w:firstLine="709"/>
        <w:rPr>
          <w:sz w:val="28"/>
          <w:szCs w:val="28"/>
        </w:rPr>
      </w:pPr>
    </w:p>
    <w:p w:rsidR="00EB5A4F" w:rsidRDefault="00EB5A4F">
      <w:bookmarkStart w:id="21" w:name="_GoBack"/>
      <w:bookmarkEnd w:id="21"/>
    </w:p>
    <w:sectPr w:rsidR="00EB5A4F" w:rsidSect="00A81B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4F" w:rsidRDefault="00EB5A4F" w:rsidP="002646CF">
      <w:pPr>
        <w:spacing w:line="240" w:lineRule="auto"/>
      </w:pPr>
      <w:r>
        <w:separator/>
      </w:r>
    </w:p>
  </w:endnote>
  <w:endnote w:type="continuationSeparator" w:id="0">
    <w:p w:rsidR="00EB5A4F" w:rsidRDefault="00EB5A4F" w:rsidP="00264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4F" w:rsidRDefault="00EB5A4F" w:rsidP="002646CF">
      <w:pPr>
        <w:spacing w:line="240" w:lineRule="auto"/>
      </w:pPr>
      <w:r>
        <w:separator/>
      </w:r>
    </w:p>
  </w:footnote>
  <w:footnote w:type="continuationSeparator" w:id="0">
    <w:p w:rsidR="00EB5A4F" w:rsidRDefault="00EB5A4F" w:rsidP="002646CF">
      <w:pPr>
        <w:spacing w:line="240" w:lineRule="auto"/>
      </w:pPr>
      <w:r>
        <w:continuationSeparator/>
      </w:r>
    </w:p>
  </w:footnote>
  <w:footnote w:id="1">
    <w:p w:rsidR="00EB5A4F" w:rsidRDefault="00EB5A4F" w:rsidP="002646CF">
      <w:pPr>
        <w:pStyle w:val="ConsNormal"/>
        <w:spacing w:line="264" w:lineRule="auto"/>
        <w:ind w:firstLine="0"/>
        <w:jc w:val="both"/>
      </w:pPr>
      <w:r>
        <w:rPr>
          <w:rStyle w:val="a5"/>
        </w:rPr>
        <w:footnoteRef/>
      </w:r>
      <w:r>
        <w:rPr>
          <w:rFonts w:ascii="Times New Roman" w:hAnsi="Times New Roman" w:cs="Times New Roman"/>
        </w:rPr>
        <w:t xml:space="preserve"> Федеральный закон № 48-ФЗ «О переводном и простом векселе» от 11 марта </w:t>
      </w:r>
      <w:smartTag w:uri="urn:schemas-microsoft-com:office:smarttags" w:element="metricconverter">
        <w:smartTagPr>
          <w:attr w:name="ProductID" w:val="1997 г"/>
        </w:smartTagPr>
        <w:r>
          <w:rPr>
            <w:rFonts w:ascii="Times New Roman" w:hAnsi="Times New Roman" w:cs="Times New Roman"/>
          </w:rPr>
          <w:t>1997 г</w:t>
        </w:r>
      </w:smartTag>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6CF"/>
    <w:rsid w:val="000241AF"/>
    <w:rsid w:val="001A1D3C"/>
    <w:rsid w:val="001A53F9"/>
    <w:rsid w:val="002646CF"/>
    <w:rsid w:val="002B21CE"/>
    <w:rsid w:val="00474BB0"/>
    <w:rsid w:val="004B2500"/>
    <w:rsid w:val="00752996"/>
    <w:rsid w:val="00826519"/>
    <w:rsid w:val="0091241B"/>
    <w:rsid w:val="009567C3"/>
    <w:rsid w:val="009A3B18"/>
    <w:rsid w:val="009C20FE"/>
    <w:rsid w:val="00A81B5D"/>
    <w:rsid w:val="00AC4331"/>
    <w:rsid w:val="00AD7DC5"/>
    <w:rsid w:val="00CC6141"/>
    <w:rsid w:val="00CE6097"/>
    <w:rsid w:val="00D67A02"/>
    <w:rsid w:val="00DC4BC1"/>
    <w:rsid w:val="00E149B2"/>
    <w:rsid w:val="00EA2E71"/>
    <w:rsid w:val="00EB5A4F"/>
    <w:rsid w:val="00EC2854"/>
    <w:rsid w:val="00F7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ED2E09-F438-49A4-81FE-571725C1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CF"/>
    <w:pPr>
      <w:spacing w:line="360" w:lineRule="auto"/>
      <w:jc w:val="both"/>
    </w:pPr>
    <w:rPr>
      <w:rFonts w:ascii="Times New Roman" w:hAnsi="Times New Roman"/>
      <w:szCs w:val="22"/>
    </w:rPr>
  </w:style>
  <w:style w:type="paragraph" w:styleId="1">
    <w:name w:val="heading 1"/>
    <w:basedOn w:val="a"/>
    <w:next w:val="a"/>
    <w:link w:val="10"/>
    <w:qFormat/>
    <w:rsid w:val="002646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646CF"/>
    <w:rPr>
      <w:rFonts w:ascii="Arial" w:hAnsi="Arial" w:cs="Arial"/>
      <w:b/>
      <w:bCs/>
      <w:kern w:val="32"/>
      <w:sz w:val="32"/>
      <w:szCs w:val="32"/>
      <w:lang w:val="x-none" w:eastAsia="ru-RU"/>
    </w:rPr>
  </w:style>
  <w:style w:type="character" w:styleId="a3">
    <w:name w:val="Hyperlink"/>
    <w:basedOn w:val="a0"/>
    <w:rsid w:val="002646CF"/>
    <w:rPr>
      <w:rFonts w:ascii="Times New Roman" w:hAnsi="Times New Roman" w:cs="Times New Roman"/>
      <w:color w:val="0000FF"/>
      <w:u w:val="single"/>
    </w:rPr>
  </w:style>
  <w:style w:type="character" w:customStyle="1" w:styleId="2">
    <w:name w:val="Обычный (веб) Знак2"/>
    <w:aliases w:val="Обычный (веб) Знак Знак1,Обычный (веб) Знак1 Знак,Обычный (веб) Знак Знак Знак"/>
    <w:basedOn w:val="a0"/>
    <w:link w:val="a4"/>
    <w:locked/>
    <w:rsid w:val="002646CF"/>
    <w:rPr>
      <w:rFonts w:cs="Times New Roman"/>
      <w:sz w:val="16"/>
      <w:szCs w:val="16"/>
      <w:lang w:val="x-none" w:eastAsia="ru-RU"/>
    </w:rPr>
  </w:style>
  <w:style w:type="paragraph" w:styleId="a4">
    <w:name w:val="Normal (Web)"/>
    <w:aliases w:val="Обычный (веб) Знак,Обычный (веб) Знак1,Обычный (веб) Знак Знак"/>
    <w:basedOn w:val="a"/>
    <w:link w:val="2"/>
    <w:rsid w:val="002646CF"/>
    <w:pPr>
      <w:spacing w:after="120" w:line="240" w:lineRule="auto"/>
      <w:ind w:left="283"/>
    </w:pPr>
    <w:rPr>
      <w:rFonts w:ascii="Calibri" w:eastAsia="Times New Roman" w:hAnsi="Calibri"/>
      <w:sz w:val="16"/>
      <w:szCs w:val="16"/>
    </w:rPr>
  </w:style>
  <w:style w:type="paragraph" w:customStyle="1" w:styleId="ConsNormal">
    <w:name w:val="ConsNormal"/>
    <w:rsid w:val="002646CF"/>
    <w:pPr>
      <w:autoSpaceDE w:val="0"/>
      <w:autoSpaceDN w:val="0"/>
      <w:adjustRightInd w:val="0"/>
      <w:ind w:firstLine="720"/>
    </w:pPr>
    <w:rPr>
      <w:rFonts w:ascii="Arial" w:hAnsi="Arial" w:cs="Arial"/>
    </w:rPr>
  </w:style>
  <w:style w:type="character" w:styleId="a5">
    <w:name w:val="footnote reference"/>
    <w:basedOn w:val="a0"/>
    <w:semiHidden/>
    <w:rsid w:val="002646CF"/>
    <w:rPr>
      <w:rFonts w:ascii="Times New Roman" w:hAnsi="Times New Roman" w:cs="Times New Roman"/>
      <w:vertAlign w:val="superscript"/>
    </w:rPr>
  </w:style>
  <w:style w:type="character" w:customStyle="1" w:styleId="g-blockt-f-smallt-l20c-bse-t4g-mt-hem">
    <w:name w:val="g-block t-f-small t-l20 c-bse-t4 g-mt-hem"/>
    <w:basedOn w:val="a0"/>
    <w:rsid w:val="002646CF"/>
    <w:rPr>
      <w:rFonts w:cs="Times New Roman"/>
    </w:rPr>
  </w:style>
  <w:style w:type="character" w:customStyle="1" w:styleId="status-yes">
    <w:name w:val="status-yes"/>
    <w:basedOn w:val="a0"/>
    <w:rsid w:val="002646CF"/>
    <w:rPr>
      <w:rFonts w:cs="Times New Roman"/>
    </w:rPr>
  </w:style>
  <w:style w:type="character" w:customStyle="1" w:styleId="status-no">
    <w:name w:val="status-no"/>
    <w:basedOn w:val="a0"/>
    <w:rsid w:val="002646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4227</Words>
  <Characters>24098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28269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Басенко</dc:creator>
  <cp:keywords/>
  <dc:description/>
  <cp:lastModifiedBy>admin</cp:lastModifiedBy>
  <cp:revision>2</cp:revision>
  <dcterms:created xsi:type="dcterms:W3CDTF">2014-04-18T13:36:00Z</dcterms:created>
  <dcterms:modified xsi:type="dcterms:W3CDTF">2014-04-18T13:36:00Z</dcterms:modified>
</cp:coreProperties>
</file>