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341" w:rsidRDefault="002F2341">
      <w:pPr>
        <w:pStyle w:val="1"/>
        <w:spacing w:line="360" w:lineRule="auto"/>
        <w:jc w:val="center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>Анатомия желудка</w:t>
      </w:r>
    </w:p>
    <w:p w:rsidR="002F2341" w:rsidRDefault="002F2341">
      <w:pPr>
        <w:pStyle w:val="1"/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План реферата: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Анатомия желудка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Встречаемость рака желудка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Этиология рака желудка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Факторы риска возникновения рака желудка по данным </w:t>
      </w:r>
      <w:r>
        <w:rPr>
          <w:sz w:val="24"/>
          <w:szCs w:val="24"/>
          <w:lang w:val="en-US"/>
        </w:rPr>
        <w:t>Philip Rubin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Факторы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риска по данным отечественных авторов.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Предраковые состояния.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Предраковые заболевания желудка.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рака желудка: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гистологическая классификация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TNM</w:t>
      </w:r>
      <w:r>
        <w:rPr>
          <w:sz w:val="24"/>
          <w:szCs w:val="24"/>
        </w:rPr>
        <w:t xml:space="preserve"> классификация (4-й пересмотр)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по стадиям заболевания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Клинические проявления рака желудка.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Диагностика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жалобы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данные физикального исследования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данные лабораторного исследования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данные инструментального исследования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Дифференциальная диагностика рака желудка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Лечение: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хирургическое лечение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химиотерапии в лечении рака желудка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лучевой терапии в лечении рака желудка</w:t>
      </w:r>
    </w:p>
    <w:p w:rsidR="002F2341" w:rsidRDefault="002F2341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стандартизированный подход в лечении рака желудка в США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Прогноз</w:t>
      </w:r>
    </w:p>
    <w:p w:rsidR="002F2341" w:rsidRDefault="002F2341">
      <w:pPr>
        <w:numPr>
          <w:ilvl w:val="0"/>
          <w:numId w:val="2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Список использованной литературы.</w:t>
      </w:r>
    </w:p>
    <w:p w:rsidR="002F2341" w:rsidRDefault="002F2341">
      <w:pPr>
        <w:widowControl w:val="0"/>
        <w:spacing w:line="420" w:lineRule="auto"/>
        <w:jc w:val="both"/>
        <w:rPr>
          <w:i/>
          <w:iCs/>
          <w:sz w:val="24"/>
          <w:szCs w:val="24"/>
        </w:rPr>
      </w:pPr>
    </w:p>
    <w:p w:rsidR="002F2341" w:rsidRDefault="002F2341">
      <w:pPr>
        <w:widowControl w:val="0"/>
        <w:spacing w:line="420" w:lineRule="auto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Анатомия желудка.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Ventriculus, желудок, представляет мешкообразное расширение пищеварительного тракта. В желудке происходит скопление пищи после прохождения ее через пищевод и протекают первые стадии переваривания, когда твердые составные части пищи переходят в жидкую или кашице</w:t>
      </w:r>
      <w:r>
        <w:rPr>
          <w:sz w:val="24"/>
          <w:szCs w:val="24"/>
        </w:rPr>
        <w:softHyphen/>
        <w:t>образную смесь. В желудке различают переднюю и заднюю стенки.  Край желудка вогнутый, обращенный вверх и вправо, называется малой кривизной,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curvatura ventriculi minor, край выпуклый, обра</w:t>
      </w:r>
      <w:r>
        <w:rPr>
          <w:sz w:val="24"/>
          <w:szCs w:val="24"/>
        </w:rPr>
        <w:softHyphen/>
        <w:t>щенный вниз и влево,— большой кривизной, curvatura ventriculi major. На малой кривизне, ближе к выходному концу желудка, чем к входному, заметна вырезка, где два участка малой кривизны сходятся под острым углом, angulus ventriculi.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В желудке различают следующие части: место входа пищевода в желудок называется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ostium cardiacum; прилежащая часть желудка - pars cardiaca; место выхода - pylorus,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привратник, прилежащая часть желудка - pars pylorica;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куполообразная часть желудка влево от ostium cardiacum называется дном или сводом. Тело, простирается от свода желудка до раrs ру1оriса. Рагs ру1оriса разделяется в свою очередь на antrum pyloricum - ближайший к телу желудка участок и canalis pyloricus - более узкую, трубкообразную часть, прилежащую непосредственно к pylorus. 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Топография желудка.</w:t>
      </w:r>
      <w:r>
        <w:rPr>
          <w:sz w:val="24"/>
          <w:szCs w:val="24"/>
        </w:rPr>
        <w:t xml:space="preserve"> Желудок располагается в epigastrium; большая часть желудка (около 5/6) находится влево от срединной плоскости; большая кривизна желудка при его наполнении проецируется в пупочную область. Своей длинной осью желудок направлен сверху вниз, слева направо и сзади наперед; при этом входное отверстие располагается слева от позвоночника позади хряща VII левого ребра, на расстоянии 2,5—3 см от края грудины; его проекция сзади соответствует XI грудному позвонку; оно значительно удалено от передней стенки живота. Свод желудка достигает нижнего края  V ребра по lin. Mamillaris sin. Привратник при пустом желудке лежит по средней линии или несколько вправо от нее против VIII правого реберного хряща, что соответствует уровню XII грудного или I поясничного позвонка. При наполненном состоянии желудок вверху соприкасается с нижней поверхностью левой доли печени и левым куполом диафрагмы, сзади - с верхним полюсом левой почки и надпочечником, с селезенкой, с передней поверхностью поджелудочной железы, далее внизу - с mesocolon и colon transversum, спереди - с брюшной стенкой между печенью справа и ребрами слева. Когда желудок пуст, он вследствие сокращения своих стенок уходит в глубину и освободившееся пространство занимает поперечная ободочная кишка, так что она может лежать впереди желудка непосредственно под диафрагмой. Величина желудка сильно варьирует как индивидуально, так и в зависимости от его наполнения. При средней степени растяжения его длина около 21-25 см. 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Строение.</w:t>
      </w:r>
      <w:r>
        <w:rPr>
          <w:sz w:val="24"/>
          <w:szCs w:val="24"/>
        </w:rPr>
        <w:t xml:space="preserve"> Стенка желудка состоит из трех оболочек: 1) слизистая оболочка с сильно развитой подслизистой основой; 2) мышечная оболочка; 3) серозная оболочка.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Артерии желудка</w:t>
      </w:r>
      <w:r>
        <w:rPr>
          <w:sz w:val="24"/>
          <w:szCs w:val="24"/>
        </w:rPr>
        <w:t xml:space="preserve"> происходят из truncus coeliacus и a. lienalis. По малой кривизне располагается анастомоз между a. gastrica sinistra (из truncus coeliacus) и a. gastrica dextra (из a. hepatica communis), по большой - aa. gastroepiploica sinistra (из a. lienalis) et gastroepiploica dextra (из a. gastroduodenalis). К fornix желудка подходят aa. gastricae breves из a. lienalis. Артериальные дуги, окружающие желудок, являются функциональным приспособлением, необходимым для желудка как для органа, меняющего свои форму и размеры: когда желудок сокращается, артерии извиваются, когда он растягивается, артерии выпрямляются.</w:t>
      </w:r>
    </w:p>
    <w:p w:rsidR="002F2341" w:rsidRDefault="002F2341">
      <w:pPr>
        <w:widowControl w:val="0"/>
        <w:spacing w:line="420" w:lineRule="auto"/>
        <w:ind w:firstLine="851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Вены</w:t>
      </w:r>
      <w:r>
        <w:rPr>
          <w:sz w:val="24"/>
          <w:szCs w:val="24"/>
        </w:rPr>
        <w:t xml:space="preserve"> желудка, соответствующие по ходу артериям, впадают в v. portae.</w:t>
      </w:r>
    </w:p>
    <w:p w:rsidR="002F2341" w:rsidRDefault="002F2341">
      <w:pPr>
        <w:spacing w:line="420" w:lineRule="auto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Нервы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желудка - это ветви n. vagus  et truncus sympathicus. N. vagus усиливает перистальтику желудка и секрецию его желез, расслабляет сфинктер привратника. Симпатические нервы уменьшают перистальтику, вызывают сокращение сфинктера привратника, суживают сосуды, передают чувство боли.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Встречаемость.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Рак желудка по заболеваемости и смертности занимает второе место среди всех злокачественных опухолей. У мужчин карциному желудка выявляют в 2 раза чаще, чем у женщин. Типичный возраст - 50-75 лет.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Этиология.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Причина заболевания неизвестна. Отмечают повышение частоты рака среди членов одной семьи (на 20%), а также среди лиц с группой крови А, что предполагает наличие генетического компонента. Определенное этиологическое значение имеют хронические заболевания слизистой желудка, дефицит витамина С, консерванты, нитрозамины.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  <w:lang w:val="en-US"/>
        </w:rPr>
      </w:pPr>
      <w:r>
        <w:rPr>
          <w:b/>
          <w:bCs/>
          <w:i/>
          <w:iCs/>
          <w:sz w:val="24"/>
          <w:szCs w:val="24"/>
        </w:rPr>
        <w:t xml:space="preserve">Факторы риска (по данным </w:t>
      </w:r>
      <w:r>
        <w:rPr>
          <w:b/>
          <w:bCs/>
          <w:i/>
          <w:iCs/>
          <w:sz w:val="24"/>
          <w:szCs w:val="24"/>
          <w:lang w:val="en-US"/>
        </w:rPr>
        <w:t>Philip Rubin)</w:t>
      </w:r>
      <w:r>
        <w:rPr>
          <w:b/>
          <w:bCs/>
          <w:i/>
          <w:iCs/>
          <w:sz w:val="24"/>
          <w:szCs w:val="24"/>
        </w:rPr>
        <w:t>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Диета: считается, что употребление соленой, копченой, острой пищи повышает риск развития рака желудка. Находящиеся в пище нитрозамины в желудке могут преобразовываться в канцерогены.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Окружающая среда: повышенный риск развития рака желудка отмечается у лиц контактирующих с асбестом, никелем, у рабочих на производстве резины. Считается, что инфекция </w:t>
      </w:r>
      <w:r>
        <w:rPr>
          <w:sz w:val="24"/>
          <w:szCs w:val="24"/>
          <w:lang w:val="en-US"/>
        </w:rPr>
        <w:t>Helicobacter pylori</w:t>
      </w:r>
      <w:r>
        <w:rPr>
          <w:sz w:val="24"/>
          <w:szCs w:val="24"/>
        </w:rPr>
        <w:t xml:space="preserve"> также повышает риск заболевания.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Употребление алкоголя и табака на развитие рака желудка статически не доказано.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Наличие А группы крови - имеет историческое значение, поскольку эпидемиологическими исследованиями не было подтверждено это утверждение.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Язвенная болезнь. Трансформация доброкачественных язв в карциномы происиходит редко. Однако  в виду того, что карциномы изъязвляются, часто ставится диагноз язвенная болезнь. Малигнизация происходит в длительно существующих  каллезных язвах.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Полипы и полипоз желудка.  Все полипы кроме железистой аденомы не являются предраковыми состояниями. Все полипы желудка должны быть исследованы гистологически, и все полипы размерами более 2 см должны быть удалены.</w:t>
      </w:r>
    </w:p>
    <w:p w:rsidR="002F2341" w:rsidRDefault="002F2341">
      <w:pPr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Риск развития рака желудка в 2.5 раза выше у лиц, перенесших ранее резекцию по поводу язвенной болезни. Рак развивается в пределах 15-40 лет после резекции.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Факторы риска по данным  отечественных авторов:</w:t>
      </w:r>
    </w:p>
    <w:p w:rsidR="002F2341" w:rsidRDefault="002F2341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Наследственность.</w:t>
      </w:r>
    </w:p>
    <w:p w:rsidR="002F2341" w:rsidRDefault="002F2341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Неправильный режим питания, в том числе употребление в пищу соленой, острой и копченой пищи.</w:t>
      </w:r>
    </w:p>
    <w:p w:rsidR="002F2341" w:rsidRDefault="002F2341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Предраковые заболевания.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Предраковые состояния.</w:t>
      </w:r>
    </w:p>
    <w:p w:rsidR="002F2341" w:rsidRDefault="002F2341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Атрофический гастрит</w:t>
      </w:r>
    </w:p>
    <w:p w:rsidR="002F2341" w:rsidRDefault="002F2341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Аденоматозные полипы желудка - частота малигнизации составляет 40% при полипах более 2 см в диаметре. Большинство полипов желудка - гиперпластические, и их не относят к предраковым заболеваниям.</w:t>
      </w:r>
    </w:p>
    <w:p w:rsidR="002F2341" w:rsidRDefault="002F2341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Состояние после резекции желудка (особенно через 10-20 лет после резекции по Бильрот 2).</w:t>
      </w:r>
    </w:p>
    <w:p w:rsidR="002F2341" w:rsidRDefault="002F2341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Иммунодефициты, особенно вариабельный не классифицируемый иммунодефицит (риск карциномы - 33%)</w:t>
      </w:r>
    </w:p>
    <w:p w:rsidR="002F2341" w:rsidRDefault="002F2341">
      <w:pPr>
        <w:numPr>
          <w:ilvl w:val="0"/>
          <w:numId w:val="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Пернициозная анемия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Предраковые заболевания желудка.</w:t>
      </w:r>
    </w:p>
    <w:p w:rsidR="002F2341" w:rsidRDefault="002F2341">
      <w:pPr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Атрофический гастрит</w:t>
      </w:r>
    </w:p>
    <w:p w:rsidR="002F2341" w:rsidRDefault="002F2341">
      <w:pPr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Аденоматозные полипы и полипоз желудка</w:t>
      </w:r>
    </w:p>
    <w:p w:rsidR="002F2341" w:rsidRDefault="002F2341">
      <w:pPr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Хроническая каллезная язва желудка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Классификация.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Макроскопически выделяют:</w:t>
      </w:r>
    </w:p>
    <w:p w:rsidR="002F2341" w:rsidRDefault="002F2341">
      <w:pPr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Полиповидный рак (экзофитный) - в виде полипа</w:t>
      </w:r>
    </w:p>
    <w:p w:rsidR="002F2341" w:rsidRDefault="002F2341">
      <w:pPr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Блюдцеобразный рак (экзофитный) -  так как опухоль разрушается в центре, то образуется форма блюдца - подрытые, большие края с кратером в центре.</w:t>
      </w:r>
    </w:p>
    <w:p w:rsidR="002F2341" w:rsidRDefault="002F2341">
      <w:pPr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Язвенно-инфильтративный</w:t>
      </w:r>
    </w:p>
    <w:p w:rsidR="002F2341" w:rsidRDefault="002F2341">
      <w:pPr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Диффузно-инфильтративный (</w:t>
      </w:r>
      <w:r>
        <w:rPr>
          <w:sz w:val="24"/>
          <w:szCs w:val="24"/>
          <w:lang w:val="en-US"/>
        </w:rPr>
        <w:t>linitis plastica</w:t>
      </w:r>
      <w:r>
        <w:rPr>
          <w:sz w:val="24"/>
          <w:szCs w:val="24"/>
        </w:rPr>
        <w:t>, пластический линит). При этой форме заболевания наблюдается распространенная опухолевая инфильтрация слизистой и подслизистой оболочек.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Гистологически выделяют следующие типы злокачественных опухолей желудка:</w:t>
      </w:r>
    </w:p>
    <w:p w:rsidR="002F2341" w:rsidRDefault="002F2341">
      <w:pPr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Аденокарцинома - наиболее частая форма (95%)</w:t>
      </w:r>
    </w:p>
    <w:p w:rsidR="002F2341" w:rsidRDefault="002F234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Папиллярная аденокарцинома представлена узкими или широкими эпителиальными выростами на соединительнотканной основе</w:t>
      </w:r>
    </w:p>
    <w:p w:rsidR="002F2341" w:rsidRDefault="002F234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Тубулярная аденокарцинома - разветвленные трубчатые структуры, заключенные в строму.</w:t>
      </w:r>
    </w:p>
    <w:p w:rsidR="002F2341" w:rsidRDefault="002F234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Муцинозная аденокарцинома - содержит значительное количество слизи.</w:t>
      </w:r>
    </w:p>
    <w:p w:rsidR="002F2341" w:rsidRDefault="002F234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Перстневидно-клеточный рак. Клетки опухоли содержат много слизи.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Неходжкинские лимфомы, лейомиосаркома, недифференцированная саркома - менее 1%.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  <w:lang w:val="en-US"/>
        </w:rPr>
        <w:t xml:space="preserve">TNM </w:t>
      </w:r>
      <w:r>
        <w:rPr>
          <w:b/>
          <w:bCs/>
          <w:i/>
          <w:iCs/>
          <w:sz w:val="24"/>
          <w:szCs w:val="24"/>
        </w:rPr>
        <w:t xml:space="preserve"> классификация (4 пересмотр, 1989)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 первичная опухоль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ТХ недостаточно данных для оценки первичной опухоли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Т0 первичная опухоль не определяется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 xml:space="preserve"> преинвазивная карцинома: интраэпителияальная опухоль без инвазии собственной оболочки слизистой 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Т1 опухоль инфильтрирует стенку желудка до подслизистого слоя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Т2 опухоль прорастает серозную оболочку до субсерозно оболочки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Т3 опухоль прорастает серозную оболочку (висцеральную брюшину) без инвазии в соседние структуры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Т4 опухоль распространяется на соседние структуры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 регионарные лимфатические узлы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NХ недостаточно данных для оценки регионарных лимфатических узлов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N0 нет признаков метастатического поражения регионарных лимфатических узлов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N1 имеются метастазы в перигастральных лимфатических узлах не далее 3-х см от края первичной опухоли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N2 имеются метастазы в перигастральных лимфатических узлах на расстоянии более 3-х см от края первичной опухоли или в лимфатичпских узлах, располагающихся вдоль левой желудочной, общей печеночной, селезеночной или чревной артерий.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М отдаленные метастазы</w:t>
      </w: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Группировка по стадиям.</w:t>
      </w: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2463"/>
        <w:gridCol w:w="2463"/>
        <w:gridCol w:w="2463"/>
        <w:gridCol w:w="2463"/>
      </w:tblGrid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</w:t>
            </w:r>
            <w:r w:rsidRPr="002F2341">
              <w:rPr>
                <w:sz w:val="24"/>
                <w:szCs w:val="24"/>
                <w:lang w:val="en-US"/>
              </w:rPr>
              <w:t>is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  <w:lang w:val="en-US"/>
              </w:rPr>
              <w:t>N0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1А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1Б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Т3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3 А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Т3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Т4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N0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3Б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Т3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Т4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N1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СТАДИЯ 4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Т4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N2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М0</w:t>
            </w:r>
          </w:p>
        </w:tc>
      </w:tr>
      <w:tr w:rsidR="002F2341" w:rsidRPr="002F2341"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Любая Т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Любая N</w:t>
            </w:r>
          </w:p>
        </w:tc>
        <w:tc>
          <w:tcPr>
            <w:tcW w:w="2463" w:type="dxa"/>
            <w:tcBorders>
              <w:top w:val="nil"/>
              <w:left w:val="nil"/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М1</w:t>
            </w:r>
          </w:p>
        </w:tc>
      </w:tr>
    </w:tbl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</w:t>
      </w: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Клинические проявления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Жалобы.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Боль в эпигастральной области наблюдается у 70% больных.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Анорексия и похудание характерны для 70-80% больных.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Тошнота и рвота при поражении дистальных отделов желудка. Рвота  - результат обструкции привратника опухолью, но может быть следствием нарушенной перистальтики желудка.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Дисфагия при поражении кардиального отдела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Чувство раннего насыщения. Диффузный рак желудка часто протекает с чувством быстрого насыщения,  так как стенка желудка не может нормально растягиваться.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Желудочно-кишечное кровотечение при карциномах желудка происходит редко (менее 10% больных).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Пальпируемый в левой надключичной области лимфатический узел указывает на метастаз.</w:t>
      </w:r>
    </w:p>
    <w:p w:rsidR="002F2341" w:rsidRDefault="002F2341">
      <w:pPr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Слабость и утомляемость возникают вторично (в том числе при хронической кровопотере и анемии).</w:t>
      </w: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Диагностика.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Жалобы.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Данные осмотра.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Лабораторные данные.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Данные инструментального исследования.</w:t>
      </w:r>
    </w:p>
    <w:p w:rsidR="002F2341" w:rsidRDefault="002F2341">
      <w:pPr>
        <w:pStyle w:val="3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Жалобы (см. выше).</w:t>
      </w:r>
    </w:p>
    <w:p w:rsidR="002F2341" w:rsidRDefault="002F2341">
      <w:pPr>
        <w:pStyle w:val="3"/>
        <w:spacing w:line="360" w:lineRule="auto"/>
        <w:jc w:val="both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 xml:space="preserve"> Данные осмотра.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Как правило, данные, полученные во время физикального исследования, свидетельствуют о поздних стадиях заболевания:</w:t>
      </w:r>
    </w:p>
    <w:p w:rsidR="002F2341" w:rsidRDefault="002F2341">
      <w:pPr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При пальпации живота определяется образование в эпигастральной области.</w:t>
      </w:r>
    </w:p>
    <w:p w:rsidR="002F2341" w:rsidRDefault="002F2341">
      <w:pPr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Пальпация в надключичной области Вирховского узла (</w:t>
      </w:r>
      <w:r>
        <w:rPr>
          <w:sz w:val="24"/>
          <w:szCs w:val="24"/>
          <w:lang w:val="en-US"/>
        </w:rPr>
        <w:t>Virchow's node)</w:t>
      </w:r>
      <w:r>
        <w:rPr>
          <w:sz w:val="24"/>
          <w:szCs w:val="24"/>
        </w:rPr>
        <w:t>.</w:t>
      </w:r>
    </w:p>
    <w:p w:rsidR="002F2341" w:rsidRDefault="002F2341">
      <w:pPr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Пальпация узла в левой подмышечной области - узла Айриша (</w:t>
      </w:r>
      <w:r>
        <w:rPr>
          <w:sz w:val="24"/>
          <w:szCs w:val="24"/>
          <w:lang w:val="en-US"/>
        </w:rPr>
        <w:t>Irish's node).</w:t>
      </w:r>
    </w:p>
    <w:p w:rsidR="002F2341" w:rsidRDefault="002F2341">
      <w:pPr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Шум плеска при пальпации желудка (при раке пилороантрального отдела).</w:t>
      </w:r>
    </w:p>
    <w:p w:rsidR="002F2341" w:rsidRDefault="002F2341">
      <w:pPr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При  ректальном исследовании можно определить наличие выступа Блюмера (</w:t>
      </w:r>
      <w:r>
        <w:rPr>
          <w:sz w:val="24"/>
          <w:szCs w:val="24"/>
          <w:lang w:val="en-US"/>
        </w:rPr>
        <w:t>Blumer's shelf)</w:t>
      </w:r>
      <w:r>
        <w:rPr>
          <w:sz w:val="24"/>
          <w:szCs w:val="24"/>
        </w:rPr>
        <w:t xml:space="preserve"> или метастаза Шницлера. Также можно обнаружить опухоль яичника - метастаз Крукенберга.</w:t>
      </w:r>
    </w:p>
    <w:p w:rsidR="002F2341" w:rsidRDefault="002F2341">
      <w:pPr>
        <w:pStyle w:val="3"/>
        <w:spacing w:line="360" w:lineRule="auto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>Данные лабораторного исследования.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В крови нередко определяют карциноэмбриональный антиген, а также увеличение активности бета-глюкуронидазы в секрете желудка. Ахлоргидрия в ответ на максимальную стимуляцию при язве желудка указывает на злокачественное изъязвление.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3"/>
        <w:spacing w:line="360" w:lineRule="auto"/>
        <w:jc w:val="both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>Данные инструментального исследования.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Рентгенологическое исследование.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Серийные снимки верхнего отдела ЖКТ позволяют выявить новообразование, язву или утолщенный нерастяжимый желудок в виде "кожаного мешка" (диффузный рак желудка). Одновременное контрастирование воздухом увеличивает информативность рентгенологического исследования.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Эндоскопия (фиброгастродуоденоскопия).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Эндоскопия и с биопсией и цитологическим исследованием обеспечивает 95-99% диагностику рака желудка.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Лапаротомия.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Является первичной процедурой для установления стадии заболевания и возможности радикальной операции.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УЗИ и КТ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УЗИ и КТ брюшной полости необходимы для выявления метастазов в печень, брюшину и т.д.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Дифференциальная диагностика.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Язвенная болезнь.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Предметом дифференциальной диагностики рака желудка, главным образом, является объяснение некоторых аналогичных рентгенологических данных. Прежде всего, речь идет о дифференциации доброкачественной язвы от злокачественной (блюдцевидная карцинома). Имеется ряд вспомогательных средств,которые проводят в связи с этим. Однако, имеется всеобщее согласие с мнением, что эти критерии не являются абсолютными и что ошибки возможны в обоих направлениях. Рак может укрываться и под видом типичной доброкачественной язвы, в особенности при локализации в ином месте, а не на вертикальной части малой кривизны. Как уже было сказано ранее, около 10-20% язв, которые вначале не имели рентгенологических признаков злокачественности, позднее проявляются как карциномы. Величина язвы не является критерием злокачественности, например, огромные старческие язвы бывают доброкачественными. В сомнительных случаях может помочь, во-первых, динамика, во-вторых другие методы исследования: ниша, которая при периодическом течении повторно исчезает и рецидивирует, не бывает злокачественной. При гастроскопическом исследовании, также как и при рентгенологическом исследовании, доброкачественные и злокачественные язвы имеют свои характерные черты.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tbl>
      <w:tblPr>
        <w:tblW w:w="0" w:type="auto"/>
        <w:tblInd w:w="-108" w:type="dxa"/>
        <w:tblBorders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85"/>
        <w:gridCol w:w="3285"/>
        <w:gridCol w:w="3285"/>
      </w:tblGrid>
      <w:tr w:rsidR="002F2341" w:rsidRPr="002F2341">
        <w:tc>
          <w:tcPr>
            <w:tcW w:w="3285" w:type="dxa"/>
            <w:tcBorders>
              <w:top w:val="nil"/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Язва</w:t>
            </w:r>
          </w:p>
        </w:tc>
        <w:tc>
          <w:tcPr>
            <w:tcW w:w="3285" w:type="dxa"/>
            <w:tcBorders>
              <w:top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Доброкачественная</w:t>
            </w:r>
          </w:p>
        </w:tc>
        <w:tc>
          <w:tcPr>
            <w:tcW w:w="3285" w:type="dxa"/>
            <w:tcBorders>
              <w:top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Злокачественная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Форма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Округлая или овальная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Неправильная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Контуры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Округлые "выраженные"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Неправильно волнообразные или изломанные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Края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На уровне окружающих тканей или приподнятые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Всегда приподнятые более темной окраски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Дно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Желтый фибрин или засохшая кровь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Некротическая ткань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Кровоточивость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Редко, из дна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Часто, из краев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Петехии в окружающих тканях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Иногда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Редко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Изъязвление в окружности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Никогда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Часто</w:t>
            </w:r>
          </w:p>
        </w:tc>
      </w:tr>
      <w:tr w:rsidR="002F2341" w:rsidRPr="002F2341">
        <w:tc>
          <w:tcPr>
            <w:tcW w:w="3285" w:type="dxa"/>
            <w:tcBorders>
              <w:lef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Радиальные складки</w:t>
            </w:r>
          </w:p>
        </w:tc>
        <w:tc>
          <w:tcPr>
            <w:tcW w:w="3285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Часто</w:t>
            </w:r>
          </w:p>
        </w:tc>
        <w:tc>
          <w:tcPr>
            <w:tcW w:w="3285" w:type="dxa"/>
            <w:tcBorders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Редко</w:t>
            </w:r>
          </w:p>
        </w:tc>
      </w:tr>
      <w:tr w:rsidR="002F2341" w:rsidRPr="002F2341">
        <w:tc>
          <w:tcPr>
            <w:tcW w:w="3285" w:type="dxa"/>
            <w:tcBorders>
              <w:left w:val="nil"/>
              <w:bottom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Слизистые вал, перекрещивающий большую кривизну</w:t>
            </w:r>
          </w:p>
        </w:tc>
        <w:tc>
          <w:tcPr>
            <w:tcW w:w="3285" w:type="dxa"/>
            <w:tcBorders>
              <w:bottom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Иногда</w:t>
            </w:r>
          </w:p>
        </w:tc>
        <w:tc>
          <w:tcPr>
            <w:tcW w:w="3285" w:type="dxa"/>
            <w:tcBorders>
              <w:bottom w:val="nil"/>
              <w:right w:val="nil"/>
            </w:tcBorders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>никогда</w:t>
            </w:r>
          </w:p>
        </w:tc>
      </w:tr>
    </w:tbl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Биопсия помогает незначительно, главной областью ее применения являются диффузные нарушения. При язве имели бы значение целенаправленная эксцизия с краев, что является технически нелегким и лишь изредка может удастся настолько, что принесет практические результаты. Дифференциальному диагнозу помогает исследование кислотности, поскольку имеет значение формула: ниша + гистаминная ахлоргидрия = карцинома.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Доброкачественные изменения антрума.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Антрум часто подвергается изменениям, которые в рентгенологической литературе приводят под различными названиями: антрумгастрит, гипертрофический антральный гастрит, перигастрит антрума, доброкачественная болезнь антрума, функциональные изменения или гипертония желудочного антрума. Эти названия обозначают предполагаемую причину. Проявляются сужением просвета, ригидностью стенки, угнетением перистальтики, насечками на какой-либо кривизне, грубым рельефом, который иногда даже имеет псевдополипозный характер. Как видно, здесь имеется ряд поводов для подозрения на карциному.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При гастроскопии и биопсии эти состояния делятся на две группы:</w:t>
      </w:r>
    </w:p>
    <w:p w:rsidR="002F2341" w:rsidRDefault="002F2341">
      <w:pPr>
        <w:numPr>
          <w:ilvl w:val="0"/>
          <w:numId w:val="1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Функциональные изменения антрума: картина слизистой нормальная, иногда антрум бывает тунелевидным, иногда не удается заметить перистальтику, но это обычные данные, обнаруживаемые и при нормальной желудке; следовательно, имеется заметная разница между патологической рентгенологической картиной  и нормальной гастроскопичекой картиной.</w:t>
      </w:r>
    </w:p>
    <w:p w:rsidR="002F2341" w:rsidRDefault="002F2341">
      <w:pPr>
        <w:numPr>
          <w:ilvl w:val="0"/>
          <w:numId w:val="1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Атрофическо-гипертрофическая даже полипозная форма хронического гастрита; такая картина определяется в особенности у больных с злокачественным малокровием и является предраковым состоянием. "Доброкачественные изменения антрума" относятся к состояниям, при которых гастроскопия оказывает весьма полезную службу. С ее помощью больных с функциональными изменениями можно избавить от пробной лапаротомии. Наоборот, выявление полипозных изменений слизистой является показанием к профилактической резекции желудка в связи с их преканцерозностью.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Абнормальные складки и полипы.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Гигантские складки иногда с трудом рентгенологически можно отличить от карциномы, но гастроскопически диагноз бывает нетрудным; следовательно, они являются следующим показанием для гастроскопии, где она имеет оправдание.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Аналогичная ситуация наблюдается и при шовных полипах в оперированном желудке, при которых гастроскопии тоже принадлежит решающее слово.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Хотя о гистологическом характере других полипов гастроскопия не может судить с уверенностью, но макроскопический вид в большинстве случаев позволяет сделать предположение о вероятной доброкачественности или злокачественности.</w:t>
      </w: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Лечение.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Лечение рака желудка зависит от распространенности опухоли в желудке, степени поражения регионарных лимфатических узлов и наличия отдаленных метастазов.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Основным методом лечения является хирургическое лечение, однако, также применяют сочетание химиотерапии и хирургического лечения, химиотерапии и лучевого лечения.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Хирургическое лечение.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Операция является средством выбора. 5-летняя выживаемость наблюдается в 12% случаев. При поверхностной локализации опухоли может достигать 70%. При раке в язве желудка прогноз несколько лучше (5-летняя выживаемость составляет 30-50%).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Субтотальная дистальная резекция желудка.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Выполняется при локализации опухоли в дистальных отделах желудка, вместе с желудком удаляют большой и малый сальник, регионарные лимфоузлы.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Субтотальная проксимальная резекция желудка с большим и малым сальниками, регионарными лимфоузлами при поражении кардиального отдела желудка.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Гастрэктомия выполняется при поражении тела желудка или при инфильтративных опухолях, расположенных в любом из его отделов.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Комбинированная гастрэктомия при контактном прорастании опухоли в смежные органы (например, в поджелудочную железу). Выполняют удаление их в едином блоке.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Удаление регионарных лимфатических узлов при операциях по поводу рака желудка ведет к увеличению продолжительности жизни больных, поэтому лимфаденэктомия показана всем больным.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Паллиативная резекция желудка показаны при развитии стеноза желудка или кровотечения из распадающейся опухоли.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Химиотерапия.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Химиотерапия подавляет злокачественный рост в 25-40% случаев, но мало влияет на продолжительности жизни. Вопрос о целесообразности адъювантной терапии после оперативного лечения потенциально курабельных опухолей достаточно спорен; однако, при применении  схема ФАМ (5-фторурацил, адриамицин, митомицин) достигнут определенный положительный эффект. 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Лучевая терапия.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Используется только интраоперационная лучевая терапия, которая повышает 5-летнюю выживаемость у пациентов с раком желудка 2-3 стадии (по данным японских авторов).  Рандомизированное исследование американского национального института рака (</w:t>
      </w:r>
      <w:r w:rsidRPr="00333315">
        <w:rPr>
          <w:sz w:val="24"/>
          <w:szCs w:val="24"/>
        </w:rPr>
        <w:t>www.nih.gov/icd</w:t>
      </w:r>
      <w:r>
        <w:rPr>
          <w:sz w:val="24"/>
          <w:szCs w:val="24"/>
        </w:rPr>
        <w:t>)  не показало увеличения 5-летней выживаемости при использовании интраоперационного облучения.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Стандартным подходом в лечении рака желудка в США является следующая схема (</w:t>
      </w:r>
      <w:r>
        <w:rPr>
          <w:sz w:val="24"/>
          <w:szCs w:val="24"/>
          <w:lang w:val="en-US"/>
        </w:rPr>
        <w:t>Philip Rubin, Clinical Oncology, 1993).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63"/>
        <w:gridCol w:w="2463"/>
        <w:gridCol w:w="2463"/>
        <w:gridCol w:w="2463"/>
      </w:tblGrid>
      <w:tr w:rsidR="002F2341" w:rsidRPr="002F2341"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F2341">
              <w:rPr>
                <w:sz w:val="24"/>
                <w:szCs w:val="24"/>
              </w:rPr>
              <w:t xml:space="preserve"> Стадия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Хирургическое лечение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Лучевая терапия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Химиотерапия</w:t>
            </w:r>
          </w:p>
        </w:tc>
      </w:tr>
      <w:tr w:rsidR="002F2341" w:rsidRPr="002F2341"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</w:rPr>
              <w:t xml:space="preserve"> 1 стадия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vertAlign w:val="subscript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T1 N2 M0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 xml:space="preserve">T1N1M0   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T2N0M0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Радикальная резекция желудка и удаление регионарных лимфатических узлов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 xml:space="preserve"> Не рекомендована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Не рекомендована</w:t>
            </w:r>
          </w:p>
        </w:tc>
      </w:tr>
      <w:tr w:rsidR="002F2341" w:rsidRPr="002F2341"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</w:rPr>
              <w:t>2 стадия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T1N2M0 , T2 N1  T3 N0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Радикальная резекция желудка и удаление регионарных лимфатических узлов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Не рекомендована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Не рекомендована</w:t>
            </w:r>
          </w:p>
        </w:tc>
      </w:tr>
      <w:tr w:rsidR="002F2341" w:rsidRPr="002F2341"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</w:rPr>
              <w:t>3 стадия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vertAlign w:val="subscript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 xml:space="preserve"> T2 N2   T3 N1</w:t>
            </w:r>
            <w:r w:rsidRPr="002F2341">
              <w:rPr>
                <w:sz w:val="24"/>
                <w:szCs w:val="24"/>
                <w:vertAlign w:val="subscript"/>
                <w:lang w:val="en-US"/>
              </w:rPr>
              <w:t xml:space="preserve">   </w:t>
            </w:r>
            <w:r w:rsidRPr="002F2341">
              <w:rPr>
                <w:sz w:val="24"/>
                <w:szCs w:val="24"/>
                <w:lang w:val="en-US"/>
              </w:rPr>
              <w:t>T4 N0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 xml:space="preserve"> T3 N2</w:t>
            </w:r>
            <w:r w:rsidRPr="002F2341">
              <w:rPr>
                <w:sz w:val="24"/>
                <w:szCs w:val="24"/>
                <w:vertAlign w:val="subscript"/>
                <w:lang w:val="en-US"/>
              </w:rPr>
              <w:t xml:space="preserve">   </w:t>
            </w:r>
            <w:r w:rsidRPr="002F2341">
              <w:rPr>
                <w:sz w:val="24"/>
                <w:szCs w:val="24"/>
                <w:lang w:val="en-US"/>
              </w:rPr>
              <w:t>T4 N1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Радикальная резекция желудка и удаление регионарных лимфатических узлов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Адъювантная лучевая терапия 45-50 гр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</w:rPr>
              <w:t xml:space="preserve">МАС - </w:t>
            </w:r>
            <w:r w:rsidRPr="002F2341">
              <w:rPr>
                <w:sz w:val="24"/>
                <w:szCs w:val="24"/>
                <w:lang w:val="en-US"/>
              </w:rPr>
              <w:t>multiagent chemotherapy</w:t>
            </w:r>
          </w:p>
        </w:tc>
      </w:tr>
      <w:tr w:rsidR="002F2341" w:rsidRPr="002F2341"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</w:rPr>
              <w:t>4 стадия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T4 N2</w:t>
            </w:r>
            <w:r w:rsidRPr="002F2341">
              <w:rPr>
                <w:sz w:val="24"/>
                <w:szCs w:val="24"/>
                <w:vertAlign w:val="subscript"/>
                <w:lang w:val="en-US"/>
              </w:rPr>
              <w:t xml:space="preserve">   </w:t>
            </w:r>
            <w:r w:rsidRPr="002F2341">
              <w:rPr>
                <w:sz w:val="24"/>
                <w:szCs w:val="24"/>
                <w:lang w:val="en-US"/>
              </w:rPr>
              <w:t>T</w:t>
            </w:r>
            <w:r w:rsidRPr="002F2341">
              <w:rPr>
                <w:sz w:val="24"/>
                <w:szCs w:val="24"/>
                <w:vertAlign w:val="subscript"/>
                <w:lang w:val="en-US"/>
              </w:rPr>
              <w:t>any</w:t>
            </w:r>
            <w:r w:rsidRPr="002F2341">
              <w:rPr>
                <w:sz w:val="24"/>
                <w:szCs w:val="24"/>
                <w:lang w:val="en-US"/>
              </w:rPr>
              <w:t xml:space="preserve"> N</w:t>
            </w:r>
            <w:r w:rsidRPr="002F2341">
              <w:rPr>
                <w:sz w:val="24"/>
                <w:szCs w:val="24"/>
                <w:vertAlign w:val="subscript"/>
                <w:lang w:val="en-US"/>
              </w:rPr>
              <w:t xml:space="preserve">any </w:t>
            </w:r>
            <w:r w:rsidRPr="002F2341">
              <w:rPr>
                <w:sz w:val="24"/>
                <w:szCs w:val="24"/>
                <w:lang w:val="en-US"/>
              </w:rPr>
              <w:t>M1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Радикальная резекция желудка и удаление регионарных лимфатических узлов</w:t>
            </w: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Адъювантная лучевая терапия 45-50 гр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Паллиативная лучевая терапия по выбранным точкам 45-50 гр</w:t>
            </w:r>
          </w:p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2463" w:type="dxa"/>
          </w:tcPr>
          <w:p w:rsidR="002F2341" w:rsidRPr="002F2341" w:rsidRDefault="002F2341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2F2341">
              <w:rPr>
                <w:sz w:val="24"/>
                <w:szCs w:val="24"/>
                <w:lang w:val="en-US"/>
              </w:rPr>
              <w:t>МАС</w:t>
            </w:r>
          </w:p>
        </w:tc>
      </w:tr>
    </w:tbl>
    <w:p w:rsidR="002F2341" w:rsidRDefault="002F2341">
      <w:pPr>
        <w:spacing w:line="360" w:lineRule="auto"/>
        <w:jc w:val="both"/>
        <w:rPr>
          <w:sz w:val="24"/>
          <w:szCs w:val="24"/>
          <w:lang w:val="en-US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Прогноз.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Прогноз после оперативного лечения в значительной степени зависит от глубины прорастания опухолью стенки желудка, степени поражения регионарных лимфатических узлов и наличия отдаленных метастазов, но прогноз в целом остается достаточно плохим. Если опухоль не прорастает серозную оболочку желудка при невовлеченности регионарных лимфатических узлов, то 5-летняя выживаемость у таких пациентов составляет приблизительно 70%. Это значение катастрофически снижается, если опухоль прорастает серозную оболочку или поражает регионарные лимфатические узлы. Ко времени постановки диагноза лишь только у 40% пациентов имеется потенциально курабельная опухоль.</w:t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spacing w:line="360" w:lineRule="auto"/>
        <w:jc w:val="both"/>
        <w:rPr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</w:p>
    <w:p w:rsidR="002F2341" w:rsidRDefault="002F2341">
      <w:pPr>
        <w:pStyle w:val="2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Использованная литература.</w:t>
      </w:r>
    </w:p>
    <w:p w:rsidR="002F2341" w:rsidRDefault="002F2341">
      <w:pPr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злокачественных опухолей. Издание четвертое, дополненное, исправленное.</w:t>
      </w:r>
    </w:p>
    <w:p w:rsidR="002F2341" w:rsidRDefault="002F2341">
      <w:pPr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З. Маржатка. Практическая гастроэнтерология, Прага, 1967 год</w:t>
      </w:r>
    </w:p>
    <w:p w:rsidR="002F2341" w:rsidRDefault="002F2341">
      <w:pPr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Ph. Rubin. Clinical Oncology, A Multidisciplinary Approach for Physicians and Students, 7</w:t>
      </w:r>
      <w:r>
        <w:rPr>
          <w:sz w:val="24"/>
          <w:szCs w:val="24"/>
          <w:vertAlign w:val="superscript"/>
          <w:lang w:val="en-US"/>
        </w:rPr>
        <w:t>th</w:t>
      </w:r>
      <w:r>
        <w:rPr>
          <w:sz w:val="24"/>
          <w:szCs w:val="24"/>
          <w:lang w:val="en-US"/>
        </w:rPr>
        <w:t xml:space="preserve"> Edition, 1993</w:t>
      </w:r>
    </w:p>
    <w:p w:rsidR="002F2341" w:rsidRDefault="002F2341">
      <w:pPr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Хирургия, руководство для врачей и студентов, под редакцией В.С. Савельева. Геоэтар медицина, 1997 год.</w:t>
      </w:r>
    </w:p>
    <w:p w:rsidR="002F2341" w:rsidRDefault="002F2341">
      <w:pPr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Marie E. Wood, Paul Bunn.  Heamatology/Oncology Secrets, 1994 by Hanley and Belfus, Inc.</w:t>
      </w:r>
    </w:p>
    <w:p w:rsidR="002F2341" w:rsidRDefault="002F2341">
      <w:pPr>
        <w:numPr>
          <w:ilvl w:val="0"/>
          <w:numId w:val="12"/>
        </w:numPr>
        <w:spacing w:line="36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Internet </w:t>
      </w:r>
      <w:r>
        <w:rPr>
          <w:sz w:val="24"/>
          <w:szCs w:val="24"/>
        </w:rPr>
        <w:t>ресурсы</w:t>
      </w:r>
      <w:r>
        <w:rPr>
          <w:sz w:val="24"/>
          <w:szCs w:val="24"/>
          <w:lang w:val="en-US"/>
        </w:rPr>
        <w:t>:</w:t>
      </w:r>
    </w:p>
    <w:p w:rsidR="002F2341" w:rsidRDefault="002F2341">
      <w:pPr>
        <w:numPr>
          <w:ilvl w:val="0"/>
          <w:numId w:val="25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EORTC European Organization For Research and Therapy Cancer- </w:t>
      </w:r>
      <w:r w:rsidRPr="00333315">
        <w:rPr>
          <w:sz w:val="24"/>
          <w:szCs w:val="24"/>
        </w:rPr>
        <w:t>www.eortc.</w:t>
      </w:r>
      <w:r>
        <w:rPr>
          <w:sz w:val="24"/>
          <w:szCs w:val="24"/>
          <w:lang w:val="en-US"/>
        </w:rPr>
        <w:t>be</w:t>
      </w:r>
    </w:p>
    <w:p w:rsidR="002F2341" w:rsidRDefault="002F2341">
      <w:pPr>
        <w:numPr>
          <w:ilvl w:val="0"/>
          <w:numId w:val="26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UICC - International Union against Cancer -  </w:t>
      </w:r>
      <w:r w:rsidRPr="00333315">
        <w:rPr>
          <w:sz w:val="24"/>
          <w:szCs w:val="24"/>
        </w:rPr>
        <w:t>www.uicc.ch</w:t>
      </w:r>
    </w:p>
    <w:p w:rsidR="002F2341" w:rsidRDefault="002F2341">
      <w:pPr>
        <w:numPr>
          <w:ilvl w:val="0"/>
          <w:numId w:val="27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WHO - World Healt Organization   - </w:t>
      </w:r>
      <w:r w:rsidRPr="00333315">
        <w:rPr>
          <w:sz w:val="24"/>
          <w:szCs w:val="24"/>
        </w:rPr>
        <w:t>www.wh</w:t>
      </w:r>
      <w:bookmarkStart w:id="0" w:name="_Hlt420321068"/>
      <w:r w:rsidRPr="00333315">
        <w:rPr>
          <w:sz w:val="24"/>
          <w:szCs w:val="24"/>
        </w:rPr>
        <w:t>o</w:t>
      </w:r>
      <w:bookmarkEnd w:id="0"/>
      <w:r w:rsidRPr="00333315">
        <w:rPr>
          <w:sz w:val="24"/>
          <w:szCs w:val="24"/>
        </w:rPr>
        <w:t>.ch</w:t>
      </w:r>
      <w:r>
        <w:rPr>
          <w:sz w:val="24"/>
          <w:szCs w:val="24"/>
          <w:lang w:val="en-US"/>
        </w:rPr>
        <w:t xml:space="preserve">, </w:t>
      </w:r>
      <w:r w:rsidRPr="00333315">
        <w:rPr>
          <w:sz w:val="24"/>
          <w:szCs w:val="24"/>
        </w:rPr>
        <w:t>www.who.de</w:t>
      </w:r>
      <w:r>
        <w:rPr>
          <w:sz w:val="24"/>
          <w:szCs w:val="24"/>
          <w:lang w:val="en-US"/>
        </w:rPr>
        <w:t>)</w:t>
      </w:r>
    </w:p>
    <w:p w:rsidR="002F2341" w:rsidRDefault="002F2341">
      <w:pPr>
        <w:numPr>
          <w:ilvl w:val="0"/>
          <w:numId w:val="28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ASCO American Society for Clinical Oncology - </w:t>
      </w:r>
      <w:r w:rsidRPr="00333315">
        <w:rPr>
          <w:sz w:val="24"/>
          <w:szCs w:val="24"/>
        </w:rPr>
        <w:t>www.asco.org</w:t>
      </w:r>
    </w:p>
    <w:p w:rsidR="002F2341" w:rsidRDefault="002F2341">
      <w:pPr>
        <w:numPr>
          <w:ilvl w:val="0"/>
          <w:numId w:val="29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AJCC  - ajcc.org</w:t>
      </w:r>
    </w:p>
    <w:p w:rsidR="002F2341" w:rsidRDefault="002F2341">
      <w:pPr>
        <w:numPr>
          <w:ilvl w:val="0"/>
          <w:numId w:val="29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ESTRO - estro.be</w:t>
      </w:r>
    </w:p>
    <w:p w:rsidR="002F2341" w:rsidRDefault="002F2341">
      <w:pPr>
        <w:numPr>
          <w:ilvl w:val="0"/>
          <w:numId w:val="29"/>
        </w:numPr>
        <w:tabs>
          <w:tab w:val="clear" w:pos="360"/>
          <w:tab w:val="num" w:pos="720"/>
        </w:tabs>
        <w:ind w:left="72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ASTRO - astro.org</w:t>
      </w:r>
    </w:p>
    <w:p w:rsidR="002F2341" w:rsidRDefault="002F2341">
      <w:pPr>
        <w:spacing w:line="360" w:lineRule="auto"/>
        <w:rPr>
          <w:b/>
          <w:bCs/>
          <w:color w:val="FF0000"/>
          <w:sz w:val="24"/>
          <w:szCs w:val="24"/>
          <w:lang w:val="en-US"/>
        </w:rPr>
      </w:pPr>
      <w:r>
        <w:rPr>
          <w:color w:val="FF0000"/>
          <w:sz w:val="24"/>
          <w:szCs w:val="24"/>
          <w:lang w:val="en-US"/>
        </w:rPr>
        <w:t xml:space="preserve">Пишу рефераты: E mail medreferats@usa.net от 10 до 20 тыс. Оплата в Санкт-Петербурге при получении, в других </w:t>
      </w:r>
      <w:r>
        <w:rPr>
          <w:b/>
          <w:bCs/>
          <w:color w:val="FF0000"/>
          <w:sz w:val="24"/>
          <w:szCs w:val="24"/>
          <w:lang w:val="en-US"/>
        </w:rPr>
        <w:t>городах по почте. Возможна предоплата в счет будущих рефератов. Список готовых рефератов можно заказать по почте (адрес указан выше).</w:t>
      </w:r>
      <w:bookmarkStart w:id="1" w:name="_GoBack"/>
      <w:bookmarkEnd w:id="1"/>
    </w:p>
    <w:sectPr w:rsidR="002F2341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2341" w:rsidRDefault="002F2341">
      <w:r>
        <w:separator/>
      </w:r>
    </w:p>
  </w:endnote>
  <w:endnote w:type="continuationSeparator" w:id="0">
    <w:p w:rsidR="002F2341" w:rsidRDefault="002F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2341" w:rsidRDefault="002F2341">
      <w:r>
        <w:separator/>
      </w:r>
    </w:p>
  </w:footnote>
  <w:footnote w:type="continuationSeparator" w:id="0">
    <w:p w:rsidR="002F2341" w:rsidRDefault="002F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2341" w:rsidRDefault="00333315">
    <w:pPr>
      <w:pStyle w:val="a5"/>
      <w:jc w:val="center"/>
      <w:rPr>
        <w:rFonts w:ascii="Courier New" w:hAnsi="Courier New" w:cs="Courier New"/>
        <w:sz w:val="28"/>
        <w:szCs w:val="28"/>
        <w:lang w:val="en-US"/>
      </w:rPr>
    </w:pPr>
    <w:r>
      <w:rPr>
        <w:rStyle w:val="a4"/>
        <w:rFonts w:ascii="Courier New" w:hAnsi="Courier New" w:cs="Courier New"/>
        <w:noProof/>
        <w:sz w:val="28"/>
        <w:szCs w:val="28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134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54978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3B414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44725CF"/>
    <w:multiLevelType w:val="singleLevel"/>
    <w:tmpl w:val="9AEE177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abstractNum w:abstractNumId="4">
    <w:nsid w:val="149D6C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2A6E68C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2BCD0DF4"/>
    <w:multiLevelType w:val="singleLevel"/>
    <w:tmpl w:val="0DA00C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2E424CB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321465F2"/>
    <w:multiLevelType w:val="singleLevel"/>
    <w:tmpl w:val="732E09D0"/>
    <w:lvl w:ilvl="0">
      <w:start w:val="1"/>
      <w:numFmt w:val="bullet"/>
      <w:lvlText w:val="-"/>
      <w:lvlJc w:val="left"/>
      <w:pPr>
        <w:tabs>
          <w:tab w:val="num" w:pos="864"/>
        </w:tabs>
        <w:ind w:left="864" w:hanging="360"/>
      </w:pPr>
      <w:rPr>
        <w:rFonts w:ascii="Times New Roman" w:hAnsi="Times New Roman" w:cs="Times New Roman" w:hint="default"/>
      </w:rPr>
    </w:lvl>
  </w:abstractNum>
  <w:abstractNum w:abstractNumId="9">
    <w:nsid w:val="36882DE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BAD2D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DDE31F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01769B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418018F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4EFB3469"/>
    <w:multiLevelType w:val="singleLevel"/>
    <w:tmpl w:val="9AEE177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abstractNum w:abstractNumId="15">
    <w:nsid w:val="5AED10B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5C881203"/>
    <w:multiLevelType w:val="singleLevel"/>
    <w:tmpl w:val="0DA00C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7">
    <w:nsid w:val="5C950AB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5EC7366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>
    <w:nsid w:val="629A069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66C60595"/>
    <w:multiLevelType w:val="singleLevel"/>
    <w:tmpl w:val="9AEE177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abstractNum w:abstractNumId="21">
    <w:nsid w:val="69A243F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700370EA"/>
    <w:multiLevelType w:val="singleLevel"/>
    <w:tmpl w:val="36EA03B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3">
    <w:nsid w:val="70C21BF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4">
    <w:nsid w:val="70F237DB"/>
    <w:multiLevelType w:val="singleLevel"/>
    <w:tmpl w:val="0DA00C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5">
    <w:nsid w:val="71E2453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74A7066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7B843D1C"/>
    <w:multiLevelType w:val="singleLevel"/>
    <w:tmpl w:val="0DA00C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8">
    <w:nsid w:val="7F523BA5"/>
    <w:multiLevelType w:val="singleLevel"/>
    <w:tmpl w:val="0DA00C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9"/>
  </w:num>
  <w:num w:numId="3">
    <w:abstractNumId w:val="26"/>
  </w:num>
  <w:num w:numId="4">
    <w:abstractNumId w:val="5"/>
  </w:num>
  <w:num w:numId="5">
    <w:abstractNumId w:val="13"/>
  </w:num>
  <w:num w:numId="6">
    <w:abstractNumId w:val="18"/>
  </w:num>
  <w:num w:numId="7">
    <w:abstractNumId w:val="1"/>
  </w:num>
  <w:num w:numId="8">
    <w:abstractNumId w:val="0"/>
  </w:num>
  <w:num w:numId="9">
    <w:abstractNumId w:val="21"/>
  </w:num>
  <w:num w:numId="10">
    <w:abstractNumId w:val="7"/>
  </w:num>
  <w:num w:numId="11">
    <w:abstractNumId w:val="4"/>
  </w:num>
  <w:num w:numId="12">
    <w:abstractNumId w:val="12"/>
  </w:num>
  <w:num w:numId="13">
    <w:abstractNumId w:val="11"/>
  </w:num>
  <w:num w:numId="14">
    <w:abstractNumId w:val="22"/>
  </w:num>
  <w:num w:numId="15">
    <w:abstractNumId w:val="23"/>
  </w:num>
  <w:num w:numId="16">
    <w:abstractNumId w:val="3"/>
  </w:num>
  <w:num w:numId="17">
    <w:abstractNumId w:val="8"/>
  </w:num>
  <w:num w:numId="18">
    <w:abstractNumId w:val="20"/>
  </w:num>
  <w:num w:numId="19">
    <w:abstractNumId w:val="19"/>
  </w:num>
  <w:num w:numId="20">
    <w:abstractNumId w:val="25"/>
  </w:num>
  <w:num w:numId="21">
    <w:abstractNumId w:val="14"/>
  </w:num>
  <w:num w:numId="22">
    <w:abstractNumId w:val="15"/>
  </w:num>
  <w:num w:numId="23">
    <w:abstractNumId w:val="2"/>
  </w:num>
  <w:num w:numId="24">
    <w:abstractNumId w:val="17"/>
  </w:num>
  <w:num w:numId="25">
    <w:abstractNumId w:val="16"/>
  </w:num>
  <w:num w:numId="26">
    <w:abstractNumId w:val="6"/>
  </w:num>
  <w:num w:numId="27">
    <w:abstractNumId w:val="28"/>
  </w:num>
  <w:num w:numId="28">
    <w:abstractNumId w:val="24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mirrorMargin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3315"/>
    <w:rsid w:val="002F2341"/>
    <w:rsid w:val="00333315"/>
    <w:rsid w:val="00357CA5"/>
    <w:rsid w:val="003F4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8715A69-454D-4C19-9A83-8B745C2F3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 w:line="360" w:lineRule="auto"/>
      <w:jc w:val="both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page number"/>
    <w:uiPriority w:val="99"/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9">
    <w:name w:val="Document Map"/>
    <w:basedOn w:val="a"/>
    <w:link w:val="aa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aa">
    <w:name w:val="Схема документа Знак"/>
    <w:link w:val="a9"/>
    <w:uiPriority w:val="99"/>
    <w:semiHidden/>
    <w:rPr>
      <w:rFonts w:ascii="Tahoma" w:hAnsi="Tahoma" w:cs="Tahoma"/>
      <w:sz w:val="16"/>
      <w:szCs w:val="16"/>
    </w:rPr>
  </w:style>
  <w:style w:type="character" w:styleId="ab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13498</Words>
  <Characters>7694</Characters>
  <Application>Microsoft Office Word</Application>
  <DocSecurity>0</DocSecurity>
  <Lines>64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Встречаемость</vt:lpstr>
    </vt:vector>
  </TitlesOfParts>
  <Company>Мой оффис</Company>
  <LinksUpToDate>false</LinksUpToDate>
  <CharactersWithSpaces>21150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Встречаемость</dc:title>
  <dc:subject/>
  <dc:creator>Красножон Дмитрий</dc:creator>
  <cp:keywords/>
  <dc:description/>
  <cp:lastModifiedBy>admin</cp:lastModifiedBy>
  <cp:revision>2</cp:revision>
  <cp:lastPrinted>1995-08-28T20:22:00Z</cp:lastPrinted>
  <dcterms:created xsi:type="dcterms:W3CDTF">2014-01-27T17:10:00Z</dcterms:created>
  <dcterms:modified xsi:type="dcterms:W3CDTF">2014-01-27T17:10:00Z</dcterms:modified>
</cp:coreProperties>
</file>