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46" w:rsidRDefault="005D7146" w:rsidP="00A57ED2">
      <w:pPr>
        <w:spacing w:before="41" w:after="136" w:line="240" w:lineRule="auto"/>
        <w:ind w:left="136" w:right="136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18"/>
          <w:szCs w:val="18"/>
          <w:lang w:eastAsia="ru-RU"/>
        </w:rPr>
      </w:pPr>
    </w:p>
    <w:p w:rsidR="00E258D1" w:rsidRPr="00A57ED2" w:rsidRDefault="00E258D1" w:rsidP="00A57ED2">
      <w:pPr>
        <w:spacing w:before="41" w:after="136" w:line="240" w:lineRule="auto"/>
        <w:ind w:left="136" w:right="136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18"/>
          <w:szCs w:val="18"/>
          <w:lang w:eastAsia="ru-RU"/>
        </w:rPr>
      </w:pPr>
      <w:r w:rsidRPr="00A57ED2">
        <w:rPr>
          <w:rFonts w:ascii="Tahoma" w:hAnsi="Tahoma" w:cs="Tahoma"/>
          <w:b/>
          <w:bCs/>
          <w:color w:val="000000"/>
          <w:kern w:val="36"/>
          <w:sz w:val="18"/>
          <w:szCs w:val="18"/>
          <w:lang w:eastAsia="ru-RU"/>
        </w:rPr>
        <w:t>Аудит оплаты труда</w:t>
      </w:r>
    </w:p>
    <w:p w:rsidR="00E258D1" w:rsidRDefault="00E258D1" w:rsidP="00A57ED2"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СОДЕРЖАНИЕ.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Введение. 2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Цель и задача аудита. Аудит оплаты труда. 3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Программа проведения аудиторской проверки. 5-14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2.1. Нормативное регулирование бухгалтер-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ского учета и налогообложение. 5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2.2. Ознакомление с финансово-производст-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венной деятельностью хозяйства. 7-13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2.2.1. Общие положения. 7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2.2.2. Специализация хозяйства. 9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2.2.3. Аудиторский риск. 10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2.3. Определение последовательности про-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верки расчетов по оплате труда. 13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2.4. Определение объема аудиторской про-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верки. 14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 Организация процесса аудиторской проверки. 15-21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3.1. Проверка организации СВК. 15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3.2. Проверка соответствия записей первич-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ных документов регистрам бухгалтер-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ского учета. 18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3.3. Проверка техники заполнения первич-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ных документов. 21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 Оформление материалов аудиторской проверки. 22-26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4.1. Сбор аудиторских доказательств. 22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4.2. Аудиторское заключение. 23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Список литературы 27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ВВЕДЕНИЕ.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условиях рынка предприятия, кредитные учреждения, другие хозяйствующие объекты вступают в договорные отношения по использованию имущества, денежных средств, проведению коммерческих операций и инвестиций. Доверительность этих отношений должна подкрепляться возможностью для всех участников сделок получать и использовать финансовую информацию. Достоверность информации подтверждается независимым аудитором.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Собственники, и прежде всего коллективные собственники - акционеры, пайщики, а также кредиторы, лишены возможности самостоятельно убедиться в том, что все многочисленные операции предприятия, зачастую очень сложные, законны и правильно отражены в отчетности, так как обычно не имеют доступа к учетным записям, ни соответствующего опыта, и поэтому нуждаются в услугах аудиторов.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Аудиторские проверки необходимы государственным органом, судам, прокурорам и следователям для подтверждения достоверности интересующей их финансовой отчетности.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Потребность в услугах аудитора возникла в связи со следующими обстоятельствами: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1) возможность необъективной информации со стороны администрации в случаях конфликта между ею и пользователями этой информации (собственниками, инвесторами, кредиторами);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2) зависимость последствий принятых решений (а они могут быть весьма значительны) от качества информации;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3) необходимость специальных знаний для проверки информации;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4) частое отсутствие у пользователей информации доступа для оценки ее качества.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Все эти предпосылки привели к возникновению общественной потребности в услугах независимых экспертов, имеющих соответствующие подготовку, квалификацию, опыт и разрешение на право оказания такого рода услуг. Аудиторские услуги - это услуги посредников, устанавливающих достоверность финансовой информации.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ЦЕЛИ И ЗАДАЧИ АУДИТА.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 ОПЛАТЫ ТРУДА.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Аудиторская деятельность (аудит) - это предпринимательская деятельность аудиторов (аудиторских фирм)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-постановка, восстановление и ведение бухгалтерского учета;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-составление деклараций о доходах и бухгалтерской (финансовой) отчетности;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-анализ финансово-хозяйственной деятельности;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-оценка активов и пассивов экономического субъекта;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-консультирование в вопросах финансового, налогового, банковского и иного хозяйственного законодательства;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-обучение;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-и др.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 - независимая экспертиза финансовой отчетности предприятия на основе проверки соблюдения порядка ведения бухгалтерского учета, соответствия хозяйственных и финансовых операций законодательству Российская Федерация, полноты и точности отражения в финансовой отчетности деятельности предприятия. Экспертиза завершается составлением аудиторского заключения.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Цель аудита - решение конкретной задачи, которая определяется законодательством, системой нормативного регулирования аудиторской деятельности, договорным обязательствам аудитора и клиента.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Основной целью аудитора при проверке оплаты труда является определение сильных сторон контроля, чтобы убедиться, что существенные ошибки отсутствуют.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Основная задача аудита оплаты труда - проверка соблюдения нормативно-правовых актов при начислении оплаты труда, удержаниях из нее и правильности ведения бухгалтерского учета по оплате труда.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Задачи аудитора: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Проверяя правильность оплаты труда, аудитор должен проверить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-наличие и соответствие законодательству первичных документов по учету рабочего времени, объема выполненных работ, услуг, выпущенной продукции;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-соответствие показателей аналитического учета по счету 70 с записями в Главной книге и бухгалтерском балансе на одну и туже дату.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При проверке использования фонда оплаты труда, аудитор должен проверить 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-соблюдение установленных штатным расписанием должностных окладов работников предприятия;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-своевременность их индексации с учетом роста цен в условиях инфляции;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-утверждено ли штатное расписание на Совете правления или собрания акционеров, учредителей;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-правильность оплаты по сдельным нарядам рабочих, имелись ли случаи приписки невыполненных работ;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-правильность выплаты премий работникам предприятия (на основании утвержденного Положения или произвольно волевым действиям руководителя).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ПРОГРАММА ПРОВЕДЕНИЯ АУДИТОРСКОЙ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ПРОВЕРКИ.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2.1. Нормативное регулирование.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Положение о бухгалтерском учете и отчетности в РФ (от 26 декабря 1994 г. №170).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Инструкция о составе средств, направляемых на потребление (Госкомстат РФ от 13 октября 1992 г. №6-3 (124)).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 О порядке определения месячных тарифных ставок из расчета установленных часовых тарифных ставок (Госналогслужба РФ от 12 января 1994 г. №ЮБ-6-10/12).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4. Об условиях оплаты труда руководителей государственных предприятий при заключении с ними трудовых договоров (контрактов) (Правительство РФ от 21 марта 1994 г. №210).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5. Рекомендации по заключению трудового договора (контракта) в письменной форме (приложение №1 к постановлению Минтруда от 14 июля 1993 г. №315).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6. О повышении единых тарифных ставок (окладов) единой тарифной сетки по оплате труда работников бюджетной сферы (постановление Правительства РФ от 24 августа 1995 г. №823).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7. О продолжительности работы в выходной день, перенесенный в связи с праздником на рабочий день (Минтруда РФ от 25 февраля 1994 г. №4).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8. План счетов бухгалтерского учета и финансово-хозяйственной деятельности и Инструкция по его применению (Приказ Минфина РФ от 28 декабря 1994 г. №173).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9. 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 (Постановление Правительства РФ от 5 августа 1992 г. №522 с изменениями и дополнениями от 1 июля 1995 г. №661).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10. О порядке выдачи средств на потребление (Центробанк РФ от 6 апреля 1994 г. №14-5/82).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11. О подоходном налоге с физических лиц (Закон РФ с изменениями и дополнениями от 16 июля 1992 г. №3317-1; от 6 марта 1993 г. №4618-1; от 23 декабря 1994 г. №74-ФЗ “О подоходном налоге с физических лиц”.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12. Инструкция о подоходном налоге с физических лиц (Госналогслужба РФ от 29 июня 1995 г. №35 с изменениями и дополнениями).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13. Инструкция о составе фонда заработной платы и выплат социального характера (Госкомстат от 10 июля 1995 г. №89).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14. О норме рабочего времени и о порядке определения часовой тарифной ставки в 1996 г. (Минтруда РФ от 13 сентября 1995 г. №51).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15. Инструкция о порядке выдачи документов, удостоверяющих временную нетрудоспособность граждан (Постановление фонда социального страхования РФ от 19 апреля 1994 г. №21).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16. Методические рекомендации по исчислению совокупного годового дохода и начислению подоходного налога в организациях (Госналогслужба РФ б/н, ноябрь 1995 г.).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2.2. Ознакомление с финансово-производственной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деятельностью организации.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2.2.1. ОБЩИЕ ПОЛОЖЕНИЯ.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Акционерное общество “ Красный Луч” образовано в порядке реорганизации совхоза “Красный Луч” на общем собрании 25.02.92г., является его правопреемником и акционерным обществом закрытого типа. АО является юридическим лицом и действует на основании Устава и законодательства РФ.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Акционерами общества могут быть лица, признающие положения настоящего Устава: юридические и физические лица РФ; иностранные юридические лица; иностранные граждане, лица без гражданства, российские граждане и граждане государства, имеющие постоянное место жительства за границей, при условии, что они зарегистрированы для ведения хозяйственной деятельности в стране их гражданства или постоянного местожительства.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АО создается в соответствии с действующим законодательством РФ об АО: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-ст.12 Конституции РСФСР;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-Законом РФ ”О собственности в РСФСР” от 24 декабря 1990 г.,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-Законом РФ “О предприятиях и предпринимательской деятельности” от 25 декабря 1995 года (в части, регламентирующей государственную регистрацию предприятия),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-Законом РФ “Об иностранных инвестициях в РСФСР” от 4 июля 1991 года,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-Постановлением Совета Министров РСФСР “Об утверждении Положения об АО” от 25 декабря 1990 года № 601,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-Постановлением Правительства РФ “Об утверждении Положения о выпуске ценных бумаг и фондовых биржах в РСФСР” от 28 декабря 1992 года.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Местонахождение общества: 141143, Московская область, Щелковский район, д. Медвежьи озера.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Учредителями АО являются: лица, работающие в совхозе “Красный Луч” на 1 января 1992г., временно отсутствующие по уважительным причинам работники совхоза, пенсионеры хозяйства.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Целью АО является насыщение рынка сельскохозяйственными продуктами и потребительскими товарами.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АО является юридическим лицом, имеет самостоятельный баланс, расчетный и другие счета, фирменное наименование, круглую печать. АО приобретает права юридического лица с момента государственной регистрации. АО для достижения целей своей деятельности вправе от своего имени совершать сделки, приобретать имущественные права и нести обязанности, быть истцом и ответчиком в суде. АО отвечает по своим обязательствам всем своим имуществом; а его акционеры несут риски по обязательствам общества в пределах стоимости принадлежащих им акций.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АО действует в условиях полной самостоятельности и самоуправления, хозрасчета и самофинансирования, на основе демократических принципов. Экономическую основу АО составляет коллективная собственность на землю и средства производства. АО не имеет вышестоящей организации.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Акционерное общество закрытого типа “Красный Луч”(в дальнейшем ЗАО “Красный Луч”) расположено в Щелковском районе Московской области. Плановое производственное направление - свиноводство.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Расстояние от центральной усадьбы, км: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-до областного центра 35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-до районного центра 20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хозяйстве имеется: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-бригад 2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-ферм 6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Из общего числа ферм по ведущим направлениям: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-крупного рогатого скота 4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т.ч. молочных 2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-свиноводческих 2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Из приведенных данных можно сделать вывод, что ЗАО "Красный Луч" находится в высоко эффективной зоне. Под этим подразумевается такое местоположение хозяйства, которое обеспечивает удобство реализации продукции и закупки материально-технических ресурсов. Расстояния до железных дорог, районного и областного центра, баз снабжения и сбыта сокращают объем транспортных работ и затрат на перевозку, увеличивают возможность вывоза скоропортящейся и малотранспортабельной продукции. К тому же, необходимо учитывать вид транспортных путей и , - основное, - дорожное покрытие. Небольшая удаленность от населенных пунктов определяет дорожное покрытие: в данной местности преобладает асфальтобетонное покрытие, что увеличивает скорость перевозок, уменьшая при этом износ транспортных средств. Непроезжих дорог на территории хозяйства нет, хотя в некоторых местах еще ведутся транспортные работы. Близкое расположение ЗАО "Красный Луч" от Москвы определило обеспеченность хозяйства средствами связи (почти в каждом доме есть телефон), имеется телеграф; степень электрификации и газоснабжения населенного пункта на высоком уровне. Расположение хозяйства способствует также притоку рабочей силы и квалифицированых работников.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2.2.2. СПЕЦИАЛИЗАЦИЯ ХОЗЯЙСТВА.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Различные сельскохозяйственные культуры предъявляют неодинаковые требования к почвам, температурному и водному режиму. Различных природных и экономических условий требуют для своего развития и отрасли животноводства.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Специализацию ЗАО "Красный Луч" характеризует преимущественное развитие отдельных отраслей, что ведет к обособлению производства различных видов продукции. В результате достигается максимальное увеличение производства при наименьших затратах труда и средств, обеспечивается высокая производительность труда и низкие затраты материальных ресурсов на единицу продукции.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Для анализа специализации хозяйства необходимо знать структуру товарной продукции. (табл.1).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Таблица 1.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Размер и структура товарной сельскохозяйственной продукции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( в ценах фактической реализации).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Из приведенных данных можно сделать следующие выводы: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Удельный вес производства продукции животноводства намного превышает удельный вес продукции растениеводства (следовательно, специализация хозяйства - животноводческая).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При более детальном анализе видно, что в животноводстве наибольший удельный вес занимает производство продукции свиноводства.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При рассмотрении производства растениеводческой продукции, можно сделать вывод, что хозяйство, в основном, занимается производством овощей и картофеля. Производство данных видов культур обуславливается наличием мест хранения для них и удобством реализации этих культур за счет выгодного расположения хозяйства.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Свиноводческое направление обусловлено наличием вблизи большого населенного пункта хорошей кормовой базы. В данное время вскармливание свиней пищевыми отходами не ведется в связи с новыми сложившимися условиями, но существуют большие резервы для возобновления этого вида откорма.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2.2.3. АУДИТОРСКИЙ РИСК.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После определения целей и задачей аудита, необходимо определить уровень аудиторского риска.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Аудиторский риск - риск, который берет на себя аудитор, давая заключение о полной достоверности данных внешней отчетности, в то время как там возможны ошибки и пропуски, не попавшие в поле зрения аудитора.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Существуют два основных метода оценки аудиторского риска: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1) оценочный (интуитивный), наиболее широко применяющийся в настоящее время российскими аудиторскими фирмами, заключается в том,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высокий, вероятный и маловероятный и используют эту оценку в планировании аудита;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2) количественный метод предполагает количественный расчет многочисленных моделей аудиторского риска (будет произведен ниже).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Предпринимательский риск - влияние не зависящих от аудитора обстоятельств деловой активности клиента на ухудшение его финансовых позиций в то время как аудитор подтвердил их устойчивость.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Аудиторский риск является предпринимательским риском аудиторской фирмы, поэтому его величина отражает положение фирмы на рынке аудиторских услуг и степень конкурентности рынка.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Предварительно установленная величина аудиторского риска отражает склонность аудитора к риску, его представление о той экономической среде, в которой он действует.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Для того, чтобы определить предпринимательский риск, воспользуемся критериями оценки предпринимательского риска. (табл.1).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Таблица 1.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Критерии оценки предпринимательского риска.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Из приведенной выше таблицы можно сделать вывод, что уровень предпринимательского риска выше среднего.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Теперь, используя формулу факторной модели аудиторского риска, можно приблизительно определить, чему он равен (более точно аудиторский риск будет определен после проверки организации СВК (гл.3)).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Факторная модель аудиторского риска: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АР=НР*КР*ДР, где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АР - аудиторский риск.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НР - наследственный (присущий) риск. Это степень восприимчивости отчетности к материальным ошибкам в результате влияния ряда субъективных и объективных факторов.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КР - риск контроля. Это оценка аудитором структуры внутреннего контроля клиента с целью определения ее эффективности при предотвращении или исправлении ошибок в учете и отчетности.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ДР - детекционный риск. Это риск, который аудитор желает определить на случай, если он не сумеет найти материальной ошибки в отчетности.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Воспользовавшись опытом зарубежных специалистов (в России аудиторский риск таким способом еще не определяется), будем считать, что: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НР равен 50%;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КР равен 40%;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АР равен 2%.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Отсюда: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0.02=0.5*0.4*ДР,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следовательно, ДР равен 0.1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Так как аудиторский риск невысок, то есть необходимость проверить большое количество информации.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Также, из полученного аудиторского риска, делаем вывод, что уровень материальности будет высок.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Материальность - предельно допустимый уровень возможного искажения отдельной статьи или финансового показателя в отчетности, а также финансовых результатов в целом, или максимально допустимый размер ошибочной сумме, которая может быть показана в публикуемых финансовых отчетах и рассматриваться как несущественная, то есть не вводящая пользователей в заблуждение.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Для определения материальности, как и для определения аудиторского риска, воспользуемся опытом зарубежных специалистов и примем ее на уровне 3%.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Необходимо отметить, что материальность в данном случае будет количественной, так как ее можно подсчитать.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2.3. Определение последовательности проверки расчетов по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оплате труда.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Источниками информации, используемой в процессе контроля, являются аналитические и синтетические данные по счетам 70 “Расчеты с персоналом по оплате труда”, 88 “Нераспределенная прибыль” (субсчет “Фонд потребления”), (хозяйство убыточно), 76 “Расчеты с разными дебиторами и кредиторами” (субсчет “Расчеты с депонентами”), первичные документы по учету выработки и начислению оплаты труда (табеля учета отработанного времени, наряды и др.), листки о временной нетрудоспособности, расчеты на оплату отпусков и т.д., нормативные документы, регулирующие эти операции.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Необходимо: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Выбрать личные дела и проверить, содержится ли в них информация о дате найма, разрешение на дополнительные выплаты, ставки оплаты труда: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-проследить рост оплаты труда, оформлено ли это протоколами заседания Правления АО, приказами руководителя;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-пользуются ли бухгалтера информацией, отраженной в личных делах для начисления и удержания из оплаты труда.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Установить соответствие показателей аналитического учета по счету 70 с записями в главной книге и бухгалтерском балансе.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3. Изучить достоверность первичных документов, правильность их заполнения, проверить на наличие подписей должностных лиц, на правильность заполнения всех реквизитов, нет ли в документах неоговоренных исправлений и подчисток.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 Выбрать примеры записей из ведомостей по начислению оплаты труда: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-подтвердить документально начисления и удержания;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-пересчитать совокупные начисления, вычеты, чистые выплаты;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5. Проверить правильность удержания налогов в пенсионный фонд.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6. Проверить периодичность и своевременность выплаты заработной платы.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7. Проверить достоверность записей в ведомостях на заработную плату.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8. Проверить удержания из оплаты труда: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-сопоставить ведомости на оплату труда с данными аналитических счетов по расчетам с бюджетом по налогам, удержанным с работников предприятия;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-соблюдение законодательства по налогам с физических лиц;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-изучение удержаний по отдельным наемным работникам;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-регулярность перечисления налогов в бюджет.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2.4. Определение объема аудиторской выборки.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Для проведения аудита необходимо просмотреть первичные документы, сводные регистры, главную книгу и баланс.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Из первичных документов в выборку должны попасть: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-различные формы учетных листов (учетный лист тракториста-машиниста, путевой лист трактора, учетный лист труда и выполненных работ).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-акты на оприходование приплода животных;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-акты на перевод животных из группы в группу;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-ведомости взвешивания;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-журнал учета надоя молока;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-наряды на сдельную работу;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-расчет по заработной плате при уходе в отпуск или увольнении;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-листки нетрудоспособности.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Обобщение и группировка данных по учету труда в ЗАО “Красный Луч” в условиях частичной автоматизации производится на ЭВМ. Поэтому здесь используются только: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- табели учета рабочего времени;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-расчетно-платежные ведомости;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-платежные ведомости на аванс;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-платежные ведомости на зарплату;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-расчетные листки на каждого работника.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 ОРГАНИЗАЦИЯ ПРОЦЕССА АУДИТОРСКОЙ ПРОВЕРКИ.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3.1. Проверка организации СВК.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Основной целью аудитора при проверке оплаты труда является определение сильных сторон контроля, чтобы убедиться, что существенные ошибки отсутствуют.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Цели системы внутреннего контроля (СВК) на предприятии - -упорядочение и эффективное выполнение текущих хозяйственных дел предприятия;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-выполнение требований финансово-хозяйственной политики руководства;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сохранение активов предприятия и обеспечение приемлемого уровня полноты и точности документов и, соответственно, информации.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При определении эффективности систем внутреннего контроля приобретают многие факторы: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-круг работников, участвующих в формировании информации на предприятии, и наличие у них ответственности за порученное дело;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-наличие упорядоченных взаимоотношений между ними по ведению дел и формированию информации;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-наличие технических средств контроля;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-наличие технологии контроля;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-контролируемые параметры.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СВК предусматривает наличие: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1)компетентного персонала с четко определенными правами и обязанностями;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2) разделения соответствующих обязанностей (по хранению активов и их учету, по совершению сделок, по учету)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3) соблюдения необходимых процедур при совершении операции.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4) контроля за сохранностью документации (нумерация, составления во время совершения операции или сразу же после этого, простота и ясность);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5) фактического контроля над активами и документацией (фактическая проверка материально-ответственным лицом);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6) независимой проверки выполнения обязанностей (внутренний аудит).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Для контроля документирования затрат на оплату труда используют вопросы и блок-схемы (табл.2).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Таблица 2.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Тесты внутреннего контроля операций по оплате труда.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Продолжение таблицы 2.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Выявить сильные стороны контроля можно используя следующие вопросы: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Учет заработной платы ведется отдельно от учета кадров и учета рабочего времени. (НЕТ).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Табеля учета рабочего времени подписывает определенный круг лиц. (ДА).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 Жалобы работников по поводу оплаты труда рассматриваются периодически и по ним принимаются решения. На все жалобы имеются заявления. (ДА).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 Списки вновь поступивших и уволенных работников отдел кадров своевременно передает в бухгалтерию. (ДА).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5. Ставки по оплате труда устанавливаются приказом руководителя. (ДА).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6. Расчеты по оплате труда проверяют лица, не имеющие отношения к их осуществлению. (НЕТ).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7. Итоговые данные в ведомости сверяют с итоговыми данными о выплате оплаты труда, отраженными в Главной книге. (НЕТ).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8. Периодически определяется правильность распределения оплаты труда по объектам затрат (центрам возникновения). (НЕТ).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9. Расходы на оплату труда сопоставляются с себестоимостью продукции, работ и услуг. (НЕТ).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10. Все начисления и удержания проверяет в конце месяца внутренний аудитор. (НЕТ).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11. Оплата труда начисляется (ДА), выплачивается (НЕТ) и в учете отражается ежемесячно (ДА).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Таким образом определяем, что система СВК работает слабо и риск контроля можно оставить на прежнем уровне.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Так как бухгалтерский учет в ЗАО "Красный Луч" ведется с помощью ЭВМ, необходимо рассмотреть следующие вопросы: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1) концентрация функций и знаний: имеет ли персонал, занятый обработкой данных, детальные знания о взаимосвязи источников данных, процесса их получения, распределения и использования, недостатках СВК? (смутное).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2) концентрация программ и данных: существует ли возможность доступа посторонних лиц к компьютерным программам и угроза изменения самих программ или данных? (нет).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3) отсутствие ввода документов: выдается ли письменное подтверждение на ввод данных? (да).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3.2. Проверка соответствия записей первичных документов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регистрам бухгалтерского учета.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Начнем проверку расчетов с рабочими и служащими по оплате труда в ЗАО “Красный Луч” с установления соответствия показателей аналитического учета по счету 70 с записями в главной книге и бухгалтерском балансе на одну и ту же дату. Для этого сверим сальдо по счету 70 на первое января 1996 года в Главной книге и в балансе предприятия.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балансе по счету 70 развернутое сальдо: кредитовое, отражающее задолженность хозяйства рабочим и служащим по заработной плате (руководство объясняет его отсутствием денег на расчетном счете), и дебетовое, показывающее задолженность рабочих и служащих хозяйству по заработной плате, что свидетельствует о плохой организации расчетов с работниками (выплачено больше, чем причитается). Сумма по дебету баланса равна 126220 тыс. руб.,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по кредиту она равна - 415771 тыс. руб.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Контрольная сверка показала, что эти суммы совпадают с данными Главной книги. В самой же Главной книге обнаружено много исправлений; бухгалтер по оплате труда объясняет это неточностью подсчетов еще в первичных документах... (все исправления подписаны бухгалтером).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Убедившись, что данные Главной книги и баланса совпадают, можно продолжить дальнейшую сверку. Для этого сравним данные Главной книги со сводом начислений и удержаний. (табл.3).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Таблица 3.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Соответствие задолженности по оплате труда, значащейся в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расчетно-платежных ведомостях и Главной книге.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Данные несоответствия бухгалтер объяснить не может ( говорит, что просто описалась).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расчетно-платежной ведомости по графам удержания показаны отчисления в Пенсионный фонд, профсоюзные взносы и подоходный налог; проценты отчислений высчитаны верно, их суммы совпадают с данными расчетных листков по каждому работнику (льготы по подоходному налогу определены верно).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Платежных ведомостей на аванс аудитору представлено не было: авансы уже давно не платятся.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Данные о начисленной заработной плате в расчетно-платежной ведомости, а также данные платежной ведомости на заработную плату и расчетных листков по каждому работнику совпадают. Расписки в получении начисленных сумм присутствуют, все подписи разные.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Книгу учета депонированной заработной платы аудитору не предоставили.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При проверке периодичности и своевременности выплаты заработной платы установлено, что начисление заработной платы производится своевременно, а ее выплачивание регулярно задерживается на 2-3 месяца по объективным причинам: денежные средства на счет ЗАО ”Красный Луч” не поступают вовремя.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Несмотря на все недостатки в учете, расчет с бюджетом производится правильно, проценты за несвоевременность уплаты начислены верно.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Взяв наугад несколько личных дел, делаем вывод, что информация о дате найма и ставках оплаты труда присутствует; рост оплаты труда оформлен приказами руководителя, бухгалтера этой информацией для начисления и удержаний из заработной платы руководствуются.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Так как отпуска в хозяйстве предоставляются неравномерно на протяжении года в связи с сезонным характером производства, на предприятии должен создан резерв на оплату отпусков, что зафиксировано в учетной политике. Однако аудитором он обнаружен не был. Бухгалтер объясняет это отсутствием денежных средств. Аудитор предложил при написании следующей учетной политики учесть этот момент.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3.3. Проверка техники заполнения первичных документов.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Следующим этапом является проверка табелей учета рабочего времени. Здесь установим, что случаев включения в них вымышленных (подставных) лиц нет, так как в нарядах и табелях учета рабочего времени фамилии совпадают с данными учета личного состава. Случаев повторного начисления сумм по ранее оплаченным первичным документам, повторения одних и тех лиц в нескольких расчетно-платежных ведомостях не обнаружено.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При проверке первичных документов аудитор обнаружил следующие недостатки: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-не во всех учетных листах труда и выполненных работ стоит подпись агронома (2 из 5 проверенных документов содержат только подпись бригадира);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-в учетных листах тракториста-машиниста и труда и выполненных работ не стоят шифры предприятия и табельные номера работников;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-в нарядах на сдельную работу (для бригады) не заполнена графа “Параграф единых норм и расценок”;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-в 1 из нарядов на сдельную работу (индивидуальном) не проставлен шифр синтетического учета;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-ведомости взвешивания животных, акты на оприходование и выбытие животных оформлены правильно (причины выбытия указаны, нет ли приписок в весе определить не удалось), арифметических ошибок не обнаружено. Однако в некоторых из них допущены исправления, подписанные заведующим фермой;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-в акте на перевод животных не указана дата рождения коров, так как документы оформлялись на 21 голову одной строкой;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-в расчете определения привеса допущены арифметические ошибки (неправильно определен привес, что связано с округлениями, однако округления в 0,2 ц кажутся весьма значительными, так как это приводит к ошибке в 90 тыс. руб.). Также отсутствует подпись заведующего фермой.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силу всего вышеуказанного можно сказать о недостаточно серьезном отношении к ведению первичной документации в ЗАО “Красный Луч”.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 ОФОРМЛЕНИЕ МАТЕРИАЛОВ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АУДИТОРСКОЙ ПРОВЕРКИ.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4.1. Сбор аудиторских доказательств.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Результаты аудита расчетов по оплате труда целесообразно отразить в таблицах.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Таблица 4.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Проверка правильности начисления оплаты труда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по данным первичных документов.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Главный бухгалтер Петров Д.П. имеет 15 разряд, коэффициент 7,36, ставка 1 разряда 60000 руб., финансист Шапошникова Г.П. - 13 разряд, коэффициент - 5,76.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Таблица 5.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Соответствие начисленной оплаты труда, значащейся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первичных документах и расчетно-платежных ведомостях.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В результате проверки правильности начисления оплаты труда 15 человек, были выявлены случаи расхождения записей в расчетно-платежных ведомостях и первичных документах. Издержки производства увеличены на сумму 342540 руб. (378540-36000), на эту же сумму уменьшена балансовая прибыль.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4.2. Аудиторское заключение.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 проведен аудитором Альтовой Анной Викторовной, имеющей стаж работы аудитором 1 год и 5 месяцев.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Лицензия на проведение общего аудита №15362 выдана Минфином РФ. Лицензия действительна по 1 октября 1998 года.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Регистрационное свидетельство на занятие предпринимательской деятельностью №364758.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Счет № 123456789 в Инкомбанке г. Москва.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Отчет аудитора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исполнительному органу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ЗАО “Красный Луч”.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Мною проведен аудит оплаты труда ЗАО “Красный Луч” за 1995 год.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При планировании и проведении аудита оплаты труда мной рассмотрено состояние внутреннего контроля у ЗАО “Красный Луч”. Ответственность за организацию и состояние внутреннего контроля несет исполнительный орган ЗАО “Красный Луч”.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 Я рассмотрела состояние внутреннего контроля исключительно для того, чтобы определить объем работ, необходимых для формирования аудиторского заключения о достоверности отражения в бухгалтерской отчетности оплаты труда. Проделанная в процессе аудита работа не означает проведения полной и всеобъемлющей проверки системы внутреннего контроля ЗАО "Красный Луч" с целью выявления всех возможных недостатков.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4.В процессе аудита мною не были обнаружены никакие факты, из которых можно было бы сделать вывод о несоответствии системы внутреннего контроля ЗАО "Красный Луч" масштабам и характеру его деятельности.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5. Мое мнение о достоверности отражения в бухгалтерской отчетности оплаты труда приведено в следующей части Аудиторского заключения. Мною не были обнаружены никакие серьезные нарушения установленного порядка ведения бухгалтерского учета, которые могли бы существенно повлиять на достоверность данных по оплате труда, отраженных в бухгалтерской отчетности.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6. При проведении аудита оплаты труда, указанной в параграфе 1 настоящей части, мною рассмотрено соблюдение в ЗАО "Красный Луч" применимого законодательства РФ при совершении финансово-хозяйственных операций. Ответственность за соблюдение применимого законодательства РФ при свершении финансово-хозяйственных операций несет исполнительный орган ЗАО "Красный Луч".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7. Я проверила соответствие ряда совершенных ЗАО "Красный Луч" финансово-хозяйственных операций применимому законодательству исключительно для того, чтобы получить достаточную уверенность в том, что отраженная в бухгалтерской отчетности информация об оплате труда не содержит существенных искажений. Однако цель проведенного мной аудита оплаты труда не состояла в том, чтобы выразить мнение о полном соответствии деятельности ЗАО "Красный Луч" законодательству. Поэтому такое мнение я не высказываю.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8. Результаты проведенной мной проверки показывают, что проведенные финансово-хозяйственные операции осуществлялись ЗАО "Красный Луч", во всех существенных отношениях, в соответствии с указанным в предыдущем параграфе настоящей части законодательством.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Заключение аудитора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акционерам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ЗАО "Красный Луч"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об отраженной в бухгалтерской отчетности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оплаты труда ЗАО "Красный Луч"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за 1995 год.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Мной проведен аудит оплаты труда ЗАО "Красный Луч" за 1995 год. Данные в бухгалтерской отчетности подготовлены исполнительным органом ЗАО "Красный Луч" исходя из Положения о бухгалтерском учете и отчетности в РФ, утвержденного Министерством финансов 26 декабря 1994 года №170.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2. Ответственность за подготовку данных бухгалтерской отчетности по оплате труда несет исполнительный орган ЗАО "Красный Луч". Моя обязанность заключается в том, чтобы высказать мнение о достоверности во всех существенных аспектах данной отчетности в части оплаты труда на основе проведенного аудита.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 Я проводила аудит в соответствии с Положением о бухгалтерском учете и отчетности в РФ, утвержденным Министерством финансов 26 декабря 1994 года №170. Аудит планировался и проводился таким образом, чтобы получить достаточную уверенность в том, что бухгалтерская отчетность в части оплаты труда не содержит существенных искажений. Аудит включал в себя проверку на выборочной основе подтверждений числовых данных и пояснений, содержащихся в бухгалтерской отчетности по оплате труда. Я полагаю, что проведенный аудит дает достаточно оснований для того, чтобы выразить мнение о достоверности бухгалтерской отчетности в части оплаты труда.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В результате проверки были случаи незначительного расхождения записей в расчетно-платежных ведомостях и первичных документах, неправильное отражение начисленной оплаты труда, небольшие погрешности в ведении и оформлении первичных документов, множество исправлений в Главной Книге (подписанных).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 По моему мнению, если оставить в стороне любые поправки, которые могли бы быть признаны необходимыми при возможности получить достаточные подтверждения в отношении обстоятельств, указанных в предыдущих параграфах настоящего Заключения, проверенная бухгалтерская отчетность в части оплаты труда достоверна, то есть подготовлена таким образом, чтобы обеспечить во всех существенных аспектах отражение оплаты труда в ЗАО "Красный Луч" по состоянию на 1 января 1996 года.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Аудитор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26.02.1997год.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СПИСОК ЛИТЕРАТУРЫ.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1. Барышников Н.П. “Организация и методика проведения общего аудита”, Москва, 1996 год. Информационный издательский дом “Филин”.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 xml:space="preserve">2.Овсийчук М.Ф. “Аудит. Организация. Методика проведения”, Москва, 1996 год, ТОО “Интехтех”. 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3. Пизенгольц М.З., Варава А.П. “Бухгалтерский учет в сельском хозяйстве”, Москва, 1993 год, “Колос”.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4. Пизенгольц М.З., Варава А.П. “Бухгалтерский учет в сельском хозяйстве”, Москва, 1994 год, “Колос”.</w:t>
      </w:r>
      <w:r w:rsidRPr="00A57ED2">
        <w:rPr>
          <w:rFonts w:ascii="Tahoma" w:hAnsi="Tahoma" w:cs="Tahoma"/>
          <w:color w:val="000000"/>
          <w:sz w:val="16"/>
          <w:szCs w:val="16"/>
          <w:lang w:eastAsia="ru-RU"/>
        </w:rPr>
        <w:br/>
        <w:t>5. Шеремет А.Д., Суйц В.П. “Аудит. Учебное пособие”, Москва, 1995 год, “Инфра-М”.</w:t>
      </w:r>
      <w:bookmarkStart w:id="0" w:name="_GoBack"/>
      <w:bookmarkEnd w:id="0"/>
    </w:p>
    <w:sectPr w:rsidR="00E258D1" w:rsidSect="0015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ED2"/>
    <w:rsid w:val="00154B87"/>
    <w:rsid w:val="003E6C29"/>
    <w:rsid w:val="005D7146"/>
    <w:rsid w:val="00A57ED2"/>
    <w:rsid w:val="00CB1661"/>
    <w:rsid w:val="00D05EFE"/>
    <w:rsid w:val="00E258D1"/>
    <w:rsid w:val="00E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BB8D2-29C1-448D-A740-3AD6D0EE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57ED2"/>
    <w:pPr>
      <w:spacing w:before="41" w:after="136" w:line="240" w:lineRule="auto"/>
      <w:ind w:left="136" w:right="136"/>
      <w:outlineLvl w:val="0"/>
    </w:pPr>
    <w:rPr>
      <w:rFonts w:ascii="Times New Roman" w:eastAsia="Calibri" w:hAnsi="Times New Roman"/>
      <w:b/>
      <w:bCs/>
      <w:color w:val="000000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7ED2"/>
    <w:rPr>
      <w:rFonts w:ascii="Times New Roman" w:hAnsi="Times New Roman" w:cs="Times New Roman"/>
      <w:b/>
      <w:bCs/>
      <w:color w:val="000000"/>
      <w:kern w:val="36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 оплаты труда</vt:lpstr>
    </vt:vector>
  </TitlesOfParts>
  <Company>МОУСОШ №72</Company>
  <LinksUpToDate>false</LinksUpToDate>
  <CharactersWithSpaces>35493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оплаты труда</dc:title>
  <dc:subject/>
  <dc:creator>Информатика</dc:creator>
  <cp:keywords/>
  <dc:description/>
  <cp:lastModifiedBy>Irina</cp:lastModifiedBy>
  <cp:revision>2</cp:revision>
  <dcterms:created xsi:type="dcterms:W3CDTF">2014-08-13T05:28:00Z</dcterms:created>
  <dcterms:modified xsi:type="dcterms:W3CDTF">2014-08-13T05:28:00Z</dcterms:modified>
</cp:coreProperties>
</file>