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BC" w:rsidRDefault="00215DBC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общего подхода аудиторский риск представляет собой возможность выдачи неверного (ложного) заключения после завершения всех аудиторских процедур.</w:t>
      </w:r>
    </w:p>
    <w:p w:rsidR="00215DBC" w:rsidRDefault="00215DBC" w:rsidP="00215D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i/>
          <w:iCs/>
          <w:sz w:val="28"/>
          <w:szCs w:val="28"/>
        </w:rPr>
        <w:t>Общий аудиторский риск (ОАР)</w:t>
      </w:r>
      <w:r>
        <w:rPr>
          <w:sz w:val="28"/>
          <w:szCs w:val="28"/>
        </w:rPr>
        <w:t xml:space="preserve"> – это вероятность формирования неверного мнения и как следствие составление ложного заключения об отсутствии существенных ошибок, в то время как они реально имеются.</w:t>
      </w:r>
    </w:p>
    <w:p w:rsidR="0029570F" w:rsidRDefault="0029570F" w:rsidP="00215D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природа с</w:t>
      </w:r>
      <w:r w:rsidR="00826262">
        <w:rPr>
          <w:sz w:val="28"/>
          <w:szCs w:val="28"/>
        </w:rPr>
        <w:t>ущественных ошибок связывает общий аудиторский риск</w:t>
      </w:r>
      <w:r>
        <w:rPr>
          <w:sz w:val="28"/>
          <w:szCs w:val="28"/>
        </w:rPr>
        <w:t xml:space="preserve"> с двумя факторами:</w:t>
      </w:r>
    </w:p>
    <w:p w:rsidR="0029570F" w:rsidRDefault="0029570F" w:rsidP="00215D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риск того, что существенные ошибки будут иметь место вообще;</w:t>
      </w:r>
    </w:p>
    <w:p w:rsidR="0029570F" w:rsidRDefault="0029570F" w:rsidP="002957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риск того, что какие-либо имевшие место существенные ошибки   останутся необнаруженными.</w:t>
      </w:r>
    </w:p>
    <w:p w:rsidR="0029570F" w:rsidRDefault="0029570F" w:rsidP="002957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влияния этих факторов предопределяют не</w:t>
      </w:r>
      <w:r w:rsidR="00826262">
        <w:rPr>
          <w:sz w:val="28"/>
          <w:szCs w:val="28"/>
        </w:rPr>
        <w:t>обходимость структурирования общего аудиторского риска</w:t>
      </w:r>
      <w:r>
        <w:rPr>
          <w:sz w:val="28"/>
          <w:szCs w:val="28"/>
        </w:rPr>
        <w:t>.</w:t>
      </w:r>
    </w:p>
    <w:p w:rsidR="00215DBC" w:rsidRDefault="0029570F" w:rsidP="00215D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4643DF">
        <w:rPr>
          <w:sz w:val="28"/>
          <w:szCs w:val="28"/>
        </w:rPr>
        <w:t>бщий аудиторский риск состоит из внутреннего риска деятельности (бизнеса) клиента, риска контроля и риска необнаружения.</w:t>
      </w:r>
    </w:p>
    <w:p w:rsidR="00215DBC" w:rsidRDefault="00826262" w:rsidP="00215D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аудиторский риск</w:t>
      </w:r>
      <w:r w:rsidR="004643DF">
        <w:rPr>
          <w:sz w:val="28"/>
          <w:szCs w:val="28"/>
        </w:rPr>
        <w:t xml:space="preserve"> на приемлемом уровне – это субъективно установленный уровень риска, ко</w:t>
      </w:r>
      <w:r w:rsidR="0029570F">
        <w:rPr>
          <w:sz w:val="28"/>
          <w:szCs w:val="28"/>
        </w:rPr>
        <w:t xml:space="preserve">торый </w:t>
      </w:r>
      <w:r w:rsidR="0029570F" w:rsidRPr="0029570F">
        <w:rPr>
          <w:sz w:val="28"/>
          <w:szCs w:val="28"/>
        </w:rPr>
        <w:t xml:space="preserve"> </w:t>
      </w:r>
      <w:r w:rsidR="0029570F">
        <w:rPr>
          <w:sz w:val="28"/>
          <w:szCs w:val="28"/>
        </w:rPr>
        <w:t>аудитор готов взять на себя в отношении того, что в финансовой отчетности клиента будут обнаружены погрешности после завершения аудита и предоставления положительного аудиторского заключения без оговорок.</w:t>
      </w:r>
    </w:p>
    <w:p w:rsidR="0029570F" w:rsidRDefault="0029570F" w:rsidP="00215D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 не может быть устранен полностью, поэтому в аудиторской практике установлен приемлемый уровень риска – 5%, а следовательно, уровень доверия равняется 95%. Такое соотношение в специальной литературе иногда называют «магической цифрой аудиторского риска».</w:t>
      </w:r>
    </w:p>
    <w:p w:rsidR="009B230D" w:rsidRPr="00A01C02" w:rsidRDefault="0029570F" w:rsidP="002957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i/>
          <w:iCs/>
          <w:sz w:val="28"/>
          <w:szCs w:val="28"/>
        </w:rPr>
        <w:t>Внутренний риск (ВР)</w:t>
      </w:r>
      <w:r>
        <w:rPr>
          <w:sz w:val="28"/>
          <w:szCs w:val="28"/>
        </w:rPr>
        <w:t xml:space="preserve"> представляет собой совокупность возможных рисков, связанных с функционированием предприятия, а именно: характеризует уровень всех потенциальных оши</w:t>
      </w:r>
      <w:r w:rsidR="009B230D" w:rsidRPr="00A01C02">
        <w:rPr>
          <w:sz w:val="28"/>
          <w:szCs w:val="28"/>
        </w:rPr>
        <w:t>бок в результате деятельности предприятия до проверки со с</w:t>
      </w:r>
      <w:r w:rsidR="00A01C02">
        <w:rPr>
          <w:sz w:val="28"/>
          <w:szCs w:val="28"/>
        </w:rPr>
        <w:t>тороны системы внутреннего кон</w:t>
      </w:r>
      <w:r w:rsidR="009B230D" w:rsidRPr="00A01C02">
        <w:rPr>
          <w:sz w:val="28"/>
          <w:szCs w:val="28"/>
        </w:rPr>
        <w:t>троля. Риск возникновения таких ошибок связан с влиянием ка</w:t>
      </w:r>
      <w:r w:rsidR="00A01C02">
        <w:rPr>
          <w:sz w:val="28"/>
          <w:szCs w:val="28"/>
        </w:rPr>
        <w:t>к объективных, так и субъектив</w:t>
      </w:r>
      <w:r w:rsidR="009B230D" w:rsidRPr="00A01C02">
        <w:rPr>
          <w:sz w:val="28"/>
          <w:szCs w:val="28"/>
        </w:rPr>
        <w:t xml:space="preserve">ных факторов. </w:t>
      </w:r>
    </w:p>
    <w:p w:rsidR="009B230D" w:rsidRPr="00A01C02" w:rsidRDefault="009B230D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Объективные факторы — инфляционные процессы, конкуренция, из</w:t>
      </w:r>
      <w:r w:rsidR="00A01C02">
        <w:rPr>
          <w:sz w:val="28"/>
          <w:szCs w:val="28"/>
        </w:rPr>
        <w:t>менение условий кре</w:t>
      </w:r>
      <w:r w:rsidRPr="00A01C02">
        <w:rPr>
          <w:sz w:val="28"/>
          <w:szCs w:val="28"/>
        </w:rPr>
        <w:t>дитования, налогообложения, сокращение рынка сбыта продукц</w:t>
      </w:r>
      <w:r w:rsidR="00A01C02">
        <w:rPr>
          <w:sz w:val="28"/>
          <w:szCs w:val="28"/>
        </w:rPr>
        <w:t>ии и т.п. Недостаточно стабиль</w:t>
      </w:r>
      <w:r w:rsidRPr="00A01C02">
        <w:rPr>
          <w:sz w:val="28"/>
          <w:szCs w:val="28"/>
        </w:rPr>
        <w:t>ная экономичес</w:t>
      </w:r>
      <w:r w:rsidR="00A01C02">
        <w:rPr>
          <w:sz w:val="28"/>
          <w:szCs w:val="28"/>
        </w:rPr>
        <w:t>кая ситуация в стране предопре</w:t>
      </w:r>
      <w:r w:rsidRPr="00A01C02">
        <w:rPr>
          <w:sz w:val="28"/>
          <w:szCs w:val="28"/>
        </w:rPr>
        <w:t>деляет слож</w:t>
      </w:r>
      <w:r w:rsidR="00A01C02">
        <w:rPr>
          <w:sz w:val="28"/>
          <w:szCs w:val="28"/>
        </w:rPr>
        <w:t>ные экономические условия функ</w:t>
      </w:r>
      <w:r w:rsidRPr="00A01C02">
        <w:rPr>
          <w:sz w:val="28"/>
          <w:szCs w:val="28"/>
        </w:rPr>
        <w:t xml:space="preserve">ционирования </w:t>
      </w:r>
      <w:r w:rsidR="00A01C02">
        <w:rPr>
          <w:sz w:val="28"/>
          <w:szCs w:val="28"/>
        </w:rPr>
        <w:t>предприятий, поэтому эти факто</w:t>
      </w:r>
      <w:r w:rsidRPr="00A01C02">
        <w:rPr>
          <w:sz w:val="28"/>
          <w:szCs w:val="28"/>
        </w:rPr>
        <w:t>ры особенно</w:t>
      </w:r>
      <w:r w:rsidR="00A01C02">
        <w:rPr>
          <w:sz w:val="28"/>
          <w:szCs w:val="28"/>
        </w:rPr>
        <w:t xml:space="preserve"> должны учитывать аудиторы Ук</w:t>
      </w:r>
      <w:r w:rsidRPr="00A01C02">
        <w:rPr>
          <w:sz w:val="28"/>
          <w:szCs w:val="28"/>
        </w:rPr>
        <w:t>раины, чтобы сконцентрировать внимание на объектах аудир</w:t>
      </w:r>
      <w:r w:rsidR="00A01C02">
        <w:rPr>
          <w:sz w:val="28"/>
          <w:szCs w:val="28"/>
        </w:rPr>
        <w:t>ования, связанных с потенциаль</w:t>
      </w:r>
      <w:r w:rsidRPr="00A01C02">
        <w:rPr>
          <w:sz w:val="28"/>
          <w:szCs w:val="28"/>
        </w:rPr>
        <w:t xml:space="preserve">ными трудностями. </w:t>
      </w:r>
    </w:p>
    <w:p w:rsidR="009B230D" w:rsidRPr="00A01C02" w:rsidRDefault="009B230D" w:rsidP="00FD757B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Субъективные факторы внутреннего риска следующие: сущ</w:t>
      </w:r>
      <w:r w:rsidR="00A01C02">
        <w:rPr>
          <w:sz w:val="28"/>
          <w:szCs w:val="28"/>
        </w:rPr>
        <w:t>ность и содержание бизнеса кли</w:t>
      </w:r>
      <w:r w:rsidRPr="00A01C02">
        <w:rPr>
          <w:sz w:val="28"/>
          <w:szCs w:val="28"/>
        </w:rPr>
        <w:t>ента; степень сложности организац</w:t>
      </w:r>
      <w:r w:rsidR="00A01C02">
        <w:rPr>
          <w:sz w:val="28"/>
          <w:szCs w:val="28"/>
        </w:rPr>
        <w:t>ионной струк</w:t>
      </w:r>
      <w:r w:rsidRPr="00A01C02">
        <w:rPr>
          <w:sz w:val="28"/>
          <w:szCs w:val="28"/>
        </w:rPr>
        <w:t>туры материнской фирмы и наличие значительной разветвленной с</w:t>
      </w:r>
      <w:r w:rsidR="00FD757B">
        <w:rPr>
          <w:sz w:val="28"/>
          <w:szCs w:val="28"/>
        </w:rPr>
        <w:t>ети дочерних предприятий; поли</w:t>
      </w:r>
      <w:r w:rsidRPr="00A01C02">
        <w:rPr>
          <w:sz w:val="28"/>
          <w:szCs w:val="28"/>
        </w:rPr>
        <w:t>тика управления и хозяйствования, в том числе учетно-экономиче</w:t>
      </w:r>
      <w:r w:rsidR="00A01C02">
        <w:rPr>
          <w:sz w:val="28"/>
          <w:szCs w:val="28"/>
        </w:rPr>
        <w:t>ская политика; система стимули</w:t>
      </w:r>
      <w:r w:rsidRPr="00A01C02">
        <w:rPr>
          <w:sz w:val="28"/>
          <w:szCs w:val="28"/>
        </w:rPr>
        <w:t>рования труда персонала; наличие необычных и редких хозяйств</w:t>
      </w:r>
      <w:r w:rsidR="00A01C02">
        <w:rPr>
          <w:sz w:val="28"/>
          <w:szCs w:val="28"/>
        </w:rPr>
        <w:t>енных операций; степень обеспе</w:t>
      </w:r>
      <w:r w:rsidRPr="00A01C02">
        <w:rPr>
          <w:sz w:val="28"/>
          <w:szCs w:val="28"/>
        </w:rPr>
        <w:t>чения сохраннос</w:t>
      </w:r>
      <w:r w:rsidR="00A01C02">
        <w:rPr>
          <w:sz w:val="28"/>
          <w:szCs w:val="28"/>
        </w:rPr>
        <w:t>ти собственности; масштабы дея</w:t>
      </w:r>
      <w:r w:rsidRPr="00A01C02">
        <w:rPr>
          <w:sz w:val="28"/>
          <w:szCs w:val="28"/>
        </w:rPr>
        <w:t xml:space="preserve">тельности (объемы </w:t>
      </w:r>
      <w:r w:rsidR="00A01C02">
        <w:rPr>
          <w:sz w:val="28"/>
          <w:szCs w:val="28"/>
        </w:rPr>
        <w:t>оборотов по счетам); примене</w:t>
      </w:r>
      <w:r w:rsidRPr="00A01C02">
        <w:rPr>
          <w:sz w:val="28"/>
          <w:szCs w:val="28"/>
        </w:rPr>
        <w:t>ние компьютерно</w:t>
      </w:r>
      <w:r w:rsidR="00A01C02">
        <w:rPr>
          <w:sz w:val="28"/>
          <w:szCs w:val="28"/>
        </w:rPr>
        <w:t>й обработки учетно-экономичес</w:t>
      </w:r>
      <w:r w:rsidRPr="00A01C02">
        <w:rPr>
          <w:sz w:val="28"/>
          <w:szCs w:val="28"/>
        </w:rPr>
        <w:t xml:space="preserve">кой информации. </w:t>
      </w:r>
    </w:p>
    <w:p w:rsidR="009B230D" w:rsidRPr="00A01C02" w:rsidRDefault="009B230D" w:rsidP="00FD757B">
      <w:pPr>
        <w:autoSpaceDE w:val="0"/>
        <w:autoSpaceDN w:val="0"/>
        <w:adjustRightInd w:val="0"/>
        <w:spacing w:before="4"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На основе оцен</w:t>
      </w:r>
      <w:r w:rsidR="006A72C5" w:rsidRPr="00A01C02">
        <w:rPr>
          <w:sz w:val="28"/>
          <w:szCs w:val="28"/>
        </w:rPr>
        <w:t>ки влияния перечисленных фак</w:t>
      </w:r>
      <w:r w:rsidRPr="00A01C02">
        <w:rPr>
          <w:sz w:val="28"/>
          <w:szCs w:val="28"/>
        </w:rPr>
        <w:t>торов внутренне</w:t>
      </w:r>
      <w:r w:rsidR="006A72C5" w:rsidRPr="00A01C02">
        <w:rPr>
          <w:sz w:val="28"/>
          <w:szCs w:val="28"/>
        </w:rPr>
        <w:t>го риска аудитор должен устано</w:t>
      </w:r>
      <w:r w:rsidRPr="00A01C02">
        <w:rPr>
          <w:sz w:val="28"/>
          <w:szCs w:val="28"/>
        </w:rPr>
        <w:t xml:space="preserve">вить, на какие именно хозяйственные процессы (операции) как </w:t>
      </w:r>
      <w:r w:rsidR="00FD757B">
        <w:rPr>
          <w:sz w:val="28"/>
          <w:szCs w:val="28"/>
        </w:rPr>
        <w:t>объекты аудита они окажут воз</w:t>
      </w:r>
      <w:r w:rsidRPr="00A01C02">
        <w:rPr>
          <w:sz w:val="28"/>
          <w:szCs w:val="28"/>
        </w:rPr>
        <w:t>действие. При это</w:t>
      </w:r>
      <w:r w:rsidR="006A72C5" w:rsidRPr="00A01C02">
        <w:rPr>
          <w:sz w:val="28"/>
          <w:szCs w:val="28"/>
        </w:rPr>
        <w:t>м максимальное внимание следу</w:t>
      </w:r>
      <w:r w:rsidRPr="00A01C02">
        <w:rPr>
          <w:sz w:val="28"/>
          <w:szCs w:val="28"/>
        </w:rPr>
        <w:t>ет обращать на те моменты, которые могут влиять на качество финансовой отчетнос</w:t>
      </w:r>
      <w:r w:rsidR="006A72C5" w:rsidRPr="00A01C02">
        <w:rPr>
          <w:sz w:val="28"/>
          <w:szCs w:val="28"/>
        </w:rPr>
        <w:t>ти, а потому от</w:t>
      </w:r>
      <w:r w:rsidRPr="00A01C02">
        <w:rPr>
          <w:sz w:val="28"/>
          <w:szCs w:val="28"/>
        </w:rPr>
        <w:t xml:space="preserve">секаются те риски клиента, которые не связаны с составлением финансовой отчетности. </w:t>
      </w:r>
    </w:p>
    <w:p w:rsidR="009B230D" w:rsidRPr="00A01C02" w:rsidRDefault="009B230D" w:rsidP="00FD757B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Даже при условии положительного влияния, перечисленных факторов внутренний риск будет не ниже 50 %, а</w:t>
      </w:r>
      <w:r w:rsidR="00FD757B">
        <w:rPr>
          <w:sz w:val="28"/>
          <w:szCs w:val="28"/>
        </w:rPr>
        <w:t xml:space="preserve"> при их отрицательном воздейст</w:t>
      </w:r>
      <w:r w:rsidRPr="00A01C02">
        <w:rPr>
          <w:sz w:val="28"/>
          <w:szCs w:val="28"/>
        </w:rPr>
        <w:t xml:space="preserve">вии он может приближаться к 100 %. </w:t>
      </w:r>
    </w:p>
    <w:p w:rsidR="006A72C5" w:rsidRPr="00A01C02" w:rsidRDefault="009B230D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i/>
          <w:iCs/>
          <w:sz w:val="28"/>
          <w:szCs w:val="28"/>
        </w:rPr>
        <w:t>Риск контроля (РК)</w:t>
      </w:r>
      <w:r w:rsidRPr="00A01C02">
        <w:rPr>
          <w:sz w:val="28"/>
          <w:szCs w:val="28"/>
        </w:rPr>
        <w:t xml:space="preserve"> </w:t>
      </w:r>
      <w:r w:rsidR="00FD757B">
        <w:rPr>
          <w:sz w:val="28"/>
          <w:szCs w:val="28"/>
        </w:rPr>
        <w:t>представляет собой</w:t>
      </w:r>
      <w:r w:rsidRPr="00A01C02">
        <w:rPr>
          <w:sz w:val="28"/>
          <w:szCs w:val="28"/>
        </w:rPr>
        <w:t xml:space="preserve"> оценку действе</w:t>
      </w:r>
      <w:r w:rsidR="00FD757B">
        <w:rPr>
          <w:sz w:val="28"/>
          <w:szCs w:val="28"/>
        </w:rPr>
        <w:t>нности системы внутреннего кон</w:t>
      </w:r>
      <w:r w:rsidRPr="00A01C02">
        <w:rPr>
          <w:sz w:val="28"/>
          <w:szCs w:val="28"/>
        </w:rPr>
        <w:t xml:space="preserve">троля клиента </w:t>
      </w:r>
      <w:r w:rsidR="00FD757B">
        <w:rPr>
          <w:sz w:val="28"/>
          <w:szCs w:val="28"/>
        </w:rPr>
        <w:t xml:space="preserve">с точки зрения ее способности </w:t>
      </w:r>
      <w:r w:rsidRPr="00A01C02">
        <w:rPr>
          <w:sz w:val="28"/>
          <w:szCs w:val="28"/>
        </w:rPr>
        <w:t xml:space="preserve"> предотвращать</w:t>
      </w:r>
      <w:r w:rsidR="006A72C5" w:rsidRPr="00A01C02">
        <w:rPr>
          <w:sz w:val="28"/>
          <w:szCs w:val="28"/>
        </w:rPr>
        <w:t xml:space="preserve"> или обнаруживать ошибки. Сис</w:t>
      </w:r>
      <w:r w:rsidRPr="00A01C02">
        <w:rPr>
          <w:sz w:val="28"/>
          <w:szCs w:val="28"/>
        </w:rPr>
        <w:t>тема внутреннего</w:t>
      </w:r>
      <w:r w:rsidR="00FD757B">
        <w:rPr>
          <w:sz w:val="28"/>
          <w:szCs w:val="28"/>
        </w:rPr>
        <w:t xml:space="preserve"> контроля предприятия образу</w:t>
      </w:r>
      <w:r w:rsidRPr="00A01C02">
        <w:rPr>
          <w:sz w:val="28"/>
          <w:szCs w:val="28"/>
        </w:rPr>
        <w:t>ется подсистемами внутрихо</w:t>
      </w:r>
      <w:r w:rsidR="00FD757B">
        <w:rPr>
          <w:sz w:val="28"/>
          <w:szCs w:val="28"/>
        </w:rPr>
        <w:t>зяйственного кон</w:t>
      </w:r>
      <w:r w:rsidRPr="00A01C02">
        <w:rPr>
          <w:sz w:val="28"/>
          <w:szCs w:val="28"/>
        </w:rPr>
        <w:t>троля (ВХК</w:t>
      </w:r>
      <w:r w:rsidR="00FD757B">
        <w:rPr>
          <w:sz w:val="28"/>
          <w:szCs w:val="28"/>
        </w:rPr>
        <w:t xml:space="preserve">) и внутреннего аудита (ВА). В </w:t>
      </w:r>
      <w:r w:rsidRPr="00A01C02">
        <w:rPr>
          <w:sz w:val="28"/>
          <w:szCs w:val="28"/>
        </w:rPr>
        <w:t xml:space="preserve"> свою очередь</w:t>
      </w:r>
      <w:r w:rsidR="00FD757B">
        <w:rPr>
          <w:sz w:val="28"/>
          <w:szCs w:val="28"/>
        </w:rPr>
        <w:t>, в п</w:t>
      </w:r>
      <w:r w:rsidR="00826262">
        <w:rPr>
          <w:sz w:val="28"/>
          <w:szCs w:val="28"/>
        </w:rPr>
        <w:t>одсистеме внутрихозяйственного контроля</w:t>
      </w:r>
      <w:r w:rsidR="00FD757B">
        <w:rPr>
          <w:sz w:val="28"/>
          <w:szCs w:val="28"/>
        </w:rPr>
        <w:t>, функции ко</w:t>
      </w:r>
      <w:r w:rsidRPr="00A01C02">
        <w:rPr>
          <w:sz w:val="28"/>
          <w:szCs w:val="28"/>
        </w:rPr>
        <w:t>торого реализую</w:t>
      </w:r>
      <w:r w:rsidR="00FD757B">
        <w:rPr>
          <w:sz w:val="28"/>
          <w:szCs w:val="28"/>
        </w:rPr>
        <w:t>т все структурные подразделе</w:t>
      </w:r>
      <w:r w:rsidRPr="00A01C02">
        <w:rPr>
          <w:sz w:val="28"/>
          <w:szCs w:val="28"/>
        </w:rPr>
        <w:t xml:space="preserve">ния аппарата управления, особо </w:t>
      </w:r>
      <w:r w:rsidR="00FD757B">
        <w:rPr>
          <w:sz w:val="28"/>
          <w:szCs w:val="28"/>
        </w:rPr>
        <w:t>следует выде</w:t>
      </w:r>
      <w:r w:rsidRPr="00A01C02">
        <w:rPr>
          <w:sz w:val="28"/>
          <w:szCs w:val="28"/>
        </w:rPr>
        <w:t>лить внут</w:t>
      </w:r>
      <w:r w:rsidR="006A72C5" w:rsidRPr="00A01C02">
        <w:rPr>
          <w:sz w:val="28"/>
          <w:szCs w:val="28"/>
        </w:rPr>
        <w:t>рихозяйственный контроль (ВХБК), реализуемый специалистами учетно-финан</w:t>
      </w:r>
      <w:r w:rsidR="00FD757B">
        <w:rPr>
          <w:sz w:val="28"/>
          <w:szCs w:val="28"/>
        </w:rPr>
        <w:t>совой службы. Поэтому при опре</w:t>
      </w:r>
      <w:r w:rsidR="006A72C5" w:rsidRPr="00A01C02">
        <w:rPr>
          <w:sz w:val="28"/>
          <w:szCs w:val="28"/>
        </w:rPr>
        <w:t xml:space="preserve">делении риска </w:t>
      </w:r>
      <w:r w:rsidR="00FD757B">
        <w:rPr>
          <w:sz w:val="28"/>
          <w:szCs w:val="28"/>
        </w:rPr>
        <w:t>контроля необходимо оценить на</w:t>
      </w:r>
      <w:r w:rsidR="006A72C5" w:rsidRPr="00A01C02">
        <w:rPr>
          <w:sz w:val="28"/>
          <w:szCs w:val="28"/>
        </w:rPr>
        <w:t>дежнос</w:t>
      </w:r>
      <w:r w:rsidR="00826262">
        <w:rPr>
          <w:sz w:val="28"/>
          <w:szCs w:val="28"/>
        </w:rPr>
        <w:t>ть и действенность подсистем внутрихозяйственного контроля и внутреннего аудита</w:t>
      </w:r>
      <w:r w:rsidR="006A72C5" w:rsidRPr="00A01C02">
        <w:rPr>
          <w:sz w:val="28"/>
          <w:szCs w:val="28"/>
        </w:rPr>
        <w:t xml:space="preserve"> (где такая служба имеется).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Для того чтоб</w:t>
      </w:r>
      <w:r w:rsidR="00FD757B">
        <w:rPr>
          <w:sz w:val="28"/>
          <w:szCs w:val="28"/>
        </w:rPr>
        <w:t>ы оценить уровень риска контро</w:t>
      </w:r>
      <w:r w:rsidRPr="00A01C02">
        <w:rPr>
          <w:sz w:val="28"/>
          <w:szCs w:val="28"/>
        </w:rPr>
        <w:t>ля ниже максима</w:t>
      </w:r>
      <w:r w:rsidR="00FD757B">
        <w:rPr>
          <w:sz w:val="28"/>
          <w:szCs w:val="28"/>
        </w:rPr>
        <w:t>льного (т.е. ниже 100 %), необ</w:t>
      </w:r>
      <w:r w:rsidRPr="00A01C02">
        <w:rPr>
          <w:sz w:val="28"/>
          <w:szCs w:val="28"/>
        </w:rPr>
        <w:t xml:space="preserve">ходимо: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 xml:space="preserve">• убедиться в </w:t>
      </w:r>
      <w:r w:rsidR="00FD757B">
        <w:rPr>
          <w:sz w:val="28"/>
          <w:szCs w:val="28"/>
        </w:rPr>
        <w:t>наличии и ознакомиться с систе</w:t>
      </w:r>
      <w:r w:rsidRPr="00A01C02">
        <w:rPr>
          <w:sz w:val="28"/>
          <w:szCs w:val="28"/>
        </w:rPr>
        <w:t xml:space="preserve">мой внутреннего </w:t>
      </w:r>
      <w:r w:rsidR="00FD757B">
        <w:rPr>
          <w:sz w:val="28"/>
          <w:szCs w:val="28"/>
        </w:rPr>
        <w:t>контроля клиента (наличие и ка</w:t>
      </w:r>
      <w:r w:rsidRPr="00A01C02">
        <w:rPr>
          <w:sz w:val="28"/>
          <w:szCs w:val="28"/>
        </w:rPr>
        <w:t>чество органи</w:t>
      </w:r>
      <w:r w:rsidR="00FD757B">
        <w:rPr>
          <w:sz w:val="28"/>
          <w:szCs w:val="28"/>
        </w:rPr>
        <w:t>зационных регламентов — Положе</w:t>
      </w:r>
      <w:r w:rsidR="00826262">
        <w:rPr>
          <w:sz w:val="28"/>
          <w:szCs w:val="28"/>
        </w:rPr>
        <w:t>ния о внутрихозяйственном контроле</w:t>
      </w:r>
      <w:r w:rsidRPr="00A01C02">
        <w:rPr>
          <w:sz w:val="28"/>
          <w:szCs w:val="28"/>
        </w:rPr>
        <w:t xml:space="preserve"> и закрепление контрольных функций в должностных инструкциях персонала (особе</w:t>
      </w:r>
      <w:r w:rsidR="00826262">
        <w:rPr>
          <w:sz w:val="28"/>
          <w:szCs w:val="28"/>
        </w:rPr>
        <w:t>нно бухгалтеров), Положения о внутреннем аудите</w:t>
      </w:r>
      <w:r w:rsidRPr="00A01C02">
        <w:rPr>
          <w:sz w:val="28"/>
          <w:szCs w:val="28"/>
        </w:rPr>
        <w:t xml:space="preserve"> и должностных инструкций внутренних аудиторов);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• убедиться в наличии и установить степень конкретности и детальности планов и</w:t>
      </w:r>
      <w:r w:rsidR="00826262">
        <w:rPr>
          <w:sz w:val="28"/>
          <w:szCs w:val="28"/>
        </w:rPr>
        <w:t xml:space="preserve"> программ деятельности службы внутреннего аудита</w:t>
      </w:r>
      <w:r w:rsidRPr="00A01C02">
        <w:rPr>
          <w:sz w:val="28"/>
          <w:szCs w:val="28"/>
        </w:rPr>
        <w:t xml:space="preserve">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• установить степень полноты и соответствия программам пров</w:t>
      </w:r>
      <w:r w:rsidR="00FD757B">
        <w:rPr>
          <w:sz w:val="28"/>
          <w:szCs w:val="28"/>
        </w:rPr>
        <w:t>ерок рабочих документов и отче</w:t>
      </w:r>
      <w:r w:rsidRPr="00A01C02">
        <w:rPr>
          <w:sz w:val="28"/>
          <w:szCs w:val="28"/>
        </w:rPr>
        <w:t xml:space="preserve">тов внутренних аудиторов;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 xml:space="preserve">• убедиться </w:t>
      </w:r>
      <w:r w:rsidR="00FD757B">
        <w:rPr>
          <w:sz w:val="28"/>
          <w:szCs w:val="28"/>
        </w:rPr>
        <w:t>в степени обоснованности приме</w:t>
      </w:r>
      <w:r w:rsidRPr="00A01C02">
        <w:rPr>
          <w:sz w:val="28"/>
          <w:szCs w:val="28"/>
        </w:rPr>
        <w:t xml:space="preserve">ненных методик внутреннего аудита отдельных объектов;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• на основе</w:t>
      </w:r>
      <w:r w:rsidR="00826262">
        <w:rPr>
          <w:sz w:val="28"/>
          <w:szCs w:val="28"/>
        </w:rPr>
        <w:t xml:space="preserve"> имеющейся внутренней контроль</w:t>
      </w:r>
      <w:r w:rsidRPr="00A01C02">
        <w:rPr>
          <w:sz w:val="28"/>
          <w:szCs w:val="28"/>
        </w:rPr>
        <w:t>ной информации (ведомости контроля отдельных объектов, контрол</w:t>
      </w:r>
      <w:r w:rsidR="00FD757B">
        <w:rPr>
          <w:sz w:val="28"/>
          <w:szCs w:val="28"/>
        </w:rPr>
        <w:t>ьных расчетов, актов обследова</w:t>
      </w:r>
      <w:r w:rsidRPr="00A01C02">
        <w:rPr>
          <w:sz w:val="28"/>
          <w:szCs w:val="28"/>
        </w:rPr>
        <w:t>ний, заключения внутренних аудиторов) оценить качество функционирования системы вну</w:t>
      </w:r>
      <w:r w:rsidR="00826262">
        <w:rPr>
          <w:sz w:val="28"/>
          <w:szCs w:val="28"/>
        </w:rPr>
        <w:t xml:space="preserve">треннего контроля </w:t>
      </w:r>
      <w:r w:rsidRPr="00A01C02">
        <w:rPr>
          <w:sz w:val="28"/>
          <w:szCs w:val="28"/>
        </w:rPr>
        <w:t xml:space="preserve"> в целом; </w:t>
      </w:r>
    </w:p>
    <w:p w:rsidR="00FD757B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• установить дей</w:t>
      </w:r>
      <w:r w:rsidR="00FD757B">
        <w:rPr>
          <w:sz w:val="28"/>
          <w:szCs w:val="28"/>
        </w:rPr>
        <w:t>ственность мероприятий, кор</w:t>
      </w:r>
      <w:r w:rsidRPr="00A01C02">
        <w:rPr>
          <w:sz w:val="28"/>
          <w:szCs w:val="28"/>
        </w:rPr>
        <w:t xml:space="preserve">ректирующих воздействий, предпринятых </w:t>
      </w:r>
      <w:r w:rsidR="00FD757B">
        <w:rPr>
          <w:sz w:val="28"/>
          <w:szCs w:val="28"/>
        </w:rPr>
        <w:t>по ре</w:t>
      </w:r>
      <w:r w:rsidRPr="00A01C02">
        <w:rPr>
          <w:sz w:val="28"/>
          <w:szCs w:val="28"/>
        </w:rPr>
        <w:t xml:space="preserve">зультатам внутреннего аудита;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• протестир</w:t>
      </w:r>
      <w:r w:rsidR="00FD757B">
        <w:rPr>
          <w:sz w:val="28"/>
          <w:szCs w:val="28"/>
        </w:rPr>
        <w:t>овать контрольные моменты, под</w:t>
      </w:r>
      <w:r w:rsidR="00826262">
        <w:rPr>
          <w:sz w:val="28"/>
          <w:szCs w:val="28"/>
        </w:rPr>
        <w:t>тверждающие качество системы внутреннего контроля</w:t>
      </w:r>
      <w:r w:rsidRPr="00A01C02">
        <w:rPr>
          <w:sz w:val="28"/>
          <w:szCs w:val="28"/>
        </w:rPr>
        <w:t xml:space="preserve"> (визуально оценить аккура</w:t>
      </w:r>
      <w:r w:rsidR="00FD757B">
        <w:rPr>
          <w:sz w:val="28"/>
          <w:szCs w:val="28"/>
        </w:rPr>
        <w:t>тность, правильность и своевре</w:t>
      </w:r>
      <w:r w:rsidRPr="00A01C02">
        <w:rPr>
          <w:sz w:val="28"/>
          <w:szCs w:val="28"/>
        </w:rPr>
        <w:t>менность ведения учетных регистров, соответствие остатков по журналам-ордерам (машинограммам) и по счетам Гла</w:t>
      </w:r>
      <w:r w:rsidR="00FD757B">
        <w:rPr>
          <w:sz w:val="28"/>
          <w:szCs w:val="28"/>
        </w:rPr>
        <w:t>вной книги, правильность коррес</w:t>
      </w:r>
      <w:r w:rsidRPr="00A01C02">
        <w:rPr>
          <w:sz w:val="28"/>
          <w:szCs w:val="28"/>
        </w:rPr>
        <w:t xml:space="preserve">понденции счетов и др.);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 xml:space="preserve">• определить </w:t>
      </w:r>
      <w:r w:rsidR="00FD757B">
        <w:rPr>
          <w:sz w:val="28"/>
          <w:szCs w:val="28"/>
        </w:rPr>
        <w:t>состояние контроля качества ра</w:t>
      </w:r>
      <w:r w:rsidRPr="00A01C02">
        <w:rPr>
          <w:sz w:val="28"/>
          <w:szCs w:val="28"/>
        </w:rPr>
        <w:t>боты внутренних</w:t>
      </w:r>
      <w:r w:rsidR="00FD757B">
        <w:rPr>
          <w:sz w:val="28"/>
          <w:szCs w:val="28"/>
        </w:rPr>
        <w:t xml:space="preserve"> аудиторов со стороны руководи</w:t>
      </w:r>
      <w:r w:rsidR="00826262">
        <w:rPr>
          <w:sz w:val="28"/>
          <w:szCs w:val="28"/>
        </w:rPr>
        <w:t>теля службы внутреннего аудита</w:t>
      </w:r>
      <w:r w:rsidRPr="00A01C02">
        <w:rPr>
          <w:sz w:val="28"/>
          <w:szCs w:val="28"/>
        </w:rPr>
        <w:t xml:space="preserve">; </w:t>
      </w:r>
    </w:p>
    <w:p w:rsidR="006A72C5" w:rsidRPr="00A01C02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>• ознакомить</w:t>
      </w:r>
      <w:r w:rsidR="00FD757B">
        <w:rPr>
          <w:sz w:val="28"/>
          <w:szCs w:val="28"/>
        </w:rPr>
        <w:t>ся с кадровой политикой в отно</w:t>
      </w:r>
      <w:r w:rsidRPr="00A01C02">
        <w:rPr>
          <w:sz w:val="28"/>
          <w:szCs w:val="28"/>
        </w:rPr>
        <w:t>шении внутренних ауди</w:t>
      </w:r>
      <w:r w:rsidR="00FD757B">
        <w:rPr>
          <w:sz w:val="28"/>
          <w:szCs w:val="28"/>
        </w:rPr>
        <w:t>торов (личные дела, ква</w:t>
      </w:r>
      <w:r w:rsidRPr="00A01C02">
        <w:rPr>
          <w:sz w:val="28"/>
          <w:szCs w:val="28"/>
        </w:rPr>
        <w:t>лификационн</w:t>
      </w:r>
      <w:r w:rsidR="00FD757B">
        <w:rPr>
          <w:sz w:val="28"/>
          <w:szCs w:val="28"/>
        </w:rPr>
        <w:t>ые документы, программы профес</w:t>
      </w:r>
      <w:r w:rsidRPr="00A01C02">
        <w:rPr>
          <w:sz w:val="28"/>
          <w:szCs w:val="28"/>
        </w:rPr>
        <w:t xml:space="preserve">сиональной подготовки). </w:t>
      </w:r>
    </w:p>
    <w:p w:rsidR="006A72C5" w:rsidRPr="00FD757B" w:rsidRDefault="006A72C5" w:rsidP="00FD75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1C02">
        <w:rPr>
          <w:sz w:val="28"/>
          <w:szCs w:val="28"/>
        </w:rPr>
        <w:t xml:space="preserve">Как свидетельствует аудиторская практика, уровень риска </w:t>
      </w:r>
      <w:r w:rsidR="00FD757B">
        <w:rPr>
          <w:sz w:val="28"/>
          <w:szCs w:val="28"/>
        </w:rPr>
        <w:t>контроля повышается при компью</w:t>
      </w:r>
      <w:r w:rsidRPr="00A01C02">
        <w:rPr>
          <w:sz w:val="28"/>
          <w:szCs w:val="28"/>
        </w:rPr>
        <w:t>терном варианте вед</w:t>
      </w:r>
      <w:r w:rsidR="00FD757B">
        <w:rPr>
          <w:sz w:val="28"/>
          <w:szCs w:val="28"/>
        </w:rPr>
        <w:t xml:space="preserve">ения бухгалтерского учета с </w:t>
      </w:r>
      <w:r w:rsidRPr="00A01C02">
        <w:rPr>
          <w:sz w:val="28"/>
          <w:szCs w:val="28"/>
        </w:rPr>
        <w:t xml:space="preserve">применением неапробированных бухгалтерских программ. Кроме того, фактором увеличения риска контроля является сам факт выявления предыдущей аудиторской проверкой ошибок и неточностей в системе бухгалтерского учета </w:t>
      </w:r>
      <w:r w:rsidRPr="00FD757B">
        <w:rPr>
          <w:sz w:val="28"/>
          <w:szCs w:val="28"/>
        </w:rPr>
        <w:t xml:space="preserve">клиента. </w:t>
      </w:r>
    </w:p>
    <w:p w:rsidR="00A01C02" w:rsidRPr="007462A4" w:rsidRDefault="00A01C02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Между риском контроля и информационной базой аудита сущ</w:t>
      </w:r>
      <w:r w:rsidR="00FD757B" w:rsidRPr="007462A4">
        <w:rPr>
          <w:sz w:val="28"/>
          <w:szCs w:val="28"/>
        </w:rPr>
        <w:t>ествует прямая зависимость. Ес</w:t>
      </w:r>
      <w:r w:rsidR="00826262">
        <w:rPr>
          <w:sz w:val="28"/>
          <w:szCs w:val="28"/>
        </w:rPr>
        <w:t>ли система внутреннего контроля</w:t>
      </w:r>
      <w:r w:rsidRPr="007462A4">
        <w:rPr>
          <w:sz w:val="28"/>
          <w:szCs w:val="28"/>
        </w:rPr>
        <w:t xml:space="preserve"> признается достаточно надежной, то объемы отобранных для тестирования объектов могут быть уменьшены. </w:t>
      </w:r>
    </w:p>
    <w:p w:rsidR="00A01C02" w:rsidRPr="007462A4" w:rsidRDefault="00A01C02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 xml:space="preserve">Сочетание ВР </w:t>
      </w:r>
      <w:r w:rsidR="00FD757B" w:rsidRPr="007462A4">
        <w:rPr>
          <w:sz w:val="28"/>
          <w:szCs w:val="28"/>
        </w:rPr>
        <w:t>и РК представляет собой вероят</w:t>
      </w:r>
      <w:r w:rsidRPr="007462A4">
        <w:rPr>
          <w:sz w:val="28"/>
          <w:szCs w:val="28"/>
        </w:rPr>
        <w:t>ность наличия ош</w:t>
      </w:r>
      <w:r w:rsidR="00FD757B" w:rsidRPr="007462A4">
        <w:rPr>
          <w:sz w:val="28"/>
          <w:szCs w:val="28"/>
        </w:rPr>
        <w:t>ибок после учета влияния систе</w:t>
      </w:r>
      <w:r w:rsidRPr="007462A4">
        <w:rPr>
          <w:sz w:val="28"/>
          <w:szCs w:val="28"/>
        </w:rPr>
        <w:t>мы ВК. Это предполагает, что аудиторы должны на основе оценки этих рисков спрогнозировать, в каких разделах финансовой отчетности ошибки наиболее или наименее возможны. Такой подход позволяет определить общий объем накопления аудиторских доказ</w:t>
      </w:r>
      <w:r w:rsidR="00FD757B" w:rsidRPr="007462A4">
        <w:rPr>
          <w:sz w:val="28"/>
          <w:szCs w:val="28"/>
        </w:rPr>
        <w:t>ательств, а также его распреде</w:t>
      </w:r>
      <w:r w:rsidRPr="007462A4">
        <w:rPr>
          <w:sz w:val="28"/>
          <w:szCs w:val="28"/>
        </w:rPr>
        <w:t xml:space="preserve">ление по конкретным объектам (участкам) аудита. </w:t>
      </w:r>
    </w:p>
    <w:p w:rsidR="00A01C02" w:rsidRPr="007462A4" w:rsidRDefault="00A01C02" w:rsidP="007462A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F63676">
        <w:rPr>
          <w:i/>
          <w:iCs/>
          <w:sz w:val="28"/>
          <w:szCs w:val="28"/>
        </w:rPr>
        <w:t>Риск необнаружения (РН)</w:t>
      </w:r>
      <w:r w:rsidRPr="007462A4">
        <w:rPr>
          <w:b/>
          <w:bCs/>
          <w:i/>
          <w:iCs/>
          <w:sz w:val="28"/>
          <w:szCs w:val="28"/>
        </w:rPr>
        <w:t xml:space="preserve"> </w:t>
      </w:r>
      <w:r w:rsidRPr="007462A4">
        <w:rPr>
          <w:sz w:val="28"/>
          <w:szCs w:val="28"/>
        </w:rPr>
        <w:t>означает меру готовности аудитора признать, что проведенные им аудиторские</w:t>
      </w:r>
      <w:r w:rsidR="00F63676">
        <w:rPr>
          <w:sz w:val="28"/>
          <w:szCs w:val="28"/>
        </w:rPr>
        <w:t xml:space="preserve"> процедуры в отношении конкрет</w:t>
      </w:r>
      <w:r w:rsidRPr="007462A4">
        <w:rPr>
          <w:sz w:val="28"/>
          <w:szCs w:val="28"/>
        </w:rPr>
        <w:t>ных объектов не позволят обнаружить ошибки, превышающие п</w:t>
      </w:r>
      <w:r w:rsidR="00F63676">
        <w:rPr>
          <w:sz w:val="28"/>
          <w:szCs w:val="28"/>
        </w:rPr>
        <w:t>редельно допустимый размер (ес</w:t>
      </w:r>
      <w:r w:rsidRPr="007462A4">
        <w:rPr>
          <w:sz w:val="28"/>
          <w:szCs w:val="28"/>
        </w:rPr>
        <w:t xml:space="preserve">ли таковы имеются). </w:t>
      </w:r>
    </w:p>
    <w:p w:rsidR="00A01C02" w:rsidRPr="007462A4" w:rsidRDefault="00A01C02" w:rsidP="007462A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 xml:space="preserve">Определение </w:t>
      </w:r>
      <w:r w:rsidR="00F63676">
        <w:rPr>
          <w:sz w:val="28"/>
          <w:szCs w:val="28"/>
        </w:rPr>
        <w:t>величины РН тесно связано с ве</w:t>
      </w:r>
      <w:r w:rsidRPr="007462A4">
        <w:rPr>
          <w:sz w:val="28"/>
          <w:szCs w:val="28"/>
        </w:rPr>
        <w:t xml:space="preserve">личиной ВР и РК. Чем выше риск последних, что предполагает невысокую степень доверия аудитора </w:t>
      </w:r>
      <w:r w:rsidRPr="00F63676">
        <w:rPr>
          <w:sz w:val="28"/>
          <w:szCs w:val="28"/>
        </w:rPr>
        <w:t>к</w:t>
      </w:r>
      <w:r w:rsidRPr="007462A4">
        <w:rPr>
          <w:i/>
          <w:iCs/>
          <w:sz w:val="28"/>
          <w:szCs w:val="28"/>
        </w:rPr>
        <w:t xml:space="preserve"> </w:t>
      </w:r>
      <w:r w:rsidRPr="007462A4">
        <w:rPr>
          <w:sz w:val="28"/>
          <w:szCs w:val="28"/>
        </w:rPr>
        <w:t>системам учета и ВК, тем</w:t>
      </w:r>
      <w:r w:rsidR="00F63676">
        <w:rPr>
          <w:sz w:val="28"/>
          <w:szCs w:val="28"/>
        </w:rPr>
        <w:t xml:space="preserve"> меньше риск необна</w:t>
      </w:r>
      <w:r w:rsidRPr="007462A4">
        <w:rPr>
          <w:sz w:val="28"/>
          <w:szCs w:val="28"/>
        </w:rPr>
        <w:t xml:space="preserve">ружения необходимо установить для конкретной аудиторской проверки. </w:t>
      </w:r>
    </w:p>
    <w:p w:rsidR="00A01C02" w:rsidRPr="007462A4" w:rsidRDefault="00A01C02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ВР и РК не зависят от аудитора, он не может на них повлиять,</w:t>
      </w:r>
      <w:r w:rsidR="00F63676">
        <w:rPr>
          <w:sz w:val="28"/>
          <w:szCs w:val="28"/>
        </w:rPr>
        <w:t xml:space="preserve"> поскольку они являются резуль</w:t>
      </w:r>
      <w:r w:rsidRPr="007462A4">
        <w:rPr>
          <w:sz w:val="28"/>
          <w:szCs w:val="28"/>
        </w:rPr>
        <w:t>татом деятельност</w:t>
      </w:r>
      <w:r w:rsidR="00F63676">
        <w:rPr>
          <w:sz w:val="28"/>
          <w:szCs w:val="28"/>
        </w:rPr>
        <w:t>и предприятия-заказчика незави</w:t>
      </w:r>
      <w:r w:rsidRPr="007462A4">
        <w:rPr>
          <w:sz w:val="28"/>
          <w:szCs w:val="28"/>
        </w:rPr>
        <w:t>симо от проведения аудита</w:t>
      </w:r>
      <w:r w:rsidR="00826262">
        <w:rPr>
          <w:sz w:val="28"/>
          <w:szCs w:val="28"/>
        </w:rPr>
        <w:t>. В отличие от этих элементов риск необнаружения</w:t>
      </w:r>
      <w:r w:rsidRPr="007462A4">
        <w:rPr>
          <w:sz w:val="28"/>
          <w:szCs w:val="28"/>
        </w:rPr>
        <w:t xml:space="preserve"> является следствием выполненной аудитором работы, за которую он несет полную ответственность. </w:t>
      </w:r>
      <w:r w:rsidR="00F63676">
        <w:rPr>
          <w:sz w:val="28"/>
          <w:szCs w:val="28"/>
        </w:rPr>
        <w:t>Таким образом, в этом ключе ос</w:t>
      </w:r>
      <w:r w:rsidRPr="007462A4">
        <w:rPr>
          <w:sz w:val="28"/>
          <w:szCs w:val="28"/>
        </w:rPr>
        <w:t>новной задачей аудитора является минимизация риска необнаруж</w:t>
      </w:r>
      <w:r w:rsidR="00F63676">
        <w:rPr>
          <w:sz w:val="28"/>
          <w:szCs w:val="28"/>
        </w:rPr>
        <w:t>ения, что достигается достаточ</w:t>
      </w:r>
      <w:r w:rsidRPr="007462A4">
        <w:rPr>
          <w:sz w:val="28"/>
          <w:szCs w:val="28"/>
        </w:rPr>
        <w:t>ным объемом аудиторских процедур на основе применения грам</w:t>
      </w:r>
      <w:r w:rsidR="00F63676">
        <w:rPr>
          <w:sz w:val="28"/>
          <w:szCs w:val="28"/>
        </w:rPr>
        <w:t>отно составленных методик ауди</w:t>
      </w:r>
      <w:r w:rsidRPr="007462A4">
        <w:rPr>
          <w:sz w:val="28"/>
          <w:szCs w:val="28"/>
        </w:rPr>
        <w:t xml:space="preserve">та, тестирования зон риска. </w:t>
      </w:r>
    </w:p>
    <w:p w:rsidR="00A01C02" w:rsidRPr="007462A4" w:rsidRDefault="00A01C02" w:rsidP="007462A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По известным причинам аудиторы Украины еще не облада</w:t>
      </w:r>
      <w:r w:rsidR="00F63676">
        <w:rPr>
          <w:sz w:val="28"/>
          <w:szCs w:val="28"/>
        </w:rPr>
        <w:t>ют достаточным опытом в отноше</w:t>
      </w:r>
      <w:r w:rsidRPr="007462A4">
        <w:rPr>
          <w:sz w:val="28"/>
          <w:szCs w:val="28"/>
        </w:rPr>
        <w:t>нии оценки аудит</w:t>
      </w:r>
      <w:r w:rsidR="00F63676">
        <w:rPr>
          <w:sz w:val="28"/>
          <w:szCs w:val="28"/>
        </w:rPr>
        <w:t>орского риска, что дает основа</w:t>
      </w:r>
      <w:r w:rsidRPr="007462A4">
        <w:rPr>
          <w:sz w:val="28"/>
          <w:szCs w:val="28"/>
        </w:rPr>
        <w:t xml:space="preserve">ние воспользоваться моделью оценки риска, при- меняемой пятью ведущими аудиторскими фирмами мира: </w:t>
      </w:r>
    </w:p>
    <w:p w:rsidR="00A01C02" w:rsidRPr="007462A4" w:rsidRDefault="00A01C02" w:rsidP="007462A4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>ОАР</w:t>
      </w:r>
      <w:r w:rsidR="00F63676">
        <w:rPr>
          <w:b/>
          <w:bCs/>
          <w:sz w:val="28"/>
          <w:szCs w:val="28"/>
        </w:rPr>
        <w:t xml:space="preserve"> = </w:t>
      </w:r>
      <w:r w:rsidRPr="007462A4">
        <w:rPr>
          <w:b/>
          <w:bCs/>
          <w:sz w:val="28"/>
          <w:szCs w:val="28"/>
        </w:rPr>
        <w:t xml:space="preserve"> ВР </w:t>
      </w:r>
      <w:r w:rsidR="00F63676">
        <w:rPr>
          <w:b/>
          <w:bCs/>
          <w:sz w:val="28"/>
          <w:szCs w:val="28"/>
        </w:rPr>
        <w:t xml:space="preserve">∙ </w:t>
      </w:r>
      <w:r w:rsidRPr="007462A4">
        <w:rPr>
          <w:b/>
          <w:bCs/>
          <w:sz w:val="28"/>
          <w:szCs w:val="28"/>
        </w:rPr>
        <w:t>РК</w:t>
      </w:r>
      <w:r w:rsidR="00F63676">
        <w:rPr>
          <w:b/>
          <w:bCs/>
          <w:sz w:val="28"/>
          <w:szCs w:val="28"/>
        </w:rPr>
        <w:t xml:space="preserve"> ∙</w:t>
      </w:r>
      <w:r w:rsidRPr="007462A4">
        <w:rPr>
          <w:b/>
          <w:bCs/>
          <w:sz w:val="28"/>
          <w:szCs w:val="28"/>
        </w:rPr>
        <w:t xml:space="preserve"> РН,</w:t>
      </w:r>
      <w:r w:rsidR="00F63676">
        <w:rPr>
          <w:b/>
          <w:bCs/>
          <w:sz w:val="28"/>
          <w:szCs w:val="28"/>
        </w:rPr>
        <w:t xml:space="preserve">   </w:t>
      </w:r>
      <w:r w:rsidR="00F63676" w:rsidRPr="00F63676">
        <w:rPr>
          <w:sz w:val="28"/>
          <w:szCs w:val="28"/>
        </w:rPr>
        <w:t>где</w:t>
      </w:r>
    </w:p>
    <w:p w:rsidR="00F63676" w:rsidRDefault="00A01C02" w:rsidP="007462A4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 xml:space="preserve">ОАР — </w:t>
      </w:r>
      <w:r w:rsidRPr="007462A4">
        <w:rPr>
          <w:sz w:val="28"/>
          <w:szCs w:val="28"/>
        </w:rPr>
        <w:t xml:space="preserve">общий аудиторский риск; </w:t>
      </w:r>
    </w:p>
    <w:p w:rsidR="00F63676" w:rsidRDefault="00A01C02" w:rsidP="007462A4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 xml:space="preserve">ВР — </w:t>
      </w:r>
      <w:r w:rsidR="00F63676">
        <w:rPr>
          <w:sz w:val="28"/>
          <w:szCs w:val="28"/>
        </w:rPr>
        <w:t>внут</w:t>
      </w:r>
      <w:r w:rsidRPr="007462A4">
        <w:rPr>
          <w:sz w:val="28"/>
          <w:szCs w:val="28"/>
        </w:rPr>
        <w:t xml:space="preserve">ренний риск; </w:t>
      </w:r>
    </w:p>
    <w:p w:rsidR="00F63676" w:rsidRDefault="00A01C02" w:rsidP="007462A4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 xml:space="preserve">РК — </w:t>
      </w:r>
      <w:r w:rsidRPr="007462A4">
        <w:rPr>
          <w:sz w:val="28"/>
          <w:szCs w:val="28"/>
        </w:rPr>
        <w:t xml:space="preserve">риск контроля; </w:t>
      </w:r>
    </w:p>
    <w:p w:rsidR="00A01C02" w:rsidRPr="007462A4" w:rsidRDefault="00A01C02" w:rsidP="007462A4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 xml:space="preserve">РН — </w:t>
      </w:r>
      <w:r w:rsidR="00F63676">
        <w:rPr>
          <w:sz w:val="28"/>
          <w:szCs w:val="28"/>
        </w:rPr>
        <w:t>риск не</w:t>
      </w:r>
      <w:r w:rsidRPr="007462A4">
        <w:rPr>
          <w:sz w:val="28"/>
          <w:szCs w:val="28"/>
        </w:rPr>
        <w:t xml:space="preserve">обнаружения. </w:t>
      </w:r>
    </w:p>
    <w:p w:rsidR="00A01C02" w:rsidRPr="007462A4" w:rsidRDefault="00A01C02" w:rsidP="007462A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 xml:space="preserve">Отсюда риск необнаружения определяется аудитором расчетным путем: </w:t>
      </w:r>
    </w:p>
    <w:p w:rsidR="00A01C02" w:rsidRPr="00F63676" w:rsidRDefault="00F63676" w:rsidP="007462A4">
      <w:pPr>
        <w:autoSpaceDE w:val="0"/>
        <w:autoSpaceDN w:val="0"/>
        <w:adjustRightInd w:val="0"/>
        <w:spacing w:before="105" w:line="360" w:lineRule="auto"/>
        <w:ind w:firstLine="540"/>
        <w:jc w:val="both"/>
        <w:rPr>
          <w:b/>
          <w:bCs/>
          <w:sz w:val="28"/>
          <w:szCs w:val="28"/>
        </w:rPr>
      </w:pPr>
      <w:r w:rsidRPr="00F63676">
        <w:rPr>
          <w:b/>
          <w:bCs/>
          <w:sz w:val="28"/>
          <w:szCs w:val="28"/>
        </w:rPr>
        <w:t>РН = ОАР / ВР ∙ РК</w:t>
      </w:r>
    </w:p>
    <w:p w:rsidR="00A01C02" w:rsidRPr="007462A4" w:rsidRDefault="00A01C02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Как отмечает</w:t>
      </w:r>
      <w:r w:rsidR="00F63676">
        <w:rPr>
          <w:sz w:val="28"/>
          <w:szCs w:val="28"/>
        </w:rPr>
        <w:t>ся в зарубежной специальной литературе</w:t>
      </w:r>
      <w:r w:rsidRPr="007462A4">
        <w:rPr>
          <w:sz w:val="28"/>
          <w:szCs w:val="28"/>
        </w:rPr>
        <w:t xml:space="preserve">, риск необнаружения состоит из риска аналитического обзора (РАО) и риска тестового контроля (РТК), что следует учитывать при его оценке. Тогда модель ОАР примет такой вид: </w:t>
      </w:r>
    </w:p>
    <w:p w:rsidR="00A01C02" w:rsidRPr="007462A4" w:rsidRDefault="00A01C02" w:rsidP="007462A4">
      <w:pPr>
        <w:autoSpaceDE w:val="0"/>
        <w:autoSpaceDN w:val="0"/>
        <w:adjustRightInd w:val="0"/>
        <w:spacing w:before="235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>ОАР</w:t>
      </w:r>
      <w:r w:rsidR="00F63676">
        <w:rPr>
          <w:b/>
          <w:bCs/>
          <w:sz w:val="28"/>
          <w:szCs w:val="28"/>
        </w:rPr>
        <w:t xml:space="preserve"> = </w:t>
      </w:r>
      <w:r w:rsidRPr="007462A4">
        <w:rPr>
          <w:b/>
          <w:bCs/>
          <w:sz w:val="28"/>
          <w:szCs w:val="28"/>
        </w:rPr>
        <w:t xml:space="preserve"> </w:t>
      </w:r>
      <w:r w:rsidR="00F63676">
        <w:rPr>
          <w:b/>
          <w:bCs/>
          <w:sz w:val="28"/>
          <w:szCs w:val="28"/>
        </w:rPr>
        <w:t>ВР ∙ РК ∙ РАО ∙ РТК</w:t>
      </w:r>
      <w:r w:rsidRPr="007462A4">
        <w:rPr>
          <w:b/>
          <w:bCs/>
          <w:sz w:val="28"/>
          <w:szCs w:val="28"/>
        </w:rPr>
        <w:t xml:space="preserve"> </w:t>
      </w:r>
      <w:r w:rsidRPr="007462A4">
        <w:rPr>
          <w:sz w:val="28"/>
          <w:szCs w:val="28"/>
        </w:rPr>
        <w:t xml:space="preserve"> </w:t>
      </w:r>
    </w:p>
    <w:p w:rsidR="00A01C02" w:rsidRPr="007462A4" w:rsidRDefault="00A01C02" w:rsidP="007462A4">
      <w:pPr>
        <w:autoSpaceDE w:val="0"/>
        <w:autoSpaceDN w:val="0"/>
        <w:adjustRightInd w:val="0"/>
        <w:spacing w:before="134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Результаты обобщения зарубежного опыта в отношении установления уровней аудиторского риска по эл</w:t>
      </w:r>
      <w:r w:rsidR="006E062D">
        <w:rPr>
          <w:sz w:val="28"/>
          <w:szCs w:val="28"/>
        </w:rPr>
        <w:t>ементам представлены в таблице 1.</w:t>
      </w:r>
    </w:p>
    <w:p w:rsidR="00A01C02" w:rsidRPr="006E062D" w:rsidRDefault="006E062D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Таблица 1.                                          Показатели приемлемого уровня аудиторского риска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302"/>
        <w:gridCol w:w="2505"/>
      </w:tblGrid>
      <w:tr w:rsidR="00F63676" w:rsidRPr="00EB2487" w:rsidTr="00EB2487">
        <w:tc>
          <w:tcPr>
            <w:tcW w:w="3013" w:type="dxa"/>
            <w:vMerge w:val="restart"/>
            <w:shd w:val="clear" w:color="auto" w:fill="auto"/>
            <w:vAlign w:val="center"/>
          </w:tcPr>
          <w:p w:rsidR="00F63676" w:rsidRPr="00F63676" w:rsidRDefault="00F63676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Наименование элементов аудиторского риска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Приемлемые значения</w:t>
            </w:r>
          </w:p>
        </w:tc>
      </w:tr>
      <w:tr w:rsidR="00F63676" w:rsidRPr="00EB2487" w:rsidTr="00EB2487">
        <w:tc>
          <w:tcPr>
            <w:tcW w:w="3013" w:type="dxa"/>
            <w:vMerge/>
            <w:shd w:val="clear" w:color="auto" w:fill="auto"/>
            <w:vAlign w:val="center"/>
          </w:tcPr>
          <w:p w:rsidR="00F63676" w:rsidRPr="00F63676" w:rsidRDefault="00F63676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302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минимум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Максимум</w:t>
            </w:r>
          </w:p>
        </w:tc>
      </w:tr>
      <w:tr w:rsidR="00F63676" w:rsidRPr="00EB2487" w:rsidTr="00EB2487">
        <w:tc>
          <w:tcPr>
            <w:tcW w:w="3013" w:type="dxa"/>
            <w:shd w:val="clear" w:color="auto" w:fill="auto"/>
            <w:vAlign w:val="center"/>
          </w:tcPr>
          <w:p w:rsidR="00F63676" w:rsidRPr="00F63676" w:rsidRDefault="00F63676" w:rsidP="00EB2487">
            <w:pPr>
              <w:autoSpaceDE w:val="0"/>
              <w:autoSpaceDN w:val="0"/>
              <w:adjustRightInd w:val="0"/>
              <w:spacing w:line="360" w:lineRule="auto"/>
            </w:pPr>
            <w:r>
              <w:t>Общий аудиторский риск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0,01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0,05</w:t>
            </w:r>
          </w:p>
        </w:tc>
      </w:tr>
      <w:tr w:rsidR="00F63676" w:rsidRPr="00EB2487" w:rsidTr="00EB2487">
        <w:tc>
          <w:tcPr>
            <w:tcW w:w="3013" w:type="dxa"/>
            <w:shd w:val="clear" w:color="auto" w:fill="auto"/>
            <w:vAlign w:val="center"/>
          </w:tcPr>
          <w:p w:rsidR="00F63676" w:rsidRPr="00F63676" w:rsidRDefault="00F63676" w:rsidP="00EB2487">
            <w:pPr>
              <w:autoSpaceDE w:val="0"/>
              <w:autoSpaceDN w:val="0"/>
              <w:adjustRightInd w:val="0"/>
              <w:spacing w:line="360" w:lineRule="auto"/>
            </w:pPr>
            <w:r>
              <w:t>Внутренний риск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F63676" w:rsidRPr="00EB2487" w:rsidTr="00EB2487">
        <w:tc>
          <w:tcPr>
            <w:tcW w:w="3013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</w:pPr>
            <w:r>
              <w:t>Риск контроля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определяется экспертным путем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</w:tr>
      <w:tr w:rsidR="00F63676" w:rsidRPr="00EB2487" w:rsidTr="00EB2487">
        <w:tc>
          <w:tcPr>
            <w:tcW w:w="3013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</w:pPr>
            <w:r>
              <w:t>Риск необнаружения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F63676" w:rsidRPr="00F63676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определяется расчетным путем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63676" w:rsidRPr="006E062D" w:rsidRDefault="006E062D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EB2487">
              <w:rPr>
                <w:lang w:val="en-US"/>
              </w:rPr>
              <w:t>&lt;</w:t>
            </w:r>
            <w:r>
              <w:t xml:space="preserve"> 0,5</w:t>
            </w:r>
          </w:p>
        </w:tc>
      </w:tr>
    </w:tbl>
    <w:p w:rsidR="00FD757B" w:rsidRPr="007462A4" w:rsidRDefault="00FD757B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E062D" w:rsidRDefault="006E062D" w:rsidP="006E062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величину ОАР принять в раз</w:t>
      </w:r>
      <w:r w:rsidR="00FD757B" w:rsidRPr="007462A4">
        <w:rPr>
          <w:sz w:val="28"/>
          <w:szCs w:val="28"/>
        </w:rPr>
        <w:t>мере 5 %, ВР оценить в ра</w:t>
      </w:r>
      <w:r>
        <w:rPr>
          <w:sz w:val="28"/>
          <w:szCs w:val="28"/>
        </w:rPr>
        <w:t>змере 100 % (это свой</w:t>
      </w:r>
      <w:r w:rsidR="00FD757B" w:rsidRPr="007462A4">
        <w:rPr>
          <w:sz w:val="28"/>
          <w:szCs w:val="28"/>
        </w:rPr>
        <w:t>ственно для пр</w:t>
      </w:r>
      <w:r>
        <w:rPr>
          <w:sz w:val="28"/>
          <w:szCs w:val="28"/>
        </w:rPr>
        <w:t>едприятий-клиентов по вновь за</w:t>
      </w:r>
      <w:r w:rsidR="00FD757B" w:rsidRPr="007462A4">
        <w:rPr>
          <w:sz w:val="28"/>
          <w:szCs w:val="28"/>
        </w:rPr>
        <w:t>ключенным дого</w:t>
      </w:r>
      <w:r>
        <w:rPr>
          <w:sz w:val="28"/>
          <w:szCs w:val="28"/>
        </w:rPr>
        <w:t>ворам), а РК — 30 % (это доста</w:t>
      </w:r>
      <w:r w:rsidR="00FD757B" w:rsidRPr="007462A4">
        <w:rPr>
          <w:sz w:val="28"/>
          <w:szCs w:val="28"/>
        </w:rPr>
        <w:t>точно низкая степ</w:t>
      </w:r>
      <w:r>
        <w:rPr>
          <w:sz w:val="28"/>
          <w:szCs w:val="28"/>
        </w:rPr>
        <w:t>ень риска, означающая, что сис</w:t>
      </w:r>
      <w:r w:rsidR="00FD757B" w:rsidRPr="007462A4">
        <w:rPr>
          <w:sz w:val="28"/>
          <w:szCs w:val="28"/>
        </w:rPr>
        <w:t>тема ВК достаточ</w:t>
      </w:r>
      <w:r>
        <w:rPr>
          <w:sz w:val="28"/>
          <w:szCs w:val="28"/>
        </w:rPr>
        <w:t>но надежна), то величина РН со</w:t>
      </w:r>
      <w:r w:rsidR="00FD757B" w:rsidRPr="007462A4">
        <w:rPr>
          <w:sz w:val="28"/>
          <w:szCs w:val="28"/>
        </w:rPr>
        <w:t xml:space="preserve">ставит </w:t>
      </w:r>
      <w:r>
        <w:rPr>
          <w:sz w:val="28"/>
          <w:szCs w:val="28"/>
        </w:rPr>
        <w:t xml:space="preserve">  </w:t>
      </w:r>
    </w:p>
    <w:p w:rsidR="006E062D" w:rsidRDefault="006E062D" w:rsidP="006E062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FD757B" w:rsidRDefault="006E062D" w:rsidP="006E062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РН = 0,05 / 1,00 ∙ 0,30  = 0,1666</w:t>
      </w:r>
    </w:p>
    <w:p w:rsidR="00FD757B" w:rsidRPr="007462A4" w:rsidRDefault="006E062D" w:rsidP="006E062D">
      <w:pPr>
        <w:autoSpaceDE w:val="0"/>
        <w:autoSpaceDN w:val="0"/>
        <w:adjustRightInd w:val="0"/>
        <w:spacing w:before="883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757B" w:rsidRPr="007462A4">
        <w:rPr>
          <w:sz w:val="28"/>
          <w:szCs w:val="28"/>
        </w:rPr>
        <w:t>ри этом очевидно, что если максимал</w:t>
      </w:r>
      <w:r>
        <w:rPr>
          <w:sz w:val="28"/>
          <w:szCs w:val="28"/>
        </w:rPr>
        <w:t>ьная ве</w:t>
      </w:r>
      <w:r w:rsidR="00FD757B" w:rsidRPr="007462A4">
        <w:rPr>
          <w:sz w:val="28"/>
          <w:szCs w:val="28"/>
        </w:rPr>
        <w:t>личина РН равна 16,66 %, то необходимая степень уверенности в рез</w:t>
      </w:r>
      <w:r>
        <w:rPr>
          <w:sz w:val="28"/>
          <w:szCs w:val="28"/>
        </w:rPr>
        <w:t>ультатах работы аудитора соста</w:t>
      </w:r>
      <w:r w:rsidR="00FD757B" w:rsidRPr="007462A4">
        <w:rPr>
          <w:sz w:val="28"/>
          <w:szCs w:val="28"/>
        </w:rPr>
        <w:t>вит примерно 83 %. Поэтому должно быть протес- тировано не мене</w:t>
      </w:r>
      <w:r>
        <w:rPr>
          <w:sz w:val="28"/>
          <w:szCs w:val="28"/>
        </w:rPr>
        <w:t>е 83 % всей совокупности инфор</w:t>
      </w:r>
      <w:r w:rsidR="00FD757B" w:rsidRPr="007462A4">
        <w:rPr>
          <w:sz w:val="28"/>
          <w:szCs w:val="28"/>
        </w:rPr>
        <w:t xml:space="preserve">мации клиента, </w:t>
      </w:r>
      <w:r>
        <w:rPr>
          <w:sz w:val="28"/>
          <w:szCs w:val="28"/>
        </w:rPr>
        <w:t>касающейся составления финансо</w:t>
      </w:r>
      <w:r w:rsidR="00FD757B" w:rsidRPr="007462A4">
        <w:rPr>
          <w:sz w:val="28"/>
          <w:szCs w:val="28"/>
        </w:rPr>
        <w:t xml:space="preserve">вой отчетности. </w:t>
      </w:r>
    </w:p>
    <w:p w:rsidR="00FD757B" w:rsidRPr="007462A4" w:rsidRDefault="00FD757B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Таким образом</w:t>
      </w:r>
      <w:r w:rsidR="006E062D">
        <w:rPr>
          <w:sz w:val="28"/>
          <w:szCs w:val="28"/>
        </w:rPr>
        <w:t>, необходимая степень уверенно</w:t>
      </w:r>
      <w:r w:rsidRPr="007462A4">
        <w:rPr>
          <w:sz w:val="28"/>
          <w:szCs w:val="28"/>
        </w:rPr>
        <w:t xml:space="preserve">сти обеспечивается равнозначным объемом отбора объектов для детального контроля. </w:t>
      </w:r>
    </w:p>
    <w:p w:rsidR="00FD757B" w:rsidRPr="007462A4" w:rsidRDefault="00FD757B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Следует отметить, что рассмотренная модель аудиторского риска не лишена недостатков, а именно:</w:t>
      </w:r>
    </w:p>
    <w:p w:rsidR="00FD757B" w:rsidRPr="007462A4" w:rsidRDefault="00FD757B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 xml:space="preserve">• </w:t>
      </w:r>
      <w:r w:rsidRPr="007462A4">
        <w:rPr>
          <w:sz w:val="28"/>
          <w:szCs w:val="28"/>
        </w:rPr>
        <w:t>оценки приемлемого аудиторского риска, внутреннего риск</w:t>
      </w:r>
      <w:r w:rsidR="006E062D">
        <w:rPr>
          <w:sz w:val="28"/>
          <w:szCs w:val="28"/>
        </w:rPr>
        <w:t>а и риска контроля в значитель</w:t>
      </w:r>
      <w:r w:rsidRPr="007462A4">
        <w:rPr>
          <w:sz w:val="28"/>
          <w:szCs w:val="28"/>
        </w:rPr>
        <w:t xml:space="preserve">ной степени субъективны; </w:t>
      </w:r>
    </w:p>
    <w:p w:rsidR="00FD757B" w:rsidRPr="007462A4" w:rsidRDefault="00FD757B" w:rsidP="007462A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7462A4">
        <w:rPr>
          <w:b/>
          <w:bCs/>
          <w:sz w:val="28"/>
          <w:szCs w:val="28"/>
        </w:rPr>
        <w:t xml:space="preserve">• </w:t>
      </w:r>
      <w:r w:rsidRPr="007462A4">
        <w:rPr>
          <w:sz w:val="28"/>
          <w:szCs w:val="28"/>
        </w:rPr>
        <w:t xml:space="preserve">это модель планирования, поэтому при оценке результатов аудита ее использование не всегда представляется возможным. </w:t>
      </w:r>
    </w:p>
    <w:p w:rsidR="00FD757B" w:rsidRDefault="00FD757B" w:rsidP="007462A4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Как показал</w:t>
      </w:r>
      <w:r w:rsidR="006E062D">
        <w:rPr>
          <w:sz w:val="28"/>
          <w:szCs w:val="28"/>
        </w:rPr>
        <w:t>и исследования, многие аудитор</w:t>
      </w:r>
      <w:r w:rsidRPr="007462A4">
        <w:rPr>
          <w:sz w:val="28"/>
          <w:szCs w:val="28"/>
        </w:rPr>
        <w:t>ские фирмы, для того чтобы сп</w:t>
      </w:r>
      <w:r w:rsidR="006E062D">
        <w:rPr>
          <w:sz w:val="28"/>
          <w:szCs w:val="28"/>
        </w:rPr>
        <w:t>равиться с про</w:t>
      </w:r>
      <w:r w:rsidRPr="007462A4">
        <w:rPr>
          <w:sz w:val="28"/>
          <w:szCs w:val="28"/>
        </w:rPr>
        <w:t>блемой субъективности, не пытаются применять числовых знач</w:t>
      </w:r>
      <w:r w:rsidR="006E062D">
        <w:rPr>
          <w:sz w:val="28"/>
          <w:szCs w:val="28"/>
        </w:rPr>
        <w:t>ений к уровням риска, а обозна</w:t>
      </w:r>
      <w:r w:rsidRPr="007462A4">
        <w:rPr>
          <w:sz w:val="28"/>
          <w:szCs w:val="28"/>
        </w:rPr>
        <w:t xml:space="preserve">чают их как "высокий", </w:t>
      </w:r>
      <w:r w:rsidR="006E062D">
        <w:rPr>
          <w:sz w:val="28"/>
          <w:szCs w:val="28"/>
        </w:rPr>
        <w:t>"средний" и "низкий".</w:t>
      </w:r>
    </w:p>
    <w:p w:rsidR="00A6638A" w:rsidRPr="00A6638A" w:rsidRDefault="00AB412F" w:rsidP="007462A4">
      <w:pPr>
        <w:autoSpaceDE w:val="0"/>
        <w:autoSpaceDN w:val="0"/>
        <w:adjustRightInd w:val="0"/>
        <w:spacing w:before="14" w:line="36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Таблица 2.                                                                                                  Варианты оценки аудиторского риска.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1"/>
        <w:gridCol w:w="1981"/>
        <w:gridCol w:w="1981"/>
        <w:gridCol w:w="1981"/>
      </w:tblGrid>
      <w:tr w:rsidR="00AB412F" w:rsidRPr="00EB2487" w:rsidTr="00EB2487">
        <w:tc>
          <w:tcPr>
            <w:tcW w:w="5943" w:type="dxa"/>
            <w:gridSpan w:val="3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Значения элементов риска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Риск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Степень уверенности</w:t>
            </w:r>
          </w:p>
        </w:tc>
      </w:tr>
      <w:tr w:rsidR="00AB412F" w:rsidRPr="00EB2487" w:rsidTr="00EB2487">
        <w:tc>
          <w:tcPr>
            <w:tcW w:w="1981" w:type="dxa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ВР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РН при ОАР=0,5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6E062D" w:rsidRPr="00EB2487" w:rsidTr="00EB2487">
        <w:tc>
          <w:tcPr>
            <w:tcW w:w="1981" w:type="dxa"/>
            <w:shd w:val="clear" w:color="auto" w:fill="auto"/>
            <w:vAlign w:val="center"/>
          </w:tcPr>
          <w:p w:rsidR="006E062D" w:rsidRPr="00EB2487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  <w:r w:rsidRPr="00EB2487">
              <w:rPr>
                <w:i/>
                <w:iCs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EB2487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  <w:r w:rsidRPr="00EB2487">
              <w:rPr>
                <w:i/>
                <w:iCs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EB2487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  <w:r w:rsidRPr="00EB2487">
              <w:rPr>
                <w:i/>
                <w:iCs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EB2487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  <w:r w:rsidRPr="00EB2487">
              <w:rPr>
                <w:i/>
                <w:iCs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EB2487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</w:rPr>
            </w:pPr>
            <w:r w:rsidRPr="00EB2487">
              <w:rPr>
                <w:i/>
                <w:iCs/>
              </w:rPr>
              <w:t>5</w:t>
            </w:r>
          </w:p>
        </w:tc>
      </w:tr>
      <w:tr w:rsidR="006E062D" w:rsidRPr="00EB2487" w:rsidTr="00EB2487"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0,5 - 0,6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0,33 – 0,28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низкий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высокая</w:t>
            </w:r>
          </w:p>
        </w:tc>
      </w:tr>
      <w:tr w:rsidR="006E062D" w:rsidRPr="00EB2487" w:rsidTr="00EB2487"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0,8 – 0,9 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0,10 – 0,09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средний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средняя</w:t>
            </w:r>
          </w:p>
        </w:tc>
      </w:tr>
      <w:tr w:rsidR="006E062D" w:rsidRPr="00EB2487" w:rsidTr="00EB2487">
        <w:tc>
          <w:tcPr>
            <w:tcW w:w="1981" w:type="dxa"/>
            <w:shd w:val="clear" w:color="auto" w:fill="auto"/>
            <w:vAlign w:val="center"/>
          </w:tcPr>
          <w:p w:rsidR="00AB412F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0,8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0,63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высокий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низкая</w:t>
            </w:r>
          </w:p>
        </w:tc>
      </w:tr>
      <w:tr w:rsidR="006E062D" w:rsidRPr="00EB2487" w:rsidTr="00EB2487"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1,0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0,05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тотальный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E062D" w:rsidRPr="00AB412F" w:rsidRDefault="00AB412F" w:rsidP="00EB248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отсутствует</w:t>
            </w:r>
          </w:p>
        </w:tc>
      </w:tr>
    </w:tbl>
    <w:p w:rsidR="00FD757B" w:rsidRPr="007462A4" w:rsidRDefault="00FD757B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D757B" w:rsidRPr="007462A4" w:rsidRDefault="00FD757B" w:rsidP="007462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 xml:space="preserve">Что касается </w:t>
      </w:r>
      <w:r w:rsidR="00AB412F">
        <w:rPr>
          <w:sz w:val="28"/>
          <w:szCs w:val="28"/>
        </w:rPr>
        <w:t>второго недостатка модели ауди</w:t>
      </w:r>
      <w:r w:rsidRPr="007462A4">
        <w:rPr>
          <w:sz w:val="28"/>
          <w:szCs w:val="28"/>
        </w:rPr>
        <w:t xml:space="preserve">торского риска, то </w:t>
      </w:r>
      <w:r w:rsidR="00AB412F">
        <w:rPr>
          <w:sz w:val="28"/>
          <w:szCs w:val="28"/>
        </w:rPr>
        <w:t>следует отметить, что после то</w:t>
      </w:r>
      <w:r w:rsidRPr="007462A4">
        <w:rPr>
          <w:sz w:val="28"/>
          <w:szCs w:val="28"/>
        </w:rPr>
        <w:t xml:space="preserve">го как будут оценены все риски и на их основе разработан общий план аудита, составляющие плана по ВР и </w:t>
      </w:r>
      <w:r w:rsidR="00AB412F">
        <w:rPr>
          <w:sz w:val="28"/>
          <w:szCs w:val="28"/>
        </w:rPr>
        <w:t>РК не подлежат изменению на ос</w:t>
      </w:r>
      <w:r w:rsidRPr="007462A4">
        <w:rPr>
          <w:sz w:val="28"/>
          <w:szCs w:val="28"/>
        </w:rPr>
        <w:t>нове полученных резул</w:t>
      </w:r>
      <w:r w:rsidR="00AB412F">
        <w:rPr>
          <w:sz w:val="28"/>
          <w:szCs w:val="28"/>
        </w:rPr>
        <w:t>ьтатов аудита. Это означа</w:t>
      </w:r>
      <w:r w:rsidRPr="007462A4">
        <w:rPr>
          <w:sz w:val="28"/>
          <w:szCs w:val="28"/>
        </w:rPr>
        <w:t>ет, что если а</w:t>
      </w:r>
      <w:r w:rsidR="00AB412F">
        <w:rPr>
          <w:sz w:val="28"/>
          <w:szCs w:val="28"/>
        </w:rPr>
        <w:t>удитор выявит ошибки ниже мини</w:t>
      </w:r>
      <w:r w:rsidRPr="007462A4">
        <w:rPr>
          <w:sz w:val="28"/>
          <w:szCs w:val="28"/>
        </w:rPr>
        <w:t>мальной границы предельно допустимого размера ошибки (ПДРО), то для данного объекта уровень риска считаетс</w:t>
      </w:r>
      <w:r w:rsidR="00AB412F">
        <w:rPr>
          <w:sz w:val="28"/>
          <w:szCs w:val="28"/>
        </w:rPr>
        <w:t>я приемлемым. Однако если ауди</w:t>
      </w:r>
      <w:r w:rsidRPr="007462A4">
        <w:rPr>
          <w:sz w:val="28"/>
          <w:szCs w:val="28"/>
        </w:rPr>
        <w:t>тором будут обнаружены ошибки, превышающие ПДРО, то от мо</w:t>
      </w:r>
      <w:r w:rsidR="00AB412F">
        <w:rPr>
          <w:sz w:val="28"/>
          <w:szCs w:val="28"/>
        </w:rPr>
        <w:t>дели следует отклониться и про</w:t>
      </w:r>
      <w:r w:rsidRPr="007462A4">
        <w:rPr>
          <w:sz w:val="28"/>
          <w:szCs w:val="28"/>
        </w:rPr>
        <w:t>вести достаточно</w:t>
      </w:r>
      <w:r w:rsidR="00AB412F">
        <w:rPr>
          <w:sz w:val="28"/>
          <w:szCs w:val="28"/>
        </w:rPr>
        <w:t>е количество контрольных проце</w:t>
      </w:r>
      <w:r w:rsidRPr="007462A4">
        <w:rPr>
          <w:sz w:val="28"/>
          <w:szCs w:val="28"/>
        </w:rPr>
        <w:t>дур, чтобы обеспечить уверенность в надежности идентификаци</w:t>
      </w:r>
      <w:r w:rsidR="00AB412F">
        <w:rPr>
          <w:sz w:val="28"/>
          <w:szCs w:val="28"/>
        </w:rPr>
        <w:t>и выявленных ошибок и количест</w:t>
      </w:r>
      <w:r w:rsidRPr="007462A4">
        <w:rPr>
          <w:sz w:val="28"/>
          <w:szCs w:val="28"/>
        </w:rPr>
        <w:t xml:space="preserve">венно определить их значение. </w:t>
      </w:r>
    </w:p>
    <w:p w:rsidR="00FD757B" w:rsidRPr="007462A4" w:rsidRDefault="00FD757B" w:rsidP="007462A4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 xml:space="preserve">Иными словами, оценка аудиторского риска позволяет разработать общий план и программы аудита в первом </w:t>
      </w:r>
      <w:r w:rsidR="00AB412F">
        <w:rPr>
          <w:sz w:val="28"/>
          <w:szCs w:val="28"/>
        </w:rPr>
        <w:t>варианте. При выявлении указан</w:t>
      </w:r>
      <w:r w:rsidRPr="007462A4">
        <w:rPr>
          <w:sz w:val="28"/>
          <w:szCs w:val="28"/>
        </w:rPr>
        <w:t>ных отклонений</w:t>
      </w:r>
      <w:r w:rsidR="00AB412F">
        <w:rPr>
          <w:sz w:val="28"/>
          <w:szCs w:val="28"/>
        </w:rPr>
        <w:t xml:space="preserve"> в ходе выполнения аудита доку</w:t>
      </w:r>
      <w:r w:rsidRPr="007462A4">
        <w:rPr>
          <w:sz w:val="28"/>
          <w:szCs w:val="28"/>
        </w:rPr>
        <w:t xml:space="preserve">менты планирования подлежат корректировке в части увеличения объема аудируемых объектов и дополнительных контрольных процедур с тем, чтобы обеспечить уровень риска необнаружения, соответствующий приемлемому уровню OAP (см. гр. 3 табл. 2). </w:t>
      </w:r>
    </w:p>
    <w:p w:rsidR="00FD757B" w:rsidRPr="007462A4" w:rsidRDefault="00FD757B" w:rsidP="00AB412F">
      <w:pPr>
        <w:autoSpaceDE w:val="0"/>
        <w:autoSpaceDN w:val="0"/>
        <w:adjustRightInd w:val="0"/>
        <w:spacing w:before="24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Таким образом, процедура оценки аудиторского риска обосновывает планирование аудита в части содержания обще</w:t>
      </w:r>
      <w:r w:rsidR="00AB412F">
        <w:rPr>
          <w:sz w:val="28"/>
          <w:szCs w:val="28"/>
        </w:rPr>
        <w:t>го плана, программ аудита, гра</w:t>
      </w:r>
      <w:r w:rsidRPr="007462A4">
        <w:rPr>
          <w:sz w:val="28"/>
          <w:szCs w:val="28"/>
        </w:rPr>
        <w:t>фиков работы асс</w:t>
      </w:r>
      <w:r w:rsidR="00AB412F">
        <w:rPr>
          <w:sz w:val="28"/>
          <w:szCs w:val="28"/>
        </w:rPr>
        <w:t>истентов аудиторов, что закреп</w:t>
      </w:r>
      <w:r w:rsidRPr="007462A4">
        <w:rPr>
          <w:sz w:val="28"/>
          <w:szCs w:val="28"/>
        </w:rPr>
        <w:t xml:space="preserve">лено в МСА 300 «Планирование». </w:t>
      </w:r>
    </w:p>
    <w:p w:rsidR="00FD757B" w:rsidRPr="007462A4" w:rsidRDefault="00FD757B" w:rsidP="00AB412F">
      <w:pPr>
        <w:autoSpaceDE w:val="0"/>
        <w:autoSpaceDN w:val="0"/>
        <w:adjustRightInd w:val="0"/>
        <w:spacing w:before="9"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Общий план аудита должен содержать общий перечень объектов, подлежащих аудированию, с указанием бюджета времени на выполнение работ по каждому из них и в целом. При этом итоговый показа</w:t>
      </w:r>
      <w:r w:rsidR="00AB412F">
        <w:rPr>
          <w:sz w:val="28"/>
          <w:szCs w:val="28"/>
        </w:rPr>
        <w:t>тель бюджета времени для аудиро</w:t>
      </w:r>
      <w:r w:rsidRPr="007462A4">
        <w:rPr>
          <w:sz w:val="28"/>
          <w:szCs w:val="28"/>
        </w:rPr>
        <w:t>вания деятельности кли</w:t>
      </w:r>
      <w:r w:rsidR="00AB412F">
        <w:rPr>
          <w:sz w:val="28"/>
          <w:szCs w:val="28"/>
        </w:rPr>
        <w:t>ента, обозначенный в общем пла</w:t>
      </w:r>
      <w:r w:rsidRPr="007462A4">
        <w:rPr>
          <w:sz w:val="28"/>
          <w:szCs w:val="28"/>
        </w:rPr>
        <w:t>не, должен соответствовать срокам выполнения работ, указанным</w:t>
      </w:r>
      <w:r w:rsidR="00AB412F">
        <w:rPr>
          <w:sz w:val="28"/>
          <w:szCs w:val="28"/>
        </w:rPr>
        <w:t xml:space="preserve"> в договоре с клиентом. </w:t>
      </w:r>
    </w:p>
    <w:p w:rsidR="00AB412F" w:rsidRDefault="00FD757B" w:rsidP="00AB41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Для выполне</w:t>
      </w:r>
      <w:r w:rsidR="00AB412F">
        <w:rPr>
          <w:sz w:val="28"/>
          <w:szCs w:val="28"/>
        </w:rPr>
        <w:t>ния общего плана аудита необхо</w:t>
      </w:r>
      <w:r w:rsidRPr="007462A4">
        <w:rPr>
          <w:sz w:val="28"/>
          <w:szCs w:val="28"/>
        </w:rPr>
        <w:t>дима дальнейш</w:t>
      </w:r>
      <w:r w:rsidR="00AB412F">
        <w:rPr>
          <w:sz w:val="28"/>
          <w:szCs w:val="28"/>
        </w:rPr>
        <w:t>ая конкретизация каждого укруп</w:t>
      </w:r>
      <w:r w:rsidRPr="007462A4">
        <w:rPr>
          <w:sz w:val="28"/>
          <w:szCs w:val="28"/>
        </w:rPr>
        <w:t>ненного объекта</w:t>
      </w:r>
      <w:r w:rsidR="00AB412F">
        <w:rPr>
          <w:sz w:val="28"/>
          <w:szCs w:val="28"/>
        </w:rPr>
        <w:t>, определение масштаба аудитор</w:t>
      </w:r>
      <w:r w:rsidRPr="007462A4">
        <w:rPr>
          <w:sz w:val="28"/>
          <w:szCs w:val="28"/>
        </w:rPr>
        <w:t>ских процедур, сроков их выполнения, а также назначение конкретных исполнителей — ауди</w:t>
      </w:r>
      <w:r w:rsidR="00AB412F">
        <w:rPr>
          <w:sz w:val="28"/>
          <w:szCs w:val="28"/>
        </w:rPr>
        <w:t>то</w:t>
      </w:r>
      <w:r w:rsidRPr="007462A4">
        <w:rPr>
          <w:sz w:val="28"/>
          <w:szCs w:val="28"/>
        </w:rPr>
        <w:t>ров, что находит отражение в программах аудита</w:t>
      </w:r>
      <w:r w:rsidR="00AB412F">
        <w:rPr>
          <w:sz w:val="28"/>
          <w:szCs w:val="28"/>
        </w:rPr>
        <w:t>.</w:t>
      </w:r>
    </w:p>
    <w:p w:rsidR="00FD757B" w:rsidRPr="007462A4" w:rsidRDefault="00FD757B" w:rsidP="00AB41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Для осуществ</w:t>
      </w:r>
      <w:r w:rsidR="00AB412F">
        <w:rPr>
          <w:sz w:val="28"/>
          <w:szCs w:val="28"/>
        </w:rPr>
        <w:t>ления контроля за работой асси</w:t>
      </w:r>
      <w:r w:rsidRPr="007462A4">
        <w:rPr>
          <w:sz w:val="28"/>
          <w:szCs w:val="28"/>
        </w:rPr>
        <w:t>стентов аудиторов</w:t>
      </w:r>
      <w:r w:rsidR="00AB412F">
        <w:rPr>
          <w:sz w:val="28"/>
          <w:szCs w:val="28"/>
        </w:rPr>
        <w:t xml:space="preserve"> целесообразно составление графиков</w:t>
      </w:r>
      <w:r w:rsidRPr="007462A4">
        <w:rPr>
          <w:sz w:val="28"/>
          <w:szCs w:val="28"/>
        </w:rPr>
        <w:t xml:space="preserve"> работы каждого из них, где структурные элементы объекта аудирования подразделяются на соответствующие аудиторские процедуры с тем, чтобы удобнее б</w:t>
      </w:r>
      <w:r w:rsidR="00AB412F">
        <w:rPr>
          <w:sz w:val="28"/>
          <w:szCs w:val="28"/>
        </w:rPr>
        <w:t>ыло применять уровни существен</w:t>
      </w:r>
      <w:r w:rsidRPr="007462A4">
        <w:rPr>
          <w:sz w:val="28"/>
          <w:szCs w:val="28"/>
        </w:rPr>
        <w:t>ности ошибок, бо</w:t>
      </w:r>
      <w:r w:rsidR="00AB412F">
        <w:rPr>
          <w:sz w:val="28"/>
          <w:szCs w:val="28"/>
        </w:rPr>
        <w:t>лее детально обозначить масшта</w:t>
      </w:r>
      <w:r w:rsidRPr="007462A4">
        <w:rPr>
          <w:sz w:val="28"/>
          <w:szCs w:val="28"/>
        </w:rPr>
        <w:t xml:space="preserve">бы этих процедур, сроки их выполнения. </w:t>
      </w:r>
    </w:p>
    <w:p w:rsidR="00FD757B" w:rsidRPr="007462A4" w:rsidRDefault="00FD757B" w:rsidP="00AB41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>Как видим, указанные документы отражают системный подх</w:t>
      </w:r>
      <w:r w:rsidR="00AB412F">
        <w:rPr>
          <w:sz w:val="28"/>
          <w:szCs w:val="28"/>
        </w:rPr>
        <w:t>од к организации процесса ауди</w:t>
      </w:r>
      <w:r w:rsidRPr="007462A4">
        <w:rPr>
          <w:sz w:val="28"/>
          <w:szCs w:val="28"/>
        </w:rPr>
        <w:t xml:space="preserve">та, позволяют осуществлять контроль за ходом его выполнения, </w:t>
      </w:r>
      <w:r w:rsidR="00AB412F">
        <w:rPr>
          <w:sz w:val="28"/>
          <w:szCs w:val="28"/>
        </w:rPr>
        <w:t>своевременно реагировать на от</w:t>
      </w:r>
      <w:r w:rsidRPr="007462A4">
        <w:rPr>
          <w:sz w:val="28"/>
          <w:szCs w:val="28"/>
        </w:rPr>
        <w:t>клонения от заданных сроков. Кроме того, они могут иметь юридическую силу в случае во</w:t>
      </w:r>
      <w:r w:rsidR="00AB412F">
        <w:rPr>
          <w:sz w:val="28"/>
          <w:szCs w:val="28"/>
        </w:rPr>
        <w:t>зник</w:t>
      </w:r>
      <w:r w:rsidRPr="007462A4">
        <w:rPr>
          <w:sz w:val="28"/>
          <w:szCs w:val="28"/>
        </w:rPr>
        <w:t xml:space="preserve">новения разногласий с клиентом на завершающем этапе. Поэтому </w:t>
      </w:r>
      <w:r w:rsidR="00AB412F">
        <w:rPr>
          <w:sz w:val="28"/>
          <w:szCs w:val="28"/>
        </w:rPr>
        <w:t>целесообразно ознакомить клиен</w:t>
      </w:r>
      <w:r w:rsidRPr="007462A4">
        <w:rPr>
          <w:sz w:val="28"/>
          <w:szCs w:val="28"/>
        </w:rPr>
        <w:t>та с их содержанием, согласовать предлагаемые подходы к оцен</w:t>
      </w:r>
      <w:r w:rsidR="00AB412F">
        <w:rPr>
          <w:sz w:val="28"/>
          <w:szCs w:val="28"/>
        </w:rPr>
        <w:t>ке существенности ошибок, объя</w:t>
      </w:r>
      <w:r w:rsidRPr="007462A4">
        <w:rPr>
          <w:sz w:val="28"/>
          <w:szCs w:val="28"/>
        </w:rPr>
        <w:t xml:space="preserve">сняя их установленными уровнями элементов аудиторского риска, и подписать в двухстороннем порядке. </w:t>
      </w:r>
    </w:p>
    <w:p w:rsidR="00FD757B" w:rsidRPr="007462A4" w:rsidRDefault="00FD757B" w:rsidP="00AB41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462A4">
        <w:rPr>
          <w:sz w:val="28"/>
          <w:szCs w:val="28"/>
        </w:rPr>
        <w:t xml:space="preserve">Таким образом, одной из важнейших процедур при организации </w:t>
      </w:r>
      <w:r w:rsidR="00AB412F">
        <w:rPr>
          <w:sz w:val="28"/>
          <w:szCs w:val="28"/>
        </w:rPr>
        <w:t>и планировании аудита на объек</w:t>
      </w:r>
      <w:r w:rsidRPr="007462A4">
        <w:rPr>
          <w:sz w:val="28"/>
          <w:szCs w:val="28"/>
        </w:rPr>
        <w:t>те является оцен</w:t>
      </w:r>
      <w:r w:rsidR="00AB412F">
        <w:rPr>
          <w:sz w:val="28"/>
          <w:szCs w:val="28"/>
        </w:rPr>
        <w:t>ка аудиторского риска, что пре</w:t>
      </w:r>
      <w:r w:rsidRPr="007462A4">
        <w:rPr>
          <w:sz w:val="28"/>
          <w:szCs w:val="28"/>
        </w:rPr>
        <w:t xml:space="preserve">допределяет ориентацию последующих работ на обоснованные объемы выборочных исследований с учетом определения «зон риска». </w:t>
      </w:r>
    </w:p>
    <w:p w:rsidR="00FD757B" w:rsidRPr="007462A4" w:rsidRDefault="00FD757B" w:rsidP="00AB41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D757B" w:rsidRPr="007462A4" w:rsidRDefault="00FD757B" w:rsidP="00AB412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D757B" w:rsidRPr="007462A4" w:rsidSect="00A1330E">
      <w:footerReference w:type="default" r:id="rId6"/>
      <w:pgSz w:w="12240" w:h="15840"/>
      <w:pgMar w:top="719" w:right="850" w:bottom="89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87" w:rsidRDefault="00EB2487">
      <w:r>
        <w:separator/>
      </w:r>
    </w:p>
  </w:endnote>
  <w:endnote w:type="continuationSeparator" w:id="0">
    <w:p w:rsidR="00EB2487" w:rsidRDefault="00E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B9" w:rsidRDefault="00E655BF" w:rsidP="00A95959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4838B9" w:rsidRDefault="004838B9" w:rsidP="004838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87" w:rsidRDefault="00EB2487">
      <w:r>
        <w:separator/>
      </w:r>
    </w:p>
  </w:footnote>
  <w:footnote w:type="continuationSeparator" w:id="0">
    <w:p w:rsidR="00EB2487" w:rsidRDefault="00EB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30D"/>
    <w:rsid w:val="000104BB"/>
    <w:rsid w:val="00215DBC"/>
    <w:rsid w:val="0029570F"/>
    <w:rsid w:val="00305682"/>
    <w:rsid w:val="004643DF"/>
    <w:rsid w:val="004838B9"/>
    <w:rsid w:val="00584971"/>
    <w:rsid w:val="006A72C5"/>
    <w:rsid w:val="006E04B3"/>
    <w:rsid w:val="006E062D"/>
    <w:rsid w:val="007462A4"/>
    <w:rsid w:val="00804A95"/>
    <w:rsid w:val="00826262"/>
    <w:rsid w:val="009B230D"/>
    <w:rsid w:val="00A01C02"/>
    <w:rsid w:val="00A1330E"/>
    <w:rsid w:val="00A6638A"/>
    <w:rsid w:val="00A95959"/>
    <w:rsid w:val="00AB412F"/>
    <w:rsid w:val="00D43D96"/>
    <w:rsid w:val="00E655BF"/>
    <w:rsid w:val="00EB2487"/>
    <w:rsid w:val="00F63676"/>
    <w:rsid w:val="00FD757B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8E4FED-58AD-4BFC-8873-165C7BA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3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838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8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бок в результате деятельности предприятия до проверки со стороны системы внутреннего кон- троля</vt:lpstr>
    </vt:vector>
  </TitlesOfParts>
  <Company>Семья</Company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бок в результате деятельности предприятия до проверки со стороны системы внутреннего кон- троля</dc:title>
  <dc:subject/>
  <dc:creator>Елена</dc:creator>
  <cp:keywords/>
  <dc:description/>
  <cp:lastModifiedBy>admin</cp:lastModifiedBy>
  <cp:revision>2</cp:revision>
  <cp:lastPrinted>2004-09-25T17:15:00Z</cp:lastPrinted>
  <dcterms:created xsi:type="dcterms:W3CDTF">2014-03-14T00:56:00Z</dcterms:created>
  <dcterms:modified xsi:type="dcterms:W3CDTF">2014-03-14T00:56:00Z</dcterms:modified>
</cp:coreProperties>
</file>