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5F" w:rsidRPr="002E19C1" w:rsidRDefault="00B4025F" w:rsidP="00B4025F">
      <w:pPr>
        <w:spacing w:before="120"/>
        <w:jc w:val="center"/>
        <w:rPr>
          <w:b/>
          <w:bCs/>
          <w:sz w:val="32"/>
          <w:szCs w:val="32"/>
        </w:rPr>
      </w:pPr>
      <w:r w:rsidRPr="002E19C1">
        <w:rPr>
          <w:b/>
          <w:bCs/>
          <w:sz w:val="32"/>
          <w:szCs w:val="32"/>
        </w:rPr>
        <w:t xml:space="preserve">Азербайджанские ковры и ковровые изделия 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Одним из главных определителей уровня культуры является степень развития декоративно-прикладного искусства - составной части общей материальной культуры, тесно связанной с экономической, культурной и общественно-политической жизнью народа. Изделия декоративно-прикладного искусства давали народу возможность путем формы и орнаментации передать свои эстетические взгляды, духовный мир, сложившиеся этнические традиции, а также, в зависимости от степени овладения мастерством, художественный вкус и уровень освоения техники производства. Зарождению и развитию отдельных видов ремесел способствовали такие факторы, как различные формы ведения хозяйства, с изменением которых некоторые виды ремесел теряли былую значимость и забывались народом, другие возникали и развивались. Например, с появлением и развитием фабрично-заводской промышленности, резко упал спрос на изделия таких высокоразвитых в свое время традиционных видов ремесел Азербайджана как оружейное, стекольное, суконное и другие. Но есть такие виды ремесел, которые не подвластны времени, они вечны. К их числу можно отнести ковроткачество.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Ковроткачество известно с древнейших времен и относится к высокоразвитым видам ремесел. Археологические памятники рассказывают о том, что на территории Азербайджана искусство ковроткачества было известно еще в IX веке до нашей эры. О древности ковроткачества свидетельствуют и более поздние письменные источники, например, труды таких древнегреческих, римских и арабских авторов, как Геродот, Ксенофонт, Аль-Мугаддаси. Азербайджан является одним из уникальных ковровых регионов мира, где в течение веков вырабатывалось и достигло совершенства искусство мастеров, создавших лучшие образцы ковров и ковровых изделий, начиная с простейшего - паласа, и кончая наивысшим по сложности ворсовым ковром - халча.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Все ковры и ковровые изделия Азербайджана по принятой классификации подразделяются на четыре типа: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1. Губа-Ширван (ковровые регионы - Губа, Ширван и Баку).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2. Гянджа - Казах (регионы - Гянджа и Казах).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3. Карабах (регионы - Карабах, Шуша и Джебраил).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4. Тебриз (регионы - Тебриз и Ардебиль).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В основу классификации взяты, главным образом, три основных отличительных фактора: орнамент, техника исполнения и вид коврового изделия.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Азербайджанское ковровое искусство отличается большим разнообразием ковровых композиций, насчитывающих сегодня свыше шестисот видов. Порою богатая и сложная композиция имела распространение в границах одного села, города или этнической группы, где вырабатывались эти ковры, и по традиции, как богатейшее наследие передавалась из поколения в поколение. К примеру, можно отметить некоторые ковровые композиции, названные по месту их выработки - Пиребедиль, Чичи, Афурджа, Салахлы, Шихлы, или же по названию этнической группы - Сор-сор, Джек, Грыз, Гасым ушагы, Талыш, Гара-гоюнлу и другие. Особенностью азербайджанского коврового орнамента является то, что здесь использованы изображения фитоморфного, зооморфного, антропоморфного (не взирая на запрет Ислама изображать человека) и геометрического происхождения, сильно стилизованные при их передаче на ковре. Если в далекие времена некоторые орнаментальные изображения носили определенный, ясный смысл, то с течением времени первоначальное значение изображения полностью забывалось, и данный элемент превращался в художественный орнамент без смыслового значения.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Большая часть сюжетов азербайджанского коврового орнамента свидетельствует о традиционности их в общем ремесленном производстве Азербайджана. На многочисленном материале прослеживается идентичность орнаментации по металлу, дереву, тканям, керамике и так далее. К примеру, основным мотивом ковра «Хила-бута» является орнамент «бута», встречаемый в различных исполнениях на изделиях этого вида ремесленного производства. Орнаментальные мотивы в большинстве своем заимствовались из окружающей природной среды или предметов быта. Установлено, что при создании ворсового ковра «Шильян», основой орнамента послужили пчелиные соты - символ богатства и достатка.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Азербайджанское ковровое производство представлено различной техникой исполнения. В основном ковры и ковровые изделия делятся на две большие группы: безворсовые и ворсовые. К безворсовым ковровым изделиям относятся: палас, килим, сумах, зили, шадде и верни. В свою очередь, эта группа подразделяется на изделия с простым переплетением основы и утка - палас и килим, и сложным переплетением - сумах, зили, шадде и верни. Наивысшей сложности техника ковроткачества достигает при изготовлении ворсовых ковров. Здесь используется совершенно новая технология - на каждые две нити основы накладывается ворсовый узел, что и позволяет передать на ковре многочисленные орнаментальные изображения любой формы и размера.Отличительной особенностью азербайджанского ворсового ковра является очень большая плотность узлов. Плотность ковра определяется количеством узлов на квадратный дециметр. В зависимости от района выработки на каждый квадратный дециметр изделия приходится от 1.600 (40 х 40) до 4.900 (70 х 70) ворсовых узлов.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В ковроткачестве используются в основном семь цветов красителей пряжи с различными оттенками. Азербайджанские мастера в течение долгих столетий выработали рецептуру красителей, получаемых из окружающей флоры. Естественные красители, в отличие от химических, не разрушают структуру шерстяных волокон и придают им блеск и сочность красок. В совершенстве овладев техникой коврового производства, азербайджанские ковровщицы стали изготавливать такие сложные по технике исполнения изделия, как ковровый комплект (даст), состоящий из большого центрального, двух боковых и одного головного ковра, объединенных одной композицией; молитвенный ковер (намазлыг), сюжетно-тематический и другие.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Ковры удовлетворяли не только эстетическим запросам народа, но и его повседневным нуждам, при этом главное назначение ковра было бытовым. Его использовали в основном для утепления жилища. Широко были распространены ковровые изделия, используемые для различных хозяйственных и бытовых нужд - мафраши, выполняемые в технике безворсового ткачества; переметные сумы - хурджун, хейбе; изделия для хранения сыпучих продуктов - чувал; различные по назначению попоны - чул; надседельники - яхар усту и другие.</w:t>
      </w:r>
    </w:p>
    <w:p w:rsidR="00B4025F" w:rsidRDefault="00B4025F" w:rsidP="00B4025F">
      <w:pPr>
        <w:spacing w:before="120"/>
        <w:ind w:firstLine="567"/>
        <w:jc w:val="both"/>
      </w:pPr>
      <w:r w:rsidRPr="002E19C1">
        <w:t>Сегодня лучшие образцы азербайджанского коврового искусства представлены в крупнейших музеях мира, в частности в Музее Виктории и Альберта в Лондоне, что свидетельствует о высоком уровне развития древней и вечно молодой культуры азербайджанского народа.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25F"/>
    <w:rsid w:val="000146EB"/>
    <w:rsid w:val="00095BA6"/>
    <w:rsid w:val="002E19C1"/>
    <w:rsid w:val="0031418A"/>
    <w:rsid w:val="005A2562"/>
    <w:rsid w:val="008979C6"/>
    <w:rsid w:val="0090783C"/>
    <w:rsid w:val="00A44D32"/>
    <w:rsid w:val="00B4025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CA700D-3E2F-4987-A192-3A137A02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5531</Characters>
  <Application>Microsoft Office Word</Application>
  <DocSecurity>0</DocSecurity>
  <Lines>46</Lines>
  <Paragraphs>12</Paragraphs>
  <ScaleCrop>false</ScaleCrop>
  <Company>Home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Азербайджанские ковры и ковровые изделия </dc:title>
  <dc:subject/>
  <dc:creator>Alena</dc:creator>
  <cp:keywords/>
  <dc:description/>
  <cp:lastModifiedBy>admin</cp:lastModifiedBy>
  <cp:revision>2</cp:revision>
  <dcterms:created xsi:type="dcterms:W3CDTF">2014-02-18T05:49:00Z</dcterms:created>
  <dcterms:modified xsi:type="dcterms:W3CDTF">2014-02-18T05:49:00Z</dcterms:modified>
</cp:coreProperties>
</file>