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5B5D01" w:rsidP="005B5D01">
      <w:pPr>
        <w:pStyle w:val="aff2"/>
      </w:pPr>
    </w:p>
    <w:p w:rsidR="005B5D01" w:rsidRDefault="008718D7" w:rsidP="005B5D01">
      <w:pPr>
        <w:pStyle w:val="aff2"/>
      </w:pPr>
      <w:r w:rsidRPr="005B5D01">
        <w:t xml:space="preserve">Банк </w:t>
      </w:r>
      <w:r w:rsidR="005B5D01">
        <w:t>-</w:t>
      </w:r>
      <w:r w:rsidRPr="005B5D01">
        <w:t xml:space="preserve"> элемент рыночной инфраструктуры</w:t>
      </w:r>
    </w:p>
    <w:p w:rsidR="005B5D01" w:rsidRPr="005B5D01" w:rsidRDefault="005B5D01" w:rsidP="005B5D01">
      <w:pPr>
        <w:pStyle w:val="2"/>
      </w:pPr>
      <w:r>
        <w:br w:type="page"/>
      </w:r>
      <w:r w:rsidR="008718D7" w:rsidRPr="005B5D01">
        <w:lastRenderedPageBreak/>
        <w:t>1</w:t>
      </w:r>
      <w:r w:rsidRPr="005B5D01">
        <w:t xml:space="preserve">. </w:t>
      </w:r>
      <w:r>
        <w:t>Р</w:t>
      </w:r>
      <w:r w:rsidRPr="005B5D01">
        <w:t>оль банка в экономике</w:t>
      </w:r>
    </w:p>
    <w:p w:rsidR="005B5D01" w:rsidRDefault="005B5D01" w:rsidP="005B5D01">
      <w:pPr>
        <w:ind w:firstLine="709"/>
        <w:rPr>
          <w:lang w:eastAsia="en-US"/>
        </w:rPr>
      </w:pP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Банки являются финансовыми посредниками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они аккумулируют временно свободные денежные средства хозяйствующих субъектов и населения и предоставляют их во временное пользование тем экономическим субъектам, которые испытывают временную потребность в дополнительных деньгах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За счет разницы процентных ставок по кредитам и депозитам формируются процентные доходы банков, а из процентных доходов формируется часть прибыли банков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Банки обеспечивают</w:t>
      </w:r>
      <w:r w:rsidR="005B5D01" w:rsidRPr="005B5D01">
        <w:rPr>
          <w:lang w:eastAsia="en-US"/>
        </w:rPr>
        <w:t>: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трансформацию по объему, </w:t>
      </w:r>
      <w:r w:rsidR="005B5D01">
        <w:rPr>
          <w:lang w:eastAsia="en-US"/>
        </w:rPr>
        <w:t>т.е.</w:t>
      </w:r>
      <w:r w:rsidR="005B5D01" w:rsidRPr="005B5D01">
        <w:rPr>
          <w:lang w:eastAsia="en-US"/>
        </w:rPr>
        <w:t xml:space="preserve"> </w:t>
      </w:r>
      <w:r w:rsidRPr="005B5D01">
        <w:rPr>
          <w:lang w:eastAsia="en-US"/>
        </w:rPr>
        <w:t>за счет относительно небольших вкладов банки могут выдавать относительно большие по размеру кредиты</w:t>
      </w:r>
      <w:r w:rsidR="005B5D01" w:rsidRPr="005B5D01">
        <w:rPr>
          <w:lang w:eastAsia="en-US"/>
        </w:rPr>
        <w:t>.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трансформация по срокам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за счет более быстрой оборачиваемости депозитов, банк, используя вклады на относительно небольшой срок, может выдавать относительно долгосрочные кредиты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Трансформация рисков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аккумулированные деньги банки выдают в виде кредитов физ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и юр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лицам, предприятиям различных отраслей экономики, тем самым обеспечивая диверсификацию своего кредитного портфеля в том случае, если какой-либо кредит не будет возвращен, то за счет доходов по другим кредитам банк сможет выполнить свои обязательства перед вкладчиком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Таким образом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риск потерять вклад в банк в среднем меньше, чем риск потерять денежные средства, предоставленные в долг непосредственно другому предприятию</w:t>
      </w:r>
      <w:r w:rsidR="005B5D01" w:rsidRPr="005B5D01">
        <w:rPr>
          <w:lang w:eastAsia="en-US"/>
        </w:rPr>
        <w:t>.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Закон Украины о банках и банковской деятельности №2121-</w:t>
      </w:r>
      <w:r w:rsidRPr="005B5D01">
        <w:rPr>
          <w:lang w:val="en-US" w:eastAsia="en-US"/>
        </w:rPr>
        <w:t>III</w:t>
      </w:r>
      <w:r w:rsidRPr="005B5D01">
        <w:rPr>
          <w:lang w:eastAsia="en-US"/>
        </w:rPr>
        <w:t xml:space="preserve"> от 07</w:t>
      </w:r>
      <w:r w:rsidR="005B5D01">
        <w:rPr>
          <w:lang w:eastAsia="en-US"/>
        </w:rPr>
        <w:t>.12.20</w:t>
      </w:r>
      <w:r w:rsidRPr="005B5D01">
        <w:rPr>
          <w:lang w:eastAsia="en-US"/>
        </w:rPr>
        <w:t>00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Банк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это юридическое лицо, которое имеет исключительное право, на основании лицензии национального банка Украины, осуществляет в совокупности следующие операции</w:t>
      </w:r>
      <w:r w:rsidR="005B5D01" w:rsidRPr="005B5D01">
        <w:rPr>
          <w:lang w:eastAsia="en-US"/>
        </w:rPr>
        <w:t>: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привлечение во вклады денежных средств физ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и юр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размещение указанных средств от своего имени, на собственных условиях и на собственный риск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открытие и ведение банковских счетов физ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и юр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Коммерческие банки являются экономически независимыми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Банки могут быть универсальными и специализированные</w:t>
      </w:r>
      <w:r w:rsidR="005B5D01" w:rsidRPr="005B5D01">
        <w:rPr>
          <w:lang w:eastAsia="en-US"/>
        </w:rPr>
        <w:t>: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сберегательные </w:t>
      </w:r>
      <w:r w:rsidR="005B5D01">
        <w:rPr>
          <w:lang w:eastAsia="en-US"/>
        </w:rPr>
        <w:t>-</w:t>
      </w:r>
      <w:r w:rsidR="005B5D01" w:rsidRPr="005B5D01">
        <w:rPr>
          <w:lang w:eastAsia="en-US"/>
        </w:rPr>
        <w:t xml:space="preserve"> </w:t>
      </w:r>
      <w:r w:rsidRPr="005B5D01">
        <w:rPr>
          <w:lang w:eastAsia="en-US"/>
        </w:rPr>
        <w:t>вклады физ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лиц, формирует свои ресурсы за счет вкладов физ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&gt;50%вкладов</w:t>
      </w:r>
      <w:r w:rsidR="005B5D01" w:rsidRPr="005B5D01">
        <w:rPr>
          <w:lang w:eastAsia="en-US"/>
        </w:rPr>
        <w:t>)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в других случаях банк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специализированный, если &gt;50% его активов являются активами одного типа</w:t>
      </w:r>
      <w:r w:rsidR="005B5D01" w:rsidRPr="005B5D01">
        <w:rPr>
          <w:lang w:eastAsia="en-US"/>
        </w:rPr>
        <w:t>: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инвестиционные</w:t>
      </w:r>
      <w:r w:rsidR="005B5D01" w:rsidRPr="005B5D01">
        <w:rPr>
          <w:lang w:eastAsia="en-US"/>
        </w:rPr>
        <w:t xml:space="preserve"> - </w:t>
      </w:r>
      <w:r w:rsidRPr="005B5D01">
        <w:rPr>
          <w:lang w:eastAsia="en-US"/>
        </w:rPr>
        <w:t>&gt;50% активов вложены в ценные бумаги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ипотечные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&gt;50% активов кредитование под залог недвижимости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клиринговые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Банки создаются в форме АО, ООО, а также могут быть созданы гос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банки и кооперативные банки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Государственный банк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это банк, 100% капитала которого принадлежит государству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Создается такой банк по решению Кабмина Украины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КМУ</w:t>
      </w:r>
      <w:r w:rsidR="005B5D01" w:rsidRPr="005B5D01">
        <w:rPr>
          <w:lang w:eastAsia="en-US"/>
        </w:rPr>
        <w:t xml:space="preserve">). </w:t>
      </w:r>
      <w:r w:rsidRPr="005B5D01">
        <w:rPr>
          <w:lang w:eastAsia="en-US"/>
        </w:rPr>
        <w:t>Деньги выделяется из гос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бюджета Украины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Сбербанк, УкрЕксИмБанк</w:t>
      </w:r>
      <w:r w:rsidR="005B5D01" w:rsidRPr="005B5D01">
        <w:rPr>
          <w:lang w:eastAsia="en-US"/>
        </w:rPr>
        <w:t xml:space="preserve">). </w:t>
      </w:r>
      <w:r w:rsidRPr="005B5D01">
        <w:rPr>
          <w:lang w:eastAsia="en-US"/>
        </w:rPr>
        <w:t>КМУ необходимо получить положительное заключение НБУ для создания гос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банка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Гос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банк в данном случае будет относится к коммерческим банкам, поскольку целью его будет получение прибыли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Такие банки, как правило, создаются для кредитования приоритетных с т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з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государства отраслей и предприятий, направлений в целом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Кооперативные банки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создаются по принципу территориальности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Делятся на местные и центральные банки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Минимальное количество участников местного кооперативного банка должно быть не менее 50 лиц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Кооперативный банк создается для обслуживания интересов его участников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Участниками центрального кооперативного банка являются местные кооперативные банки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Центральный кооперативный банк осуществляет централизацию и перераспределение ресурсов, аккумулированных местными кооперативными банками, а также осуществляет контроль над их деятельностью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Уставной капитал кооперативного банка делится на паи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Каждый участник кооперативного банка имеет право одного голоса, но прибыли и убытки распределяются пропорционально размеру пая</w:t>
      </w:r>
      <w:r w:rsidR="005B5D01" w:rsidRPr="005B5D01">
        <w:rPr>
          <w:lang w:eastAsia="en-US"/>
        </w:rPr>
        <w:t>.</w:t>
      </w:r>
    </w:p>
    <w:p w:rsidR="005B5D01" w:rsidRDefault="005B5D01" w:rsidP="005B5D01">
      <w:pPr>
        <w:ind w:firstLine="709"/>
        <w:rPr>
          <w:lang w:eastAsia="en-US"/>
        </w:rPr>
      </w:pPr>
    </w:p>
    <w:p w:rsidR="005B5D01" w:rsidRPr="005B5D01" w:rsidRDefault="008718D7" w:rsidP="005B5D01">
      <w:pPr>
        <w:pStyle w:val="2"/>
      </w:pPr>
      <w:r w:rsidRPr="005B5D01">
        <w:t>2</w:t>
      </w:r>
      <w:r w:rsidR="005B5D01" w:rsidRPr="005B5D01">
        <w:t xml:space="preserve">. </w:t>
      </w:r>
      <w:r w:rsidR="005B5D01">
        <w:t>Б</w:t>
      </w:r>
      <w:r w:rsidR="005B5D01" w:rsidRPr="005B5D01">
        <w:t>анковские объединения</w:t>
      </w:r>
    </w:p>
    <w:p w:rsidR="005B5D01" w:rsidRDefault="005B5D01" w:rsidP="005B5D01">
      <w:pPr>
        <w:ind w:firstLine="709"/>
        <w:rPr>
          <w:lang w:eastAsia="en-US"/>
        </w:rPr>
      </w:pP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 ним относятся</w:t>
      </w:r>
      <w:r w:rsidR="005B5D01" w:rsidRPr="005B5D01">
        <w:rPr>
          <w:lang w:eastAsia="en-US"/>
        </w:rPr>
        <w:t>: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банковская корпорация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банковская холдинговая группа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финансовая холдинговая группа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Для их создания необходимо согласие и регистрация НБУ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Банк может быть участником только одного банковского объединения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Участники несут ответственность по обязательствам других участников в соответствии с заключенным договорами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Ликвидация банковского объединения не обязательно связано с прекращением деятельности его участников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Банковская корпорация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это юр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лицо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банк</w:t>
      </w:r>
      <w:r w:rsidR="005B5D01" w:rsidRPr="005B5D01">
        <w:rPr>
          <w:lang w:eastAsia="en-US"/>
        </w:rPr>
        <w:t>),</w:t>
      </w:r>
      <w:r w:rsidRPr="005B5D01">
        <w:rPr>
          <w:lang w:eastAsia="en-US"/>
        </w:rPr>
        <w:t xml:space="preserve"> учредителями и акционерами которого могут быть только банки</w:t>
      </w:r>
      <w:r w:rsidR="005B5D01" w:rsidRPr="005B5D01">
        <w:rPr>
          <w:lang w:eastAsia="en-US"/>
        </w:rPr>
        <w:t>.</w:t>
      </w:r>
    </w:p>
    <w:p w:rsidR="005B5D01" w:rsidRDefault="005B5D01" w:rsidP="005B5D01">
      <w:pPr>
        <w:ind w:firstLine="709"/>
        <w:rPr>
          <w:lang w:eastAsia="en-US"/>
        </w:rPr>
      </w:pPr>
    </w:p>
    <w:p w:rsidR="008718D7" w:rsidRPr="005B5D01" w:rsidRDefault="009119AF" w:rsidP="005B5D01">
      <w:pPr>
        <w:ind w:firstLine="709"/>
        <w:rPr>
          <w:lang w:eastAsia="en-US"/>
        </w:rPr>
      </w:pPr>
      <w:r>
        <w:rPr>
          <w:lang w:eastAsia="en-US"/>
        </w:rPr>
      </w:r>
      <w:r>
        <w:rPr>
          <w:lang w:eastAsia="en-US"/>
        </w:rPr>
        <w:pict>
          <v:group id="_x0000_s1026" editas="canvas" style="width:252pt;height:108pt;mso-position-horizontal-relative:char;mso-position-vertical-relative:line" coordorigin="2962,216" coordsize="3877,16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62;top:216;width:3877;height:167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239;top:216;width:692;height:418">
              <v:textbox>
                <w:txbxContent>
                  <w:p w:rsidR="008718D7" w:rsidRDefault="008718D7" w:rsidP="005B5D01">
                    <w:pPr>
                      <w:pStyle w:val="afd"/>
                    </w:pPr>
                    <w:r>
                      <w:t>КБ1</w:t>
                    </w:r>
                  </w:p>
                </w:txbxContent>
              </v:textbox>
            </v:shape>
            <v:shape id="_x0000_s1029" type="#_x0000_t202" style="position:absolute;left:4347;top:216;width:692;height:418">
              <v:textbox>
                <w:txbxContent>
                  <w:p w:rsidR="008718D7" w:rsidRDefault="008718D7" w:rsidP="005B5D01">
                    <w:pPr>
                      <w:pStyle w:val="afd"/>
                    </w:pPr>
                    <w:r>
                      <w:t>КБ1</w:t>
                    </w:r>
                  </w:p>
                </w:txbxContent>
              </v:textbox>
            </v:shape>
            <v:shape id="_x0000_s1030" type="#_x0000_t202" style="position:absolute;left:6008;top:216;width:692;height:418">
              <v:textbox>
                <w:txbxContent>
                  <w:p w:rsidR="008718D7" w:rsidRDefault="008718D7" w:rsidP="005B5D01">
                    <w:pPr>
                      <w:pStyle w:val="afd"/>
                    </w:pPr>
                    <w:r>
                      <w:t>КБ1</w:t>
                    </w:r>
                  </w:p>
                </w:txbxContent>
              </v:textbox>
            </v:shape>
            <v:shape id="_x0000_s1031" type="#_x0000_t202" style="position:absolute;left:5316;top:355;width:969;height:418" filled="f" stroked="f">
              <v:textbox>
                <w:txbxContent>
                  <w:p w:rsidR="008718D7" w:rsidRPr="00F10241" w:rsidRDefault="008718D7" w:rsidP="005B5D01">
                    <w:pPr>
                      <w:pStyle w:val="afd"/>
                    </w:pPr>
                    <w:r>
                      <w:t xml:space="preserve">… </w:t>
                    </w:r>
                  </w:p>
                </w:txbxContent>
              </v:textbox>
            </v:shape>
            <v:shape id="_x0000_s1032" type="#_x0000_t202" style="position:absolute;left:3793;top:1191;width:2354;height:558">
              <v:textbox>
                <w:txbxContent>
                  <w:p w:rsidR="008718D7" w:rsidRDefault="008718D7" w:rsidP="005B5D01">
                    <w:pPr>
                      <w:pStyle w:val="afd"/>
                    </w:pPr>
                    <w:r>
                      <w:t>Уставный капитал</w:t>
                    </w:r>
                  </w:p>
                  <w:p w:rsidR="008718D7" w:rsidRDefault="008718D7" w:rsidP="005B5D01">
                    <w:pPr>
                      <w:pStyle w:val="afd"/>
                    </w:pPr>
                    <w:r>
                      <w:t>банковская корпорация</w:t>
                    </w:r>
                  </w:p>
                </w:txbxContent>
              </v:textbox>
            </v:shape>
            <v:line id="_x0000_s1033" style="position:absolute" from="3793,1470" to="6147,14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3585;top:634;width:1385;height:557" o:connectortype="straight">
              <v:stroke endarrow="block"/>
            </v:shape>
            <v:shape id="_x0000_s1035" type="#_x0000_t32" style="position:absolute;left:4693;top:634;width:277;height:557" o:connectortype="straight">
              <v:stroke endarrow="block"/>
            </v:shape>
            <v:shape id="_x0000_s1036" type="#_x0000_t32" style="position:absolute;left:4970;top:634;width:1384;height:557;flip:x" o:connectortype="straight">
              <v:stroke endarrow="block"/>
            </v:shape>
            <w10:wrap type="none"/>
            <w10:anchorlock/>
          </v:group>
        </w:pict>
      </w:r>
    </w:p>
    <w:p w:rsidR="005B5D01" w:rsidRDefault="005B5D01" w:rsidP="005B5D01">
      <w:pPr>
        <w:ind w:firstLine="709"/>
        <w:rPr>
          <w:lang w:eastAsia="en-US"/>
        </w:rPr>
      </w:pP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Цель банковских корпораций</w:t>
      </w:r>
      <w:r w:rsidR="005B5D01" w:rsidRPr="005B5D01">
        <w:rPr>
          <w:lang w:eastAsia="en-US"/>
        </w:rPr>
        <w:t xml:space="preserve">: </w:t>
      </w:r>
      <w:r w:rsidRPr="005B5D01">
        <w:rPr>
          <w:lang w:eastAsia="en-US"/>
        </w:rPr>
        <w:t>концентрация капитала, координация деятельности участников, а также выполнение централизованного ряда функций</w:t>
      </w:r>
      <w:r w:rsidR="005B5D01" w:rsidRPr="005B5D01">
        <w:rPr>
          <w:lang w:eastAsia="en-US"/>
        </w:rPr>
        <w:t>:</w:t>
      </w:r>
    </w:p>
    <w:p w:rsidR="008718D7" w:rsidRPr="005B5D01" w:rsidRDefault="008718D7" w:rsidP="005B5D01">
      <w:pPr>
        <w:ind w:firstLine="709"/>
        <w:rPr>
          <w:lang w:val="en-US" w:eastAsia="en-US"/>
        </w:rPr>
      </w:pPr>
      <w:r w:rsidRPr="005B5D01">
        <w:rPr>
          <w:lang w:eastAsia="en-US"/>
        </w:rPr>
        <w:t>выполнение расчетов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операции на рынках денег и капитала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установление и ведение корреспондентских счетов в особенности с зарубежными банками</w:t>
      </w:r>
    </w:p>
    <w:p w:rsidR="008718D7" w:rsidRPr="005B5D01" w:rsidRDefault="008718D7" w:rsidP="005B5D01">
      <w:pPr>
        <w:ind w:firstLine="709"/>
        <w:rPr>
          <w:lang w:val="en-US" w:eastAsia="en-US"/>
        </w:rPr>
      </w:pPr>
      <w:r w:rsidRPr="005B5D01">
        <w:rPr>
          <w:lang w:eastAsia="en-US"/>
        </w:rPr>
        <w:t>мониторинг кредитных рисков</w:t>
      </w:r>
    </w:p>
    <w:p w:rsidR="008718D7" w:rsidRPr="005B5D01" w:rsidRDefault="008718D7" w:rsidP="005B5D01">
      <w:pPr>
        <w:ind w:firstLine="709"/>
        <w:rPr>
          <w:lang w:val="en-US" w:eastAsia="en-US"/>
        </w:rPr>
      </w:pPr>
      <w:r w:rsidRPr="005B5D01">
        <w:rPr>
          <w:lang w:eastAsia="en-US"/>
        </w:rPr>
        <w:t>формирование внешней отчетности</w:t>
      </w:r>
    </w:p>
    <w:p w:rsidR="008718D7" w:rsidRPr="005B5D01" w:rsidRDefault="008718D7" w:rsidP="005B5D01">
      <w:pPr>
        <w:ind w:firstLine="709"/>
        <w:rPr>
          <w:lang w:val="en-US" w:eastAsia="en-US"/>
        </w:rPr>
      </w:pPr>
      <w:r w:rsidRPr="005B5D01">
        <w:rPr>
          <w:lang w:eastAsia="en-US"/>
        </w:rPr>
        <w:t>осуществление внутреннего аудита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Банковская холдинговая компания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это банковское объединение в состав которого входят исключительно банки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Материнский банк владеет не менее 50</w:t>
      </w:r>
      <w:r w:rsidR="005B5D01">
        <w:rPr>
          <w:lang w:eastAsia="en-US"/>
        </w:rPr>
        <w:t>% -</w:t>
      </w:r>
      <w:r w:rsidRPr="005B5D01">
        <w:rPr>
          <w:lang w:eastAsia="en-US"/>
        </w:rPr>
        <w:t>ми акционерного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паевого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ООО</w:t>
      </w:r>
      <w:r w:rsidR="005B5D01" w:rsidRPr="005B5D01">
        <w:rPr>
          <w:lang w:eastAsia="en-US"/>
        </w:rPr>
        <w:t xml:space="preserve">)) </w:t>
      </w:r>
      <w:r w:rsidRPr="005B5D01">
        <w:rPr>
          <w:lang w:eastAsia="en-US"/>
        </w:rPr>
        <w:t xml:space="preserve">капитала других участников группы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дочерних банков</w:t>
      </w:r>
      <w:r w:rsidR="005B5D01" w:rsidRPr="005B5D01">
        <w:rPr>
          <w:lang w:eastAsia="en-US"/>
        </w:rPr>
        <w:t>.</w:t>
      </w:r>
    </w:p>
    <w:p w:rsidR="005B5D01" w:rsidRDefault="005B5D01" w:rsidP="005B5D01">
      <w:pPr>
        <w:ind w:firstLine="709"/>
        <w:rPr>
          <w:lang w:eastAsia="en-US"/>
        </w:rPr>
      </w:pPr>
    </w:p>
    <w:p w:rsidR="008718D7" w:rsidRPr="005B5D01" w:rsidRDefault="009119AF" w:rsidP="005B5D01">
      <w:pPr>
        <w:ind w:firstLine="709"/>
        <w:rPr>
          <w:lang w:eastAsia="en-US"/>
        </w:rPr>
      </w:pPr>
      <w:r>
        <w:rPr>
          <w:lang w:eastAsia="en-US"/>
        </w:rPr>
      </w:r>
      <w:r>
        <w:rPr>
          <w:lang w:eastAsia="en-US"/>
        </w:rPr>
        <w:pict>
          <v:group id="_x0000_s1037" editas="canvas" style="width:425.2pt;height:116.7pt;mso-position-horizontal-relative:char;mso-position-vertical-relative:line" coordorigin="2281,11203" coordsize="7200,1951">
            <o:lock v:ext="edit" aspectratio="t"/>
            <v:shape id="_x0000_s1038" type="#_x0000_t75" style="position:absolute;left:2281;top:11203;width:7200;height:1951" o:preferrelative="f">
              <v:fill o:detectmouseclick="t"/>
              <v:path o:extrusionok="t" o:connecttype="none"/>
              <o:lock v:ext="edit" text="t"/>
            </v:shape>
            <v:shape id="_x0000_s1039" type="#_x0000_t202" style="position:absolute;left:2705;top:12457;width:2400;height:557">
              <v:textbox inset="2.36219mm,1.1811mm,2.36219mm,1.1811mm">
                <w:txbxContent>
                  <w:p w:rsidR="008718D7" w:rsidRPr="005B5D01" w:rsidRDefault="008718D7" w:rsidP="005B5D01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B5D01">
                      <w:rPr>
                        <w:sz w:val="19"/>
                        <w:szCs w:val="19"/>
                      </w:rPr>
                      <w:t>Дочерний банк</w:t>
                    </w:r>
                  </w:p>
                  <w:p w:rsidR="008718D7" w:rsidRPr="005B5D01" w:rsidRDefault="008718D7" w:rsidP="005B5D01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B5D01">
                      <w:rPr>
                        <w:sz w:val="19"/>
                        <w:szCs w:val="19"/>
                        <w:lang w:val="en-US"/>
                      </w:rPr>
                      <w:t xml:space="preserve">&gt;50% </w:t>
                    </w:r>
                    <w:r w:rsidRPr="005B5D01">
                      <w:rPr>
                        <w:sz w:val="19"/>
                        <w:szCs w:val="19"/>
                      </w:rPr>
                      <w:t>Уставного Капитала</w:t>
                    </w:r>
                  </w:p>
                </w:txbxContent>
              </v:textbox>
            </v:shape>
            <v:shape id="_x0000_s1040" type="#_x0000_t202" style="position:absolute;left:4963;top:11342;width:1412;height:557">
              <v:textbox inset="2.36219mm,1.1811mm,2.36219mm,1.1811mm">
                <w:txbxContent>
                  <w:p w:rsidR="008718D7" w:rsidRPr="005B5D01" w:rsidRDefault="008718D7" w:rsidP="005B5D01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B5D01">
                      <w:rPr>
                        <w:sz w:val="19"/>
                        <w:szCs w:val="19"/>
                      </w:rPr>
                      <w:t>материнский банк</w:t>
                    </w:r>
                  </w:p>
                </w:txbxContent>
              </v:textbox>
            </v:shape>
            <v:shape id="_x0000_s1041" type="#_x0000_t202" style="position:absolute;left:5246;top:12457;width:1553;height:557">
              <v:textbox inset="2.36219mm,1.1811mm,2.36219mm,1.1811mm">
                <w:txbxContent>
                  <w:p w:rsidR="008718D7" w:rsidRPr="005B5D01" w:rsidRDefault="008718D7" w:rsidP="005B5D01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B5D01">
                      <w:rPr>
                        <w:sz w:val="19"/>
                        <w:szCs w:val="19"/>
                      </w:rPr>
                      <w:t>ДБ</w:t>
                    </w:r>
                  </w:p>
                  <w:p w:rsidR="008718D7" w:rsidRPr="005B5D01" w:rsidRDefault="008718D7" w:rsidP="005B5D01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B5D01">
                      <w:rPr>
                        <w:sz w:val="19"/>
                        <w:szCs w:val="19"/>
                        <w:lang w:val="en-US"/>
                      </w:rPr>
                      <w:t xml:space="preserve">&gt;50% </w:t>
                    </w:r>
                    <w:r w:rsidRPr="005B5D01">
                      <w:rPr>
                        <w:sz w:val="19"/>
                        <w:szCs w:val="19"/>
                      </w:rPr>
                      <w:t>УК</w:t>
                    </w:r>
                  </w:p>
                </w:txbxContent>
              </v:textbox>
            </v:shape>
            <v:shape id="_x0000_s1042" type="#_x0000_t202" style="position:absolute;left:7081;top:12457;width:1553;height:557">
              <v:textbox inset="2.36219mm,1.1811mm,2.36219mm,1.1811mm">
                <w:txbxContent>
                  <w:p w:rsidR="008718D7" w:rsidRPr="005B5D01" w:rsidRDefault="008718D7" w:rsidP="005B5D01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B5D01">
                      <w:rPr>
                        <w:sz w:val="19"/>
                        <w:szCs w:val="19"/>
                      </w:rPr>
                      <w:t>ДБ</w:t>
                    </w:r>
                  </w:p>
                  <w:p w:rsidR="008718D7" w:rsidRPr="005B5D01" w:rsidRDefault="008718D7" w:rsidP="005B5D01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B5D01">
                      <w:rPr>
                        <w:sz w:val="19"/>
                        <w:szCs w:val="19"/>
                        <w:lang w:val="en-US"/>
                      </w:rPr>
                      <w:t xml:space="preserve">&gt;50% </w:t>
                    </w:r>
                    <w:r w:rsidRPr="005B5D01">
                      <w:rPr>
                        <w:sz w:val="19"/>
                        <w:szCs w:val="19"/>
                      </w:rPr>
                      <w:t>УК</w:t>
                    </w:r>
                  </w:p>
                </w:txbxContent>
              </v:textbox>
            </v:shape>
            <v:line id="_x0000_s1043" style="position:absolute" from="2846,12736" to="4399,12736"/>
            <v:line id="_x0000_s1044" style="position:absolute" from="5246,12736" to="6799,12737"/>
            <v:line id="_x0000_s1045" style="position:absolute" from="7081,12736" to="8634,12736"/>
            <v:line id="_x0000_s1046" style="position:absolute" from="2705,12736" to="5105,12736"/>
            <v:shape id="_x0000_s1047" type="#_x0000_t202" style="position:absolute;left:5105;top:11900;width:564;height:418" stroked="f">
              <v:fill opacity="0"/>
              <v:textbox inset="2.36219mm,1.1811mm,2.36219mm,1.1811mm">
                <w:txbxContent>
                  <w:p w:rsidR="008718D7" w:rsidRPr="005B5D01" w:rsidRDefault="008718D7" w:rsidP="005B5D01">
                    <w:pPr>
                      <w:pStyle w:val="afd"/>
                      <w:rPr>
                        <w:sz w:val="19"/>
                        <w:szCs w:val="19"/>
                      </w:rPr>
                    </w:pPr>
                    <w:r w:rsidRPr="005B5D01">
                      <w:rPr>
                        <w:sz w:val="19"/>
                        <w:szCs w:val="19"/>
                      </w:rPr>
                      <w:t>…</w:t>
                    </w:r>
                  </w:p>
                </w:txbxContent>
              </v:textbox>
            </v:shape>
            <v:shape id="_x0000_s1048" type="#_x0000_t32" style="position:absolute;left:3905;top:11899;width:1764;height:558;flip:x" o:connectortype="straight">
              <v:stroke endarrow="block"/>
            </v:shape>
            <v:shape id="_x0000_s1049" type="#_x0000_t32" style="position:absolute;left:5669;top:11899;width:353;height:558" o:connectortype="straight">
              <v:stroke endarrow="block"/>
            </v:shape>
            <v:shape id="_x0000_s1050" type="#_x0000_t32" style="position:absolute;left:5669;top:11899;width:2189;height:558" o:connectortype="straight">
              <v:stroke endarrow="block"/>
            </v:shape>
            <w10:wrap type="none"/>
            <w10:anchorlock/>
          </v:group>
        </w:pict>
      </w:r>
    </w:p>
    <w:p w:rsidR="005B5D01" w:rsidRDefault="005B5D01" w:rsidP="005B5D01">
      <w:pPr>
        <w:ind w:firstLine="709"/>
        <w:rPr>
          <w:lang w:eastAsia="en-US"/>
        </w:rPr>
      </w:pP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Цель</w:t>
      </w:r>
      <w:r w:rsidR="005B5D01" w:rsidRPr="005B5D01">
        <w:rPr>
          <w:lang w:eastAsia="en-US"/>
        </w:rPr>
        <w:t xml:space="preserve">: </w:t>
      </w:r>
      <w:r w:rsidRPr="005B5D01">
        <w:rPr>
          <w:lang w:eastAsia="en-US"/>
        </w:rPr>
        <w:t>Возложить на главный банк дополнительные организационные функции относительно банков членов группы, а также создание системы управления совместной деятельностью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Материнский банк отвечает по обязательствам дочерних банков в пределах своего взноса в капитале каждого из них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Финансовая холдинговая группа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входят нее в преимущественно финансовые учреждения и хотя бы 1 банк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Материнской компанией обязательно является финансовое учреждение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Банковские союзы и ассоциации создаются в целях защиты интересов информационного обмена между их членами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Они являются неприбыльными и не занимаются банковской деятельностью</w:t>
      </w:r>
      <w:r w:rsidR="005B5D01" w:rsidRPr="005B5D01">
        <w:rPr>
          <w:lang w:eastAsia="en-US"/>
        </w:rPr>
        <w:t>.</w:t>
      </w:r>
    </w:p>
    <w:p w:rsidR="005B5D01" w:rsidRPr="005B5D01" w:rsidRDefault="005B5D01" w:rsidP="005B5D01">
      <w:pPr>
        <w:pStyle w:val="2"/>
      </w:pPr>
      <w:r>
        <w:br w:type="page"/>
      </w:r>
      <w:r w:rsidR="008718D7" w:rsidRPr="005B5D01">
        <w:t>3</w:t>
      </w:r>
      <w:r w:rsidRPr="005B5D01">
        <w:t xml:space="preserve">. </w:t>
      </w:r>
      <w:r>
        <w:t>Б</w:t>
      </w:r>
      <w:r w:rsidRPr="005B5D01">
        <w:t>анковские операции</w:t>
      </w:r>
    </w:p>
    <w:p w:rsidR="005B5D01" w:rsidRDefault="005B5D01" w:rsidP="005B5D01">
      <w:pPr>
        <w:ind w:firstLine="709"/>
        <w:rPr>
          <w:lang w:eastAsia="en-US"/>
        </w:rPr>
      </w:pP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При предоставлении услуг банки осуществляют определенные банковские операции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Осуществление банковских операций приводит к изменению отдельных статей баланса банка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Поэтому банковские операции могут быть разделены на</w:t>
      </w:r>
      <w:r w:rsidR="005B5D01" w:rsidRPr="005B5D01">
        <w:rPr>
          <w:lang w:eastAsia="en-US"/>
        </w:rPr>
        <w:t>: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активные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это операции по размещению мобилизованных коммерческим банком ресурсов, связанных со значительным риском, но и обеспечивают формирование доходов в банк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пассивные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операции по мобилизации ресурсов коммерческого банка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По видам банковских ресурсов различают пассивные операции</w:t>
      </w:r>
      <w:r w:rsidR="005B5D01">
        <w:rPr>
          <w:lang w:eastAsia="en-US"/>
        </w:rPr>
        <w:t xml:space="preserve"> </w:t>
      </w:r>
      <w:r w:rsidRPr="005B5D01">
        <w:rPr>
          <w:lang w:eastAsia="en-US"/>
        </w:rPr>
        <w:t>по формированию</w:t>
      </w:r>
      <w:r w:rsidR="005B5D01">
        <w:rPr>
          <w:lang w:eastAsia="en-US"/>
        </w:rPr>
        <w:t>:</w:t>
      </w:r>
    </w:p>
    <w:p w:rsidR="005B5D01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собственных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привлеченных</w:t>
      </w:r>
    </w:p>
    <w:p w:rsidR="008718D7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заемных ресурсов</w:t>
      </w:r>
      <w:r w:rsidR="005B5D01" w:rsidRPr="005B5D01">
        <w:rPr>
          <w:lang w:eastAsia="en-US"/>
        </w:rPr>
        <w:t xml:space="preserve">. </w:t>
      </w:r>
    </w:p>
    <w:p w:rsidR="005B5D01" w:rsidRPr="005B5D01" w:rsidRDefault="005B5D01" w:rsidP="005B5D01">
      <w:pPr>
        <w:ind w:firstLine="709"/>
        <w:rPr>
          <w:lang w:eastAsia="en-US"/>
        </w:rPr>
      </w:pP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2968"/>
        <w:gridCol w:w="4383"/>
        <w:gridCol w:w="714"/>
        <w:gridCol w:w="366"/>
      </w:tblGrid>
      <w:tr w:rsidR="008718D7" w:rsidRPr="005B5D01" w:rsidTr="002C1612">
        <w:trPr>
          <w:trHeight w:val="275"/>
          <w:jc w:val="center"/>
        </w:trPr>
        <w:tc>
          <w:tcPr>
            <w:tcW w:w="3832" w:type="dxa"/>
            <w:gridSpan w:val="2"/>
            <w:shd w:val="clear" w:color="auto" w:fill="auto"/>
          </w:tcPr>
          <w:p w:rsidR="008718D7" w:rsidRPr="005B5D01" w:rsidRDefault="008718D7" w:rsidP="005B5D01">
            <w:pPr>
              <w:pStyle w:val="afb"/>
            </w:pPr>
            <w:r w:rsidRPr="005B5D01">
              <w:t>Активные операции</w:t>
            </w:r>
          </w:p>
        </w:tc>
        <w:tc>
          <w:tcPr>
            <w:tcW w:w="5463" w:type="dxa"/>
            <w:gridSpan w:val="3"/>
            <w:shd w:val="clear" w:color="auto" w:fill="auto"/>
          </w:tcPr>
          <w:p w:rsidR="008718D7" w:rsidRPr="005B5D01" w:rsidRDefault="008718D7" w:rsidP="005B5D01">
            <w:pPr>
              <w:pStyle w:val="afb"/>
            </w:pPr>
            <w:r w:rsidRPr="005B5D01">
              <w:t>Пассивные операции</w:t>
            </w:r>
          </w:p>
        </w:tc>
      </w:tr>
      <w:tr w:rsidR="008718D7" w:rsidRPr="005B5D01" w:rsidTr="002C1612">
        <w:trPr>
          <w:trHeight w:val="1813"/>
          <w:jc w:val="center"/>
        </w:trPr>
        <w:tc>
          <w:tcPr>
            <w:tcW w:w="864" w:type="dxa"/>
            <w:shd w:val="clear" w:color="auto" w:fill="auto"/>
            <w:textDirection w:val="btLr"/>
          </w:tcPr>
          <w:p w:rsidR="008718D7" w:rsidRPr="005B5D01" w:rsidRDefault="008718D7" w:rsidP="005B5D01">
            <w:pPr>
              <w:pStyle w:val="afb"/>
            </w:pPr>
            <w:r w:rsidRPr="005B5D01">
              <w:t>Ден</w:t>
            </w:r>
            <w:r w:rsidR="005B5D01" w:rsidRPr="005B5D01">
              <w:t xml:space="preserve">. </w:t>
            </w:r>
            <w:r w:rsidRPr="005B5D01">
              <w:t>средства</w:t>
            </w:r>
          </w:p>
        </w:tc>
        <w:tc>
          <w:tcPr>
            <w:tcW w:w="2968" w:type="dxa"/>
            <w:shd w:val="clear" w:color="auto" w:fill="auto"/>
          </w:tcPr>
          <w:p w:rsidR="008718D7" w:rsidRPr="005B5D01" w:rsidRDefault="008718D7" w:rsidP="005B5D01">
            <w:pPr>
              <w:pStyle w:val="afb"/>
            </w:pPr>
            <w:r w:rsidRPr="005B5D01">
              <w:t>Корреспондентский счет в НБУ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Касса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Размещение средств на кор</w:t>
            </w:r>
            <w:r w:rsidR="005B5D01" w:rsidRPr="005B5D01">
              <w:t xml:space="preserve">. </w:t>
            </w:r>
            <w:r w:rsidRPr="005B5D01">
              <w:t>счетах в других банках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Депозиты в других банках</w:t>
            </w:r>
          </w:p>
        </w:tc>
        <w:tc>
          <w:tcPr>
            <w:tcW w:w="4383" w:type="dxa"/>
            <w:shd w:val="clear" w:color="auto" w:fill="auto"/>
          </w:tcPr>
          <w:p w:rsidR="008718D7" w:rsidRPr="005B5D01" w:rsidRDefault="008718D7" w:rsidP="005B5D01">
            <w:pPr>
              <w:pStyle w:val="afb"/>
            </w:pPr>
            <w:r w:rsidRPr="005B5D01">
              <w:t>Формирование уставного капитала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Формирование резервного фонда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Формирование и распределение прибыли</w:t>
            </w:r>
          </w:p>
        </w:tc>
        <w:tc>
          <w:tcPr>
            <w:tcW w:w="1080" w:type="dxa"/>
            <w:gridSpan w:val="2"/>
            <w:shd w:val="clear" w:color="auto" w:fill="auto"/>
            <w:textDirection w:val="btLr"/>
          </w:tcPr>
          <w:p w:rsidR="008718D7" w:rsidRPr="005B5D01" w:rsidRDefault="008718D7" w:rsidP="005B5D01">
            <w:pPr>
              <w:pStyle w:val="afb"/>
            </w:pPr>
            <w:r w:rsidRPr="005B5D01">
              <w:t>Собственные ресурсы</w:t>
            </w:r>
          </w:p>
        </w:tc>
      </w:tr>
      <w:tr w:rsidR="008718D7" w:rsidRPr="005B5D01" w:rsidTr="002C1612">
        <w:trPr>
          <w:trHeight w:val="1843"/>
          <w:jc w:val="center"/>
        </w:trPr>
        <w:tc>
          <w:tcPr>
            <w:tcW w:w="864" w:type="dxa"/>
            <w:shd w:val="clear" w:color="auto" w:fill="auto"/>
            <w:textDirection w:val="btLr"/>
          </w:tcPr>
          <w:p w:rsidR="008718D7" w:rsidRPr="005B5D01" w:rsidRDefault="008718D7" w:rsidP="005B5D01">
            <w:pPr>
              <w:pStyle w:val="afb"/>
            </w:pPr>
            <w:r w:rsidRPr="005B5D01">
              <w:t>Кредитный портфель</w:t>
            </w:r>
          </w:p>
        </w:tc>
        <w:tc>
          <w:tcPr>
            <w:tcW w:w="2968" w:type="dxa"/>
            <w:shd w:val="clear" w:color="auto" w:fill="auto"/>
          </w:tcPr>
          <w:p w:rsidR="008718D7" w:rsidRPr="005B5D01" w:rsidRDefault="008718D7" w:rsidP="005B5D01">
            <w:pPr>
              <w:pStyle w:val="afb"/>
            </w:pPr>
            <w:r w:rsidRPr="005B5D01">
              <w:t>Кредиты физ</w:t>
            </w:r>
            <w:r w:rsidR="005B5D01" w:rsidRPr="005B5D01">
              <w:t xml:space="preserve">. </w:t>
            </w:r>
            <w:r w:rsidRPr="005B5D01">
              <w:t>лицам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Кредиты юр</w:t>
            </w:r>
            <w:r w:rsidR="005B5D01" w:rsidRPr="005B5D01">
              <w:t xml:space="preserve">. </w:t>
            </w:r>
            <w:r w:rsidRPr="005B5D01">
              <w:t>лицам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Межбанковский кредит</w:t>
            </w:r>
            <w:r w:rsidR="005B5D01">
              <w:t xml:space="preserve"> (</w:t>
            </w:r>
            <w:r w:rsidRPr="005B5D01">
              <w:t>МБК</w:t>
            </w:r>
            <w:r w:rsidR="005B5D01" w:rsidRPr="005B5D01">
              <w:t xml:space="preserve">) </w:t>
            </w:r>
          </w:p>
        </w:tc>
        <w:tc>
          <w:tcPr>
            <w:tcW w:w="4383" w:type="dxa"/>
            <w:shd w:val="clear" w:color="auto" w:fill="auto"/>
          </w:tcPr>
          <w:p w:rsidR="008718D7" w:rsidRPr="005B5D01" w:rsidRDefault="008718D7" w:rsidP="005B5D01">
            <w:pPr>
              <w:pStyle w:val="afb"/>
            </w:pPr>
            <w:r w:rsidRPr="005B5D01">
              <w:t>Мобилизация средств на текущих счетах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Мобилизация средств банков корреспондентов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Мобилизация средств на срочных счетах</w:t>
            </w:r>
            <w:r w:rsidR="005B5D01">
              <w:t xml:space="preserve"> (</w:t>
            </w:r>
            <w:r w:rsidRPr="005B5D01">
              <w:t>депозиты</w:t>
            </w:r>
            <w:r w:rsidR="005B5D01" w:rsidRPr="005B5D01">
              <w:t xml:space="preserve">) 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8718D7" w:rsidRPr="005B5D01" w:rsidRDefault="008718D7" w:rsidP="005B5D01">
            <w:pPr>
              <w:pStyle w:val="afb"/>
            </w:pPr>
            <w:r w:rsidRPr="005B5D01">
              <w:t>Привлеченные ресурсы</w:t>
            </w:r>
          </w:p>
        </w:tc>
        <w:tc>
          <w:tcPr>
            <w:tcW w:w="366" w:type="dxa"/>
            <w:vMerge w:val="restart"/>
            <w:shd w:val="clear" w:color="auto" w:fill="auto"/>
            <w:textDirection w:val="btLr"/>
          </w:tcPr>
          <w:p w:rsidR="008718D7" w:rsidRPr="005B5D01" w:rsidRDefault="008718D7" w:rsidP="005B5D01">
            <w:pPr>
              <w:pStyle w:val="afb"/>
            </w:pPr>
            <w:r w:rsidRPr="005B5D01">
              <w:t>Обязательства</w:t>
            </w:r>
          </w:p>
        </w:tc>
      </w:tr>
      <w:tr w:rsidR="008718D7" w:rsidRPr="005B5D01" w:rsidTr="002C1612">
        <w:trPr>
          <w:trHeight w:val="1134"/>
          <w:jc w:val="center"/>
        </w:trPr>
        <w:tc>
          <w:tcPr>
            <w:tcW w:w="864" w:type="dxa"/>
            <w:shd w:val="clear" w:color="auto" w:fill="auto"/>
            <w:textDirection w:val="btLr"/>
          </w:tcPr>
          <w:p w:rsidR="008718D7" w:rsidRPr="005B5D01" w:rsidRDefault="008718D7" w:rsidP="005B5D01">
            <w:pPr>
              <w:pStyle w:val="afb"/>
            </w:pPr>
            <w:r w:rsidRPr="005B5D01">
              <w:t>Инвестиционный портфель</w:t>
            </w:r>
          </w:p>
        </w:tc>
        <w:tc>
          <w:tcPr>
            <w:tcW w:w="2968" w:type="dxa"/>
            <w:shd w:val="clear" w:color="auto" w:fill="auto"/>
          </w:tcPr>
          <w:p w:rsidR="005B5D01" w:rsidRDefault="008718D7" w:rsidP="005B5D01">
            <w:pPr>
              <w:pStyle w:val="afb"/>
            </w:pPr>
            <w:r w:rsidRPr="005B5D01">
              <w:t>Ценные бумаги на продажу</w:t>
            </w:r>
            <w:r w:rsidR="005B5D01">
              <w:t xml:space="preserve"> (</w:t>
            </w:r>
            <w:r w:rsidRPr="005B5D01">
              <w:t>до 1-го года</w:t>
            </w:r>
            <w:r w:rsidR="005B5D01" w:rsidRPr="005B5D01">
              <w:t>)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Ценные бумаги на инвестиции</w:t>
            </w:r>
          </w:p>
        </w:tc>
        <w:tc>
          <w:tcPr>
            <w:tcW w:w="4383" w:type="dxa"/>
            <w:shd w:val="clear" w:color="auto" w:fill="auto"/>
          </w:tcPr>
          <w:p w:rsidR="008718D7" w:rsidRPr="005B5D01" w:rsidRDefault="008718D7" w:rsidP="005B5D01">
            <w:pPr>
              <w:pStyle w:val="afb"/>
            </w:pPr>
            <w:r w:rsidRPr="005B5D01">
              <w:t>Кредиты от других банков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Кредиты от НБУ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Эмиссия и размещение собственных долговых ценных бумаг</w:t>
            </w:r>
            <w:r w:rsidR="005B5D01">
              <w:t xml:space="preserve"> (</w:t>
            </w:r>
            <w:r w:rsidRPr="005B5D01">
              <w:t>облигаций, сберегательных сертификатов</w:t>
            </w:r>
            <w:r w:rsidR="005B5D01" w:rsidRPr="005B5D01">
              <w:t xml:space="preserve">) </w:t>
            </w:r>
          </w:p>
        </w:tc>
        <w:tc>
          <w:tcPr>
            <w:tcW w:w="714" w:type="dxa"/>
            <w:shd w:val="clear" w:color="auto" w:fill="auto"/>
            <w:textDirection w:val="btLr"/>
          </w:tcPr>
          <w:p w:rsidR="008718D7" w:rsidRPr="005B5D01" w:rsidRDefault="008718D7" w:rsidP="005B5D01">
            <w:pPr>
              <w:pStyle w:val="afb"/>
            </w:pPr>
            <w:r w:rsidRPr="005B5D01">
              <w:t>Заемные ресурсы</w:t>
            </w:r>
          </w:p>
        </w:tc>
        <w:tc>
          <w:tcPr>
            <w:tcW w:w="366" w:type="dxa"/>
            <w:vMerge/>
            <w:shd w:val="clear" w:color="auto" w:fill="auto"/>
            <w:textDirection w:val="btLr"/>
          </w:tcPr>
          <w:p w:rsidR="008718D7" w:rsidRPr="005B5D01" w:rsidRDefault="008718D7" w:rsidP="005B5D01">
            <w:pPr>
              <w:pStyle w:val="afb"/>
            </w:pPr>
          </w:p>
        </w:tc>
      </w:tr>
      <w:tr w:rsidR="008718D7" w:rsidRPr="005B5D01" w:rsidTr="002C1612">
        <w:trPr>
          <w:trHeight w:val="1960"/>
          <w:jc w:val="center"/>
        </w:trPr>
        <w:tc>
          <w:tcPr>
            <w:tcW w:w="864" w:type="dxa"/>
            <w:shd w:val="clear" w:color="auto" w:fill="auto"/>
            <w:textDirection w:val="btLr"/>
          </w:tcPr>
          <w:p w:rsidR="008718D7" w:rsidRPr="005B5D01" w:rsidRDefault="008718D7" w:rsidP="005B5D01">
            <w:pPr>
              <w:pStyle w:val="afb"/>
            </w:pPr>
            <w:r w:rsidRPr="005B5D01">
              <w:t>Имущество или материальные активы</w:t>
            </w:r>
          </w:p>
        </w:tc>
        <w:tc>
          <w:tcPr>
            <w:tcW w:w="2968" w:type="dxa"/>
            <w:shd w:val="clear" w:color="auto" w:fill="auto"/>
          </w:tcPr>
          <w:p w:rsidR="008718D7" w:rsidRPr="005B5D01" w:rsidRDefault="008718D7" w:rsidP="005B5D01">
            <w:pPr>
              <w:pStyle w:val="afb"/>
            </w:pPr>
            <w:r w:rsidRPr="005B5D01">
              <w:t>Вложения в основные фонды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Вложения в нематериальные активы</w:t>
            </w:r>
          </w:p>
          <w:p w:rsidR="008718D7" w:rsidRPr="005B5D01" w:rsidRDefault="008718D7" w:rsidP="005B5D01">
            <w:pPr>
              <w:pStyle w:val="afb"/>
            </w:pPr>
            <w:r w:rsidRPr="005B5D01">
              <w:t>Товарно-материальные ценности</w:t>
            </w:r>
          </w:p>
        </w:tc>
        <w:tc>
          <w:tcPr>
            <w:tcW w:w="4383" w:type="dxa"/>
            <w:shd w:val="clear" w:color="auto" w:fill="auto"/>
          </w:tcPr>
          <w:p w:rsidR="008718D7" w:rsidRPr="005B5D01" w:rsidRDefault="008718D7" w:rsidP="005B5D01">
            <w:pPr>
              <w:pStyle w:val="afb"/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8718D7" w:rsidRPr="005B5D01" w:rsidRDefault="008718D7" w:rsidP="005B5D01">
            <w:pPr>
              <w:pStyle w:val="afb"/>
            </w:pPr>
          </w:p>
        </w:tc>
      </w:tr>
    </w:tbl>
    <w:p w:rsidR="005B5D01" w:rsidRPr="005B5D01" w:rsidRDefault="005B5D01" w:rsidP="005B5D01">
      <w:pPr>
        <w:ind w:firstLine="709"/>
        <w:rPr>
          <w:lang w:eastAsia="en-US"/>
        </w:rPr>
      </w:pPr>
    </w:p>
    <w:p w:rsidR="005B5D01" w:rsidRPr="005B5D01" w:rsidRDefault="008718D7" w:rsidP="005B5D01">
      <w:pPr>
        <w:pStyle w:val="2"/>
      </w:pPr>
      <w:r w:rsidRPr="005B5D01">
        <w:t>4</w:t>
      </w:r>
      <w:r w:rsidR="005B5D01">
        <w:t>.</w:t>
      </w:r>
      <w:r w:rsidRPr="005B5D01">
        <w:t xml:space="preserve"> </w:t>
      </w:r>
      <w:r w:rsidR="005B5D01">
        <w:t>П</w:t>
      </w:r>
      <w:r w:rsidR="005B5D01" w:rsidRPr="005B5D01">
        <w:t>орядок реги</w:t>
      </w:r>
      <w:r w:rsidR="005B5D01">
        <w:t>с</w:t>
      </w:r>
      <w:r w:rsidR="005B5D01" w:rsidRPr="005B5D01">
        <w:t>трации ко</w:t>
      </w:r>
      <w:r w:rsidR="005B5D01">
        <w:t>м</w:t>
      </w:r>
      <w:r w:rsidR="005B5D01" w:rsidRPr="005B5D01">
        <w:t>мерческого банка</w:t>
      </w:r>
    </w:p>
    <w:p w:rsidR="005B5D01" w:rsidRDefault="005B5D01" w:rsidP="005B5D01">
      <w:pPr>
        <w:ind w:firstLine="709"/>
        <w:rPr>
          <w:lang w:eastAsia="en-US"/>
        </w:rPr>
      </w:pP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Коммерческие банки считаются созданными с момента их регистрации путем внесения соответствующей записи в государственный реестр банков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Для регистрации уполномоченное лицо предоставляет в территориальное управление НБУ по месту создания банка следующие документа</w:t>
      </w:r>
      <w:r w:rsidR="005B5D01" w:rsidRPr="005B5D01">
        <w:rPr>
          <w:lang w:eastAsia="en-US"/>
        </w:rPr>
        <w:t>: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заявление о регистрации банка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решение о создании банка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учредительный договор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устав банка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бизнес-план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информация о финансовом состоянии участников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бухгалтерскую и финансовую отчетность за последние 4 отчетных периода для участников</w:t>
      </w:r>
      <w:r w:rsidR="005B5D01" w:rsidRPr="005B5D01">
        <w:rPr>
          <w:lang w:eastAsia="en-US"/>
        </w:rPr>
        <w:t xml:space="preserve"> - </w:t>
      </w:r>
      <w:r w:rsidRPr="005B5D01">
        <w:rPr>
          <w:lang w:eastAsia="en-US"/>
        </w:rPr>
        <w:t>юр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лиц, а также справку о доходах из государственной налоговой администрации за последние год для физ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лиц, которые будут иметь существенное участие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&gt;10% УК</w:t>
      </w:r>
      <w:r w:rsidR="005B5D01" w:rsidRPr="005B5D01">
        <w:rPr>
          <w:lang w:eastAsia="en-US"/>
        </w:rPr>
        <w:t>)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сведения о количественном составе органов управления и контроля в КБ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копия платежного документа о внесении платы за регистрацию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копия отчета о проведении открытой подписки на акции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сведения о профессиональной пригодности и деловой репутации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В течение 1 недели НБУ открывает временный счет для внесения взносов</w:t>
      </w:r>
      <w:r w:rsidR="005B5D01" w:rsidRPr="005B5D01">
        <w:rPr>
          <w:lang w:eastAsia="en-US"/>
        </w:rPr>
        <w:t xml:space="preserve"> </w:t>
      </w:r>
      <w:r w:rsidRPr="005B5D01">
        <w:rPr>
          <w:lang w:eastAsia="en-US"/>
        </w:rPr>
        <w:t>уставный капитал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В течение 3-х месяцев НБУ должен зарегистрировать КБ либо обосновано отказать</w:t>
      </w:r>
      <w:r w:rsidR="005B5D01" w:rsidRPr="005B5D01">
        <w:rPr>
          <w:lang w:eastAsia="en-US"/>
        </w:rPr>
        <w:t>.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Структурные подразделения КБ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КБ могут создавать свои филиалы, которые функционируют на основании положения, могут создаваться также представительства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они не имеют права осуществлять банковские операции</w:t>
      </w:r>
      <w:r w:rsidR="005B5D01" w:rsidRPr="005B5D01">
        <w:rPr>
          <w:lang w:eastAsia="en-US"/>
        </w:rPr>
        <w:t xml:space="preserve">). </w:t>
      </w:r>
      <w:r w:rsidRPr="005B5D01">
        <w:rPr>
          <w:lang w:eastAsia="en-US"/>
        </w:rPr>
        <w:t>Филиалы и представительства регистрируются в НБУ путем внесения в государственный реестр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КБ могут создавать территориально обособленные безбалансовые отделения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ТОБО</w:t>
      </w:r>
      <w:r w:rsidR="005B5D01" w:rsidRPr="005B5D01">
        <w:rPr>
          <w:lang w:eastAsia="en-US"/>
        </w:rPr>
        <w:t>),</w:t>
      </w:r>
      <w:r w:rsidRPr="005B5D01">
        <w:rPr>
          <w:lang w:eastAsia="en-US"/>
        </w:rPr>
        <w:t xml:space="preserve"> которые осуществляют отдельные банковские операции в рамках его лицензии, эти операции отражаются на балансе головного банка либо его филиала</w:t>
      </w:r>
      <w:r w:rsidR="005B5D01" w:rsidRPr="005B5D01">
        <w:rPr>
          <w:lang w:eastAsia="en-US"/>
        </w:rPr>
        <w:t>.</w:t>
      </w:r>
    </w:p>
    <w:p w:rsidR="005B5D01" w:rsidRDefault="005B5D01" w:rsidP="005B5D01">
      <w:pPr>
        <w:ind w:firstLine="709"/>
        <w:rPr>
          <w:lang w:eastAsia="en-US"/>
        </w:rPr>
      </w:pPr>
    </w:p>
    <w:p w:rsidR="008718D7" w:rsidRPr="005B5D01" w:rsidRDefault="008718D7" w:rsidP="005B5D01">
      <w:pPr>
        <w:pStyle w:val="2"/>
      </w:pPr>
      <w:r w:rsidRPr="005B5D01">
        <w:t>5</w:t>
      </w:r>
      <w:r w:rsidR="005B5D01">
        <w:t>.</w:t>
      </w:r>
      <w:r w:rsidRPr="005B5D01">
        <w:t xml:space="preserve"> </w:t>
      </w:r>
      <w:r w:rsidR="005B5D01">
        <w:t>Л</w:t>
      </w:r>
      <w:r w:rsidR="005B5D01" w:rsidRPr="005B5D01">
        <w:t>ицензирование банковской деятельности</w:t>
      </w:r>
    </w:p>
    <w:p w:rsidR="005B5D01" w:rsidRDefault="005B5D01" w:rsidP="005B5D01">
      <w:pPr>
        <w:ind w:firstLine="709"/>
        <w:rPr>
          <w:lang w:eastAsia="en-US"/>
        </w:rPr>
      </w:pP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КБ имеют право осуществлять банковскую деятельность только после получения банковской лицензии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Лицензирование ограничивает осуществление банковских операций только теми юр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лицами, которые получили согласие на их проведение от уполномоченного органа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Выдача лицензии осуществляется после регистрации КБ при выполнении следующих условий</w:t>
      </w:r>
      <w:r w:rsidR="005B5D01" w:rsidRPr="005B5D01">
        <w:rPr>
          <w:lang w:eastAsia="en-US"/>
        </w:rPr>
        <w:t>: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наличие полностью оплаченного зарегистрированного капитала КБ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обеспеченности КБ необходимым оборудованием, компьютерной техникой и программным обеспечением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соответствие помещение КБ требованиям НБУ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наличие как минимум 3-х лиц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членов правления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совет директоров</w:t>
      </w:r>
      <w:r w:rsidR="005B5D01" w:rsidRPr="005B5D01">
        <w:rPr>
          <w:lang w:eastAsia="en-US"/>
        </w:rPr>
        <w:t>),</w:t>
      </w:r>
      <w:r w:rsidRPr="005B5D01">
        <w:rPr>
          <w:lang w:eastAsia="en-US"/>
        </w:rPr>
        <w:t xml:space="preserve"> которые имеют соответствующее образование и опыт работы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Банковская лицензия дает право на осуществление следующих</w:t>
      </w:r>
      <w:r w:rsidR="005B5D01" w:rsidRPr="005B5D01">
        <w:rPr>
          <w:lang w:eastAsia="en-US"/>
        </w:rPr>
        <w:t xml:space="preserve"> </w:t>
      </w:r>
      <w:r w:rsidRPr="005B5D01">
        <w:rPr>
          <w:lang w:eastAsia="en-US"/>
        </w:rPr>
        <w:t>базовых операций</w:t>
      </w:r>
      <w:r w:rsidR="005B5D01" w:rsidRPr="005B5D01">
        <w:rPr>
          <w:lang w:eastAsia="en-US"/>
        </w:rPr>
        <w:t>: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принятие вкладов от физ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и юр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лиц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открытие и ведение текущих счетов клиентов, в том числе перевод денежных средств с этих счетов и зачисление средств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размещение средств от своего имени на собственных условиях и собственный риск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кредитные операции</w:t>
      </w:r>
      <w:r w:rsidR="005B5D01" w:rsidRPr="005B5D01">
        <w:rPr>
          <w:lang w:eastAsia="en-US"/>
        </w:rPr>
        <w:t>)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предоставление гарантий, поручительств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факторинг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лизинг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услуги по ответственному хранению и предоставление в аренду сейфов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выпуск, покупка, продажа и обслуживание чеков векселей и других обращающихся платежных документов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выпуск банковских пластиковых карт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банки оказывают консультационные услуги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Кроме этих базовых операций КБ могут осуществлять ряд операций, получив письменное разрешение НБУ</w:t>
      </w:r>
      <w:r w:rsidR="005B5D01" w:rsidRPr="005B5D01">
        <w:rPr>
          <w:lang w:eastAsia="en-US"/>
        </w:rPr>
        <w:t>: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операции с валютой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покупка, продажа</w:t>
      </w:r>
      <w:r w:rsidR="005B5D01" w:rsidRPr="005B5D01">
        <w:rPr>
          <w:lang w:eastAsia="en-US"/>
        </w:rPr>
        <w:t>)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эмиссия собственных домовых ценных бумаг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 xml:space="preserve">облигации и </w:t>
      </w:r>
      <w:r w:rsidR="005B5D01">
        <w:rPr>
          <w:lang w:eastAsia="en-US"/>
        </w:rPr>
        <w:t>др.)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операции покупки и продажи ценных бумаг по поручению клиента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брокерские операции</w:t>
      </w:r>
      <w:r w:rsidR="005B5D01" w:rsidRPr="005B5D01">
        <w:rPr>
          <w:lang w:eastAsia="en-US"/>
        </w:rPr>
        <w:t>)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осуществление операций на рынке ценных бумаг от своего имени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дилерские операции</w:t>
      </w:r>
      <w:r w:rsidR="005B5D01" w:rsidRPr="005B5D01">
        <w:rPr>
          <w:lang w:eastAsia="en-US"/>
        </w:rPr>
        <w:t>),</w:t>
      </w:r>
      <w:r w:rsidRPr="005B5D01">
        <w:rPr>
          <w:lang w:eastAsia="en-US"/>
        </w:rPr>
        <w:t xml:space="preserve"> включая андеррайтинг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доверительное управление денежными средствами и ценными бумагами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трастовые операции, коммерческие операции</w:t>
      </w:r>
      <w:r w:rsidR="005B5D01" w:rsidRPr="005B5D01">
        <w:rPr>
          <w:lang w:eastAsia="en-US"/>
        </w:rPr>
        <w:t>)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депозитарную деятельность и деятельность по ведению реестра ценных бумаг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осуществление инвестиций в уставные фонды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перевозка валютных ценностей и инкассация</w:t>
      </w:r>
      <w:r w:rsidR="005B5D01" w:rsidRPr="005B5D01">
        <w:rPr>
          <w:lang w:eastAsia="en-US"/>
        </w:rPr>
        <w:t xml:space="preserve"> </w:t>
      </w:r>
      <w:r w:rsidRPr="005B5D01">
        <w:rPr>
          <w:lang w:eastAsia="en-US"/>
        </w:rPr>
        <w:t>денежных средств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Разрешение выдается</w:t>
      </w:r>
      <w:r w:rsidR="005B5D01" w:rsidRPr="005B5D01">
        <w:rPr>
          <w:lang w:eastAsia="en-US"/>
        </w:rPr>
        <w:t>:</w:t>
      </w:r>
    </w:p>
    <w:p w:rsidR="005B5D01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при наличии соответствующего подразделения, который будет осуществлять эти функции</w:t>
      </w:r>
    </w:p>
    <w:p w:rsidR="005B5D01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при наличии внутренних документов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при наличии специалистов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Письменное разрешение без приложения с перечнем операций является недействительным, срок действия лицензии не ограничен, но НБУ может отозвать лицензию в части отдельных или всех операций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Основания для этого</w:t>
      </w:r>
      <w:r w:rsidR="005B5D01" w:rsidRPr="005B5D01">
        <w:rPr>
          <w:lang w:eastAsia="en-US"/>
        </w:rPr>
        <w:t>: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недостоверность информации в документах предоставленных для получения лицензии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невыполнение банком ни одной банковской операции в течении года со дня получения банковской лицензии</w:t>
      </w:r>
    </w:p>
    <w:p w:rsidR="005B5D01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нарушение нормативных актов, что привело к значительной потере активов и в других случаях</w:t>
      </w:r>
    </w:p>
    <w:p w:rsidR="005B5D01" w:rsidRDefault="005B5D01" w:rsidP="005B5D01">
      <w:pPr>
        <w:ind w:firstLine="709"/>
        <w:rPr>
          <w:lang w:eastAsia="en-US"/>
        </w:rPr>
      </w:pPr>
    </w:p>
    <w:p w:rsidR="008718D7" w:rsidRPr="005B5D01" w:rsidRDefault="008718D7" w:rsidP="005B5D01">
      <w:pPr>
        <w:pStyle w:val="2"/>
      </w:pPr>
      <w:r w:rsidRPr="005B5D01">
        <w:t>6</w:t>
      </w:r>
      <w:r w:rsidR="005B5D01">
        <w:t>.</w:t>
      </w:r>
      <w:r w:rsidRPr="005B5D01">
        <w:t xml:space="preserve"> </w:t>
      </w:r>
      <w:r w:rsidR="005B5D01">
        <w:t>У</w:t>
      </w:r>
      <w:r w:rsidR="005B5D01" w:rsidRPr="005B5D01">
        <w:t>правление коммерческими банками</w:t>
      </w:r>
    </w:p>
    <w:p w:rsidR="005B5D01" w:rsidRDefault="005B5D01" w:rsidP="005B5D01">
      <w:pPr>
        <w:ind w:firstLine="709"/>
        <w:rPr>
          <w:lang w:eastAsia="en-US"/>
        </w:rPr>
      </w:pP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Органы управления КБ</w:t>
      </w:r>
      <w:r w:rsidR="005B5D01" w:rsidRPr="005B5D01">
        <w:rPr>
          <w:lang w:eastAsia="en-US"/>
        </w:rPr>
        <w:t>: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Общее собрание акционеров-участников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высший орган управления</w:t>
      </w:r>
      <w:r w:rsidR="005B5D01" w:rsidRPr="005B5D01">
        <w:rPr>
          <w:lang w:eastAsia="en-US"/>
        </w:rPr>
        <w:t>)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Правление</w:t>
      </w:r>
      <w:r w:rsidR="005B5D01">
        <w:rPr>
          <w:lang w:eastAsia="en-US"/>
        </w:rPr>
        <w:t xml:space="preserve"> (</w:t>
      </w:r>
      <w:r w:rsidRPr="005B5D01">
        <w:rPr>
          <w:lang w:eastAsia="en-US"/>
        </w:rPr>
        <w:t>совет директоров</w:t>
      </w:r>
      <w:r w:rsidR="005B5D01" w:rsidRPr="005B5D01">
        <w:rPr>
          <w:lang w:eastAsia="en-US"/>
        </w:rPr>
        <w:t>)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Наблюдательный совет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Контролирующие органы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ревизионная комиссия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внутренний аудит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Общее собрание акционеров решает следующие вопросы</w:t>
      </w:r>
      <w:r w:rsidR="005B5D01" w:rsidRPr="005B5D01">
        <w:rPr>
          <w:lang w:eastAsia="en-US"/>
        </w:rPr>
        <w:t>: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определение основных направлений деятельности и утверждение отчетов о их выполнении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внесение изменений в устав КБ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назначение и увольнение председателя и членов наблюдательного совета и ревизионной комиссии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распределение прибыли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прекращение деятельности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Наблюдательный совет</w:t>
      </w:r>
      <w:r w:rsidR="005B5D01" w:rsidRPr="005B5D01">
        <w:rPr>
          <w:lang w:eastAsia="en-US"/>
        </w:rPr>
        <w:t>: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назначает и увольняет членов правления и председателей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контролирует деятельность правления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принимает решение о покрытии убытков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принимает решения о создании структурных подразделений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определяет внешнего аудитора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готовит предложения по различным вопросам, рассматриваемым общим собранием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Правление обеспечивает управление текущей деятельностью банка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Ревизионная комиссия подчинена общему собранию участников</w:t>
      </w:r>
      <w:r w:rsidR="005B5D01" w:rsidRPr="005B5D01">
        <w:rPr>
          <w:lang w:eastAsia="en-US"/>
        </w:rPr>
        <w:t xml:space="preserve">. </w:t>
      </w:r>
      <w:r w:rsidRPr="005B5D01">
        <w:rPr>
          <w:lang w:eastAsia="en-US"/>
        </w:rPr>
        <w:t>Она производит проверку финансово-хозяйственной деятельности КБ, по его поручению, а также по поручению наблюдательного совета или по требованию участника, имеющего более 10% голосов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Служба внутреннего аудита подчиняется правлению и отчитывается перед ним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В целях повышения эффективности деятельности КБ закон требует создания</w:t>
      </w:r>
      <w:r w:rsidR="005B5D01" w:rsidRPr="005B5D01">
        <w:rPr>
          <w:lang w:eastAsia="en-US"/>
        </w:rPr>
        <w:t xml:space="preserve"> </w:t>
      </w:r>
      <w:r w:rsidRPr="005B5D01">
        <w:rPr>
          <w:lang w:eastAsia="en-US"/>
        </w:rPr>
        <w:t>постоянно действующего подразделения по вопросам анализа и управления рисками</w:t>
      </w:r>
      <w:r w:rsidR="005B5D01" w:rsidRPr="005B5D01">
        <w:rPr>
          <w:lang w:eastAsia="en-US"/>
        </w:rPr>
        <w:t>.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Обязательно создаются следующие подразделения</w:t>
      </w:r>
      <w:r w:rsidR="005B5D01" w:rsidRPr="005B5D01">
        <w:rPr>
          <w:lang w:eastAsia="en-US"/>
        </w:rPr>
        <w:t>: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кредитный комитет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оценивает качество кредитного портфеля, готовит предложения</w:t>
      </w:r>
      <w:r w:rsidR="005B5D01" w:rsidRPr="005B5D01">
        <w:rPr>
          <w:lang w:eastAsia="en-US"/>
        </w:rPr>
        <w:t xml:space="preserve"> </w:t>
      </w:r>
      <w:r w:rsidRPr="005B5D01">
        <w:rPr>
          <w:lang w:eastAsia="en-US"/>
        </w:rPr>
        <w:t>по формирования резервов под эти операции</w:t>
      </w:r>
    </w:p>
    <w:p w:rsidR="008718D7" w:rsidRP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>комитет по управлению активами и пассивами</w:t>
      </w:r>
    </w:p>
    <w:p w:rsidR="005B5D01" w:rsidRDefault="008718D7" w:rsidP="005B5D01">
      <w:pPr>
        <w:ind w:firstLine="709"/>
        <w:rPr>
          <w:lang w:eastAsia="en-US"/>
        </w:rPr>
      </w:pPr>
      <w:r w:rsidRPr="005B5D01">
        <w:rPr>
          <w:lang w:eastAsia="en-US"/>
        </w:rPr>
        <w:t xml:space="preserve">тарифный комитет </w:t>
      </w:r>
      <w:r w:rsidR="005B5D01">
        <w:rPr>
          <w:lang w:eastAsia="en-US"/>
        </w:rPr>
        <w:t>-</w:t>
      </w:r>
      <w:r w:rsidRPr="005B5D01">
        <w:rPr>
          <w:lang w:eastAsia="en-US"/>
        </w:rPr>
        <w:t xml:space="preserve"> анализирует соотношение себестоимости услуг</w:t>
      </w:r>
      <w:r w:rsidR="005B5D01">
        <w:rPr>
          <w:lang w:eastAsia="en-US"/>
        </w:rPr>
        <w:t>.</w:t>
      </w:r>
    </w:p>
    <w:p w:rsidR="008718D7" w:rsidRPr="005B5D01" w:rsidRDefault="008718D7" w:rsidP="005B5D01">
      <w:pPr>
        <w:ind w:firstLine="709"/>
        <w:rPr>
          <w:lang w:eastAsia="en-US"/>
        </w:rPr>
      </w:pPr>
      <w:bookmarkStart w:id="0" w:name="_GoBack"/>
      <w:bookmarkEnd w:id="0"/>
    </w:p>
    <w:sectPr w:rsidR="008718D7" w:rsidRPr="005B5D01" w:rsidSect="005B5D0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12" w:rsidRDefault="002C1612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C1612" w:rsidRDefault="002C1612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12" w:rsidRDefault="002C1612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C1612" w:rsidRDefault="002C1612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01" w:rsidRDefault="005B5D01" w:rsidP="005B5D01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57326">
      <w:rPr>
        <w:rStyle w:val="af6"/>
      </w:rPr>
      <w:t>7</w:t>
    </w:r>
    <w:r>
      <w:rPr>
        <w:rStyle w:val="af6"/>
      </w:rPr>
      <w:fldChar w:fldCharType="end"/>
    </w:r>
  </w:p>
  <w:p w:rsidR="005B5D01" w:rsidRDefault="005B5D01" w:rsidP="005B5D0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03C4"/>
    <w:multiLevelType w:val="hybridMultilevel"/>
    <w:tmpl w:val="5C0219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2A2E08"/>
    <w:multiLevelType w:val="hybridMultilevel"/>
    <w:tmpl w:val="B2DA0498"/>
    <w:lvl w:ilvl="0" w:tplc="148EFD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14926"/>
    <w:multiLevelType w:val="hybridMultilevel"/>
    <w:tmpl w:val="F62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35248E"/>
    <w:multiLevelType w:val="hybridMultilevel"/>
    <w:tmpl w:val="0452FC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09867B7A"/>
    <w:multiLevelType w:val="hybridMultilevel"/>
    <w:tmpl w:val="A8F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0F5F5F73"/>
    <w:multiLevelType w:val="hybridMultilevel"/>
    <w:tmpl w:val="09A8B41E"/>
    <w:lvl w:ilvl="0" w:tplc="148EFD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CB0774"/>
    <w:multiLevelType w:val="hybridMultilevel"/>
    <w:tmpl w:val="4B845E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990DA5"/>
    <w:multiLevelType w:val="hybridMultilevel"/>
    <w:tmpl w:val="CCE86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1C455F"/>
    <w:multiLevelType w:val="hybridMultilevel"/>
    <w:tmpl w:val="924010AE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0">
    <w:nsid w:val="1F6E06A7"/>
    <w:multiLevelType w:val="hybridMultilevel"/>
    <w:tmpl w:val="ED1AACB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1">
    <w:nsid w:val="228D2FE1"/>
    <w:multiLevelType w:val="hybridMultilevel"/>
    <w:tmpl w:val="07D0F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E6DC9"/>
    <w:multiLevelType w:val="hybridMultilevel"/>
    <w:tmpl w:val="77F6810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0B">
      <w:start w:val="1"/>
      <w:numFmt w:val="bullet"/>
      <w:lvlText w:val=""/>
      <w:lvlJc w:val="left"/>
      <w:pPr>
        <w:tabs>
          <w:tab w:val="num" w:pos="3048"/>
        </w:tabs>
        <w:ind w:left="3048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7226D34"/>
    <w:multiLevelType w:val="hybridMultilevel"/>
    <w:tmpl w:val="4208A8B4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4">
    <w:nsid w:val="286C6E2B"/>
    <w:multiLevelType w:val="hybridMultilevel"/>
    <w:tmpl w:val="511875AE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2F7199"/>
    <w:multiLevelType w:val="hybridMultilevel"/>
    <w:tmpl w:val="AF48E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E7AB1"/>
    <w:multiLevelType w:val="hybridMultilevel"/>
    <w:tmpl w:val="7CAAE964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9">
    <w:nsid w:val="513E7A60"/>
    <w:multiLevelType w:val="hybridMultilevel"/>
    <w:tmpl w:val="C944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810484"/>
    <w:multiLevelType w:val="hybridMultilevel"/>
    <w:tmpl w:val="D9866B6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1">
    <w:nsid w:val="67130AA0"/>
    <w:multiLevelType w:val="hybridMultilevel"/>
    <w:tmpl w:val="970E690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7A4B7511"/>
    <w:multiLevelType w:val="hybridMultilevel"/>
    <w:tmpl w:val="B344B9A4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3">
    <w:nsid w:val="7BD20A0E"/>
    <w:multiLevelType w:val="hybridMultilevel"/>
    <w:tmpl w:val="CA9A02F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0"/>
  </w:num>
  <w:num w:numId="5">
    <w:abstractNumId w:val="19"/>
  </w:num>
  <w:num w:numId="6">
    <w:abstractNumId w:val="1"/>
  </w:num>
  <w:num w:numId="7">
    <w:abstractNumId w:val="11"/>
  </w:num>
  <w:num w:numId="8">
    <w:abstractNumId w:val="21"/>
  </w:num>
  <w:num w:numId="9">
    <w:abstractNumId w:val="20"/>
  </w:num>
  <w:num w:numId="10">
    <w:abstractNumId w:val="2"/>
  </w:num>
  <w:num w:numId="11">
    <w:abstractNumId w:val="6"/>
  </w:num>
  <w:num w:numId="12">
    <w:abstractNumId w:val="17"/>
  </w:num>
  <w:num w:numId="13">
    <w:abstractNumId w:val="8"/>
  </w:num>
  <w:num w:numId="14">
    <w:abstractNumId w:val="22"/>
  </w:num>
  <w:num w:numId="15">
    <w:abstractNumId w:val="14"/>
  </w:num>
  <w:num w:numId="16">
    <w:abstractNumId w:val="9"/>
  </w:num>
  <w:num w:numId="17">
    <w:abstractNumId w:val="13"/>
  </w:num>
  <w:num w:numId="18">
    <w:abstractNumId w:val="18"/>
  </w:num>
  <w:num w:numId="19">
    <w:abstractNumId w:val="12"/>
  </w:num>
  <w:num w:numId="20">
    <w:abstractNumId w:val="0"/>
  </w:num>
  <w:num w:numId="21">
    <w:abstractNumId w:val="7"/>
  </w:num>
  <w:num w:numId="22">
    <w:abstractNumId w:val="15"/>
  </w:num>
  <w:num w:numId="23">
    <w:abstractNumId w:val="16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8D7"/>
    <w:rsid w:val="000736B7"/>
    <w:rsid w:val="00247430"/>
    <w:rsid w:val="002C1612"/>
    <w:rsid w:val="003433EE"/>
    <w:rsid w:val="005B5D01"/>
    <w:rsid w:val="00616EAD"/>
    <w:rsid w:val="00757326"/>
    <w:rsid w:val="007F318C"/>
    <w:rsid w:val="008718D7"/>
    <w:rsid w:val="009119AF"/>
    <w:rsid w:val="00984CC5"/>
    <w:rsid w:val="00B44FFF"/>
    <w:rsid w:val="00E07ABD"/>
    <w:rsid w:val="00F10241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48"/>
        <o:r id="V:Rule5" type="connector" idref="#_x0000_s1049"/>
        <o:r id="V:Rule6" type="connector" idref="#_x0000_s1050"/>
      </o:rules>
    </o:shapelayout>
  </w:shapeDefaults>
  <w:decimalSymbol w:val=","/>
  <w:listSeparator w:val=";"/>
  <w14:defaultImageDpi w14:val="0"/>
  <w15:chartTrackingRefBased/>
  <w15:docId w15:val="{CAE6EBAA-77EE-4CF7-913B-5E6566D8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5B5D01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5B5D0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5B5D0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5B5D0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5B5D0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5B5D0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5B5D0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5B5D0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5B5D0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a6">
    <w:name w:val="Table Grid"/>
    <w:basedOn w:val="a4"/>
    <w:uiPriority w:val="99"/>
    <w:rsid w:val="005B5D0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5B5D0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5B5D0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a">
    <w:name w:val="endnote reference"/>
    <w:uiPriority w:val="99"/>
    <w:semiHidden/>
    <w:rsid w:val="005B5D01"/>
    <w:rPr>
      <w:vertAlign w:val="superscript"/>
    </w:rPr>
  </w:style>
  <w:style w:type="paragraph" w:styleId="a8">
    <w:name w:val="Body Text"/>
    <w:basedOn w:val="a2"/>
    <w:link w:val="ab"/>
    <w:uiPriority w:val="99"/>
    <w:rsid w:val="005B5D01"/>
    <w:pPr>
      <w:ind w:firstLine="709"/>
    </w:pPr>
    <w:rPr>
      <w:lang w:eastAsia="en-US"/>
    </w:r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5B5D0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B5D0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5B5D0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B5D0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5B5D0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5B5D0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5B5D01"/>
    <w:rPr>
      <w:rFonts w:eastAsia="Times New Roman"/>
      <w:sz w:val="28"/>
      <w:szCs w:val="28"/>
      <w:lang w:val="ru-RU" w:eastAsia="en-US"/>
    </w:rPr>
  </w:style>
  <w:style w:type="paragraph" w:styleId="af2">
    <w:name w:val="footer"/>
    <w:basedOn w:val="a2"/>
    <w:link w:val="13"/>
    <w:uiPriority w:val="99"/>
    <w:semiHidden/>
    <w:rsid w:val="005B5D0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5B5D01"/>
    <w:rPr>
      <w:rFonts w:eastAsia="Times New Roman"/>
      <w:noProof/>
      <w:kern w:val="16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5B5D0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B5D01"/>
    <w:pPr>
      <w:numPr>
        <w:numId w:val="22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5B5D01"/>
    <w:pPr>
      <w:numPr>
        <w:numId w:val="23"/>
      </w:numPr>
    </w:pPr>
  </w:style>
  <w:style w:type="paragraph" w:customStyle="1" w:styleId="af5">
    <w:name w:val="литера"/>
    <w:uiPriority w:val="99"/>
    <w:rsid w:val="005B5D0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5B5D01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5B5D01"/>
    <w:rPr>
      <w:sz w:val="28"/>
      <w:szCs w:val="28"/>
    </w:rPr>
  </w:style>
  <w:style w:type="paragraph" w:styleId="af8">
    <w:name w:val="Normal (Web)"/>
    <w:basedOn w:val="a2"/>
    <w:uiPriority w:val="99"/>
    <w:rsid w:val="005B5D0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B5D01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5B5D01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5B5D0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5B5D0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5B5D0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5B5D01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5B5D0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B5D0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5B5D0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B5D01"/>
    <w:pPr>
      <w:numPr>
        <w:numId w:val="2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B5D01"/>
    <w:pPr>
      <w:numPr>
        <w:numId w:val="2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B5D0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B5D0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B5D0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B5D01"/>
    <w:rPr>
      <w:i/>
      <w:iCs/>
    </w:rPr>
  </w:style>
  <w:style w:type="paragraph" w:customStyle="1" w:styleId="afb">
    <w:name w:val="ТАБЛИЦА"/>
    <w:next w:val="a2"/>
    <w:autoRedefine/>
    <w:uiPriority w:val="99"/>
    <w:rsid w:val="005B5D01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5B5D01"/>
  </w:style>
  <w:style w:type="paragraph" w:customStyle="1" w:styleId="afc">
    <w:name w:val="Стиль ТАБЛИЦА + Междустр.интервал:  полуторный"/>
    <w:basedOn w:val="afb"/>
    <w:uiPriority w:val="99"/>
    <w:rsid w:val="005B5D01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5B5D01"/>
  </w:style>
  <w:style w:type="table" w:customStyle="1" w:styleId="16">
    <w:name w:val="Стиль таблицы1"/>
    <w:basedOn w:val="a4"/>
    <w:uiPriority w:val="99"/>
    <w:rsid w:val="005B5D0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5B5D01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5B5D01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5B5D01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5B5D01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5B5D0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– ЭЛЕМЕНТ РЫНОЧНОЙ ИНФРАСТРУКТУРЫ</vt:lpstr>
    </vt:vector>
  </TitlesOfParts>
  <Company>Организация</Company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– ЭЛЕМЕНТ РЫНОЧНОЙ ИНФРАСТРУКТУРЫ</dc:title>
  <dc:subject/>
  <dc:creator>Customer</dc:creator>
  <cp:keywords/>
  <dc:description/>
  <cp:lastModifiedBy>admin</cp:lastModifiedBy>
  <cp:revision>2</cp:revision>
  <dcterms:created xsi:type="dcterms:W3CDTF">2014-04-02T18:11:00Z</dcterms:created>
  <dcterms:modified xsi:type="dcterms:W3CDTF">2014-04-02T18:11:00Z</dcterms:modified>
</cp:coreProperties>
</file>