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CA" w:rsidRPr="0072213A" w:rsidRDefault="0072213A" w:rsidP="0072213A">
      <w:pPr>
        <w:jc w:val="center"/>
        <w:rPr>
          <w:rFonts w:ascii="Century Gothic" w:eastAsia="Batang" w:hAnsi="Century Gothic"/>
          <w:sz w:val="28"/>
          <w:szCs w:val="28"/>
          <w:u w:val="single"/>
        </w:rPr>
      </w:pPr>
      <w:r w:rsidRPr="0072213A">
        <w:rPr>
          <w:rFonts w:ascii="Century Gothic" w:eastAsia="Batang" w:hAnsi="Century Gothic"/>
          <w:sz w:val="28"/>
          <w:szCs w:val="28"/>
          <w:u w:val="single"/>
        </w:rPr>
        <w:t>Министерство образования Российской Федерации</w:t>
      </w:r>
    </w:p>
    <w:p w:rsidR="0072213A" w:rsidRPr="0072213A" w:rsidRDefault="0072213A" w:rsidP="0072213A">
      <w:pPr>
        <w:jc w:val="center"/>
        <w:rPr>
          <w:rFonts w:ascii="Century Gothic" w:eastAsia="Batang" w:hAnsi="Century Gothic"/>
          <w:sz w:val="28"/>
          <w:szCs w:val="28"/>
          <w:u w:val="single"/>
        </w:rPr>
      </w:pPr>
      <w:r w:rsidRPr="0072213A">
        <w:rPr>
          <w:rFonts w:ascii="Century Gothic" w:eastAsia="Batang" w:hAnsi="Century Gothic"/>
          <w:sz w:val="28"/>
          <w:szCs w:val="28"/>
          <w:u w:val="single"/>
        </w:rPr>
        <w:t>Казанский государственный финансово-экономический институт</w:t>
      </w:r>
    </w:p>
    <w:p w:rsidR="0072213A" w:rsidRPr="0072213A" w:rsidRDefault="0072213A" w:rsidP="0072213A">
      <w:pPr>
        <w:jc w:val="center"/>
        <w:rPr>
          <w:rFonts w:ascii="Century Gothic" w:eastAsia="Batang" w:hAnsi="Century Gothic"/>
          <w:sz w:val="28"/>
          <w:szCs w:val="28"/>
          <w:u w:val="single"/>
        </w:rPr>
      </w:pPr>
      <w:r w:rsidRPr="0072213A">
        <w:rPr>
          <w:rFonts w:ascii="Century Gothic" w:eastAsia="Batang" w:hAnsi="Century Gothic"/>
          <w:sz w:val="28"/>
          <w:szCs w:val="28"/>
          <w:u w:val="single"/>
        </w:rPr>
        <w:t>Кафедра статистики</w:t>
      </w:r>
    </w:p>
    <w:p w:rsidR="0072213A" w:rsidRDefault="0072213A" w:rsidP="0072213A">
      <w:pPr>
        <w:jc w:val="center"/>
      </w:pPr>
    </w:p>
    <w:p w:rsidR="0072213A" w:rsidRDefault="0072213A" w:rsidP="0072213A">
      <w:pPr>
        <w:jc w:val="center"/>
      </w:pPr>
    </w:p>
    <w:p w:rsidR="0089381C" w:rsidRDefault="0089381C" w:rsidP="0072213A">
      <w:pPr>
        <w:jc w:val="center"/>
      </w:pPr>
    </w:p>
    <w:p w:rsidR="0089381C" w:rsidRDefault="0089381C" w:rsidP="0072213A">
      <w:pPr>
        <w:jc w:val="center"/>
      </w:pPr>
    </w:p>
    <w:p w:rsidR="0089381C" w:rsidRDefault="0089381C" w:rsidP="0072213A">
      <w:pPr>
        <w:jc w:val="center"/>
      </w:pPr>
    </w:p>
    <w:p w:rsidR="0072213A" w:rsidRDefault="0072213A" w:rsidP="0072213A">
      <w:pPr>
        <w:jc w:val="center"/>
      </w:pPr>
    </w:p>
    <w:p w:rsidR="0072213A" w:rsidRPr="00E6297E" w:rsidRDefault="0072213A" w:rsidP="0072213A">
      <w:pPr>
        <w:jc w:val="center"/>
        <w:rPr>
          <w:rFonts w:ascii="Georgia" w:hAnsi="Georgia"/>
          <w:sz w:val="44"/>
          <w:szCs w:val="44"/>
        </w:rPr>
      </w:pPr>
      <w:r w:rsidRPr="00E6297E">
        <w:rPr>
          <w:rFonts w:ascii="Georgia" w:hAnsi="Georgia"/>
          <w:sz w:val="44"/>
          <w:szCs w:val="44"/>
        </w:rPr>
        <w:t>Реферат на тему:</w:t>
      </w:r>
    </w:p>
    <w:p w:rsidR="0089381C" w:rsidRDefault="0089381C" w:rsidP="0089381C">
      <w:pPr>
        <w:jc w:val="center"/>
        <w:rPr>
          <w:rFonts w:ascii="Algerian" w:hAnsi="Algerian"/>
          <w:sz w:val="52"/>
          <w:szCs w:val="52"/>
        </w:rPr>
      </w:pPr>
    </w:p>
    <w:p w:rsidR="0072213A" w:rsidRDefault="0072213A" w:rsidP="0089381C">
      <w:pPr>
        <w:jc w:val="center"/>
        <w:rPr>
          <w:rFonts w:ascii="Algerian" w:hAnsi="Algerian"/>
          <w:sz w:val="52"/>
          <w:szCs w:val="52"/>
        </w:rPr>
      </w:pPr>
      <w:r w:rsidRPr="0072213A">
        <w:rPr>
          <w:rFonts w:ascii="Algerian" w:hAnsi="Algerian"/>
          <w:sz w:val="52"/>
          <w:szCs w:val="52"/>
        </w:rPr>
        <w:t xml:space="preserve">Банковская система </w:t>
      </w:r>
      <w:r w:rsidR="0089381C">
        <w:rPr>
          <w:rFonts w:ascii="Algerian" w:hAnsi="Algerian"/>
          <w:sz w:val="52"/>
          <w:szCs w:val="52"/>
        </w:rPr>
        <w:t>Республики Татарстан</w:t>
      </w:r>
    </w:p>
    <w:p w:rsidR="0089381C" w:rsidRDefault="00537EB0" w:rsidP="0089381C">
      <w:pPr>
        <w:jc w:val="center"/>
        <w:rPr>
          <w:rFonts w:ascii="Algerian" w:hAnsi="Algerian"/>
          <w:sz w:val="52"/>
          <w:szCs w:val="52"/>
        </w:rPr>
      </w:pPr>
      <w:r>
        <w:rPr>
          <w:rFonts w:ascii="Algerian" w:hAnsi="Algerian"/>
          <w:noProof/>
          <w:sz w:val="52"/>
          <w:szCs w:val="52"/>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4.2pt;margin-top:35.8pt;width:135pt;height:162pt;z-index:251657216;mso-wrap-distance-left:7.5pt;mso-wrap-distance-right:7.5pt;mso-position-vertical-relative:line" o:allowoverlap="f">
            <v:imagedata r:id="rId7" o:title="tatnbank"/>
            <w10:wrap type="square"/>
          </v:shape>
        </w:pict>
      </w:r>
    </w:p>
    <w:p w:rsidR="0089381C" w:rsidRDefault="0089381C" w:rsidP="0089381C">
      <w:pPr>
        <w:jc w:val="center"/>
        <w:rPr>
          <w:rFonts w:ascii="Algerian" w:hAnsi="Algerian"/>
          <w:sz w:val="52"/>
          <w:szCs w:val="52"/>
        </w:rPr>
      </w:pPr>
    </w:p>
    <w:p w:rsidR="0089381C" w:rsidRDefault="0089381C" w:rsidP="0089381C">
      <w:pPr>
        <w:jc w:val="center"/>
        <w:rPr>
          <w:rFonts w:ascii="Algerian" w:hAnsi="Algerian"/>
          <w:sz w:val="52"/>
          <w:szCs w:val="52"/>
        </w:rPr>
      </w:pPr>
    </w:p>
    <w:p w:rsidR="0089381C" w:rsidRDefault="0089381C" w:rsidP="0089381C">
      <w:pPr>
        <w:jc w:val="center"/>
        <w:rPr>
          <w:rFonts w:ascii="Algerian" w:hAnsi="Algerian"/>
          <w:sz w:val="52"/>
          <w:szCs w:val="52"/>
        </w:rPr>
      </w:pPr>
    </w:p>
    <w:p w:rsidR="0089381C" w:rsidRDefault="0089381C" w:rsidP="0089381C">
      <w:pPr>
        <w:jc w:val="center"/>
        <w:rPr>
          <w:rFonts w:ascii="Algerian" w:hAnsi="Algerian"/>
          <w:sz w:val="52"/>
          <w:szCs w:val="52"/>
        </w:rPr>
      </w:pPr>
    </w:p>
    <w:p w:rsidR="0089381C" w:rsidRDefault="0089381C" w:rsidP="0089381C">
      <w:pPr>
        <w:jc w:val="center"/>
        <w:rPr>
          <w:rFonts w:ascii="Algerian" w:hAnsi="Algerian"/>
          <w:sz w:val="52"/>
          <w:szCs w:val="52"/>
        </w:rPr>
      </w:pPr>
    </w:p>
    <w:p w:rsidR="0089381C" w:rsidRDefault="0089381C" w:rsidP="0089381C">
      <w:pPr>
        <w:jc w:val="center"/>
        <w:rPr>
          <w:rFonts w:ascii="Algerian" w:hAnsi="Algerian"/>
          <w:sz w:val="52"/>
          <w:szCs w:val="52"/>
        </w:rPr>
      </w:pPr>
    </w:p>
    <w:p w:rsidR="0089381C" w:rsidRDefault="0089381C" w:rsidP="0089381C">
      <w:pPr>
        <w:jc w:val="center"/>
        <w:rPr>
          <w:rFonts w:ascii="Algerian" w:hAnsi="Algerian"/>
          <w:sz w:val="52"/>
          <w:szCs w:val="52"/>
        </w:rPr>
      </w:pPr>
    </w:p>
    <w:p w:rsidR="00BB5AD3" w:rsidRDefault="00BB5AD3" w:rsidP="00E6297E">
      <w:pPr>
        <w:ind w:left="5670"/>
        <w:rPr>
          <w:rFonts w:ascii="Lazurski" w:hAnsi="Lazurski" w:cs="Estrangelo Edessa"/>
          <w:sz w:val="40"/>
          <w:szCs w:val="40"/>
        </w:rPr>
      </w:pPr>
    </w:p>
    <w:p w:rsidR="0089381C" w:rsidRPr="00E6297E" w:rsidRDefault="0089381C" w:rsidP="00E6297E">
      <w:pPr>
        <w:ind w:left="5670"/>
        <w:rPr>
          <w:rFonts w:ascii="Lazurski" w:hAnsi="Lazurski" w:cs="Estrangelo Edessa"/>
          <w:sz w:val="40"/>
          <w:szCs w:val="40"/>
        </w:rPr>
      </w:pPr>
      <w:r w:rsidRPr="00E6297E">
        <w:rPr>
          <w:rFonts w:ascii="Lazurski" w:hAnsi="Lazurski" w:cs="Estrangelo Edessa"/>
          <w:sz w:val="40"/>
          <w:szCs w:val="40"/>
        </w:rPr>
        <w:t>Работу выполнил:</w:t>
      </w:r>
    </w:p>
    <w:p w:rsidR="0089381C" w:rsidRPr="00E6297E" w:rsidRDefault="0089381C" w:rsidP="00E6297E">
      <w:pPr>
        <w:ind w:left="5670"/>
        <w:rPr>
          <w:rFonts w:ascii="Lazurski" w:hAnsi="Lazurski" w:cs="Estrangelo Edessa"/>
          <w:sz w:val="40"/>
          <w:szCs w:val="40"/>
        </w:rPr>
      </w:pPr>
      <w:r w:rsidRPr="00E6297E">
        <w:rPr>
          <w:rFonts w:ascii="Lazurski" w:hAnsi="Lazurski" w:cs="Estrangelo Edessa"/>
          <w:sz w:val="40"/>
          <w:szCs w:val="40"/>
        </w:rPr>
        <w:t>студент группы № 211</w:t>
      </w:r>
    </w:p>
    <w:p w:rsidR="0089381C" w:rsidRPr="00E6297E" w:rsidRDefault="0089381C" w:rsidP="00E6297E">
      <w:pPr>
        <w:ind w:left="5670"/>
        <w:rPr>
          <w:rFonts w:ascii="Lazurski" w:hAnsi="Lazurski" w:cs="Estrangelo Edessa"/>
          <w:sz w:val="40"/>
          <w:szCs w:val="40"/>
        </w:rPr>
      </w:pPr>
      <w:r w:rsidRPr="00E6297E">
        <w:rPr>
          <w:rFonts w:ascii="Lazurski" w:hAnsi="Lazurski" w:cs="Estrangelo Edessa"/>
          <w:sz w:val="40"/>
          <w:szCs w:val="40"/>
        </w:rPr>
        <w:t>Емельянов А.А.</w:t>
      </w:r>
    </w:p>
    <w:p w:rsidR="0089381C" w:rsidRPr="00E6297E" w:rsidRDefault="0089381C" w:rsidP="00E6297E">
      <w:pPr>
        <w:ind w:left="5670"/>
        <w:rPr>
          <w:rFonts w:ascii="Lazurski" w:hAnsi="Lazurski" w:cs="Estrangelo Edessa"/>
          <w:sz w:val="40"/>
          <w:szCs w:val="40"/>
        </w:rPr>
      </w:pPr>
      <w:r w:rsidRPr="00E6297E">
        <w:rPr>
          <w:rFonts w:ascii="Lazurski" w:hAnsi="Lazurski" w:cs="Estrangelo Edessa"/>
          <w:sz w:val="40"/>
          <w:szCs w:val="40"/>
        </w:rPr>
        <w:t>Проверила:</w:t>
      </w:r>
    </w:p>
    <w:p w:rsidR="0089381C" w:rsidRPr="00E6297E" w:rsidRDefault="0089381C" w:rsidP="00E6297E">
      <w:pPr>
        <w:ind w:left="5670"/>
        <w:rPr>
          <w:rFonts w:ascii="Lazurski" w:hAnsi="Lazurski" w:cs="Estrangelo Edessa"/>
          <w:sz w:val="40"/>
          <w:szCs w:val="40"/>
        </w:rPr>
      </w:pPr>
      <w:r w:rsidRPr="00E6297E">
        <w:rPr>
          <w:rFonts w:ascii="Lazurski" w:hAnsi="Lazurski" w:cs="Estrangelo Edessa"/>
          <w:sz w:val="40"/>
          <w:szCs w:val="40"/>
        </w:rPr>
        <w:t>Протасова Л.Е.</w:t>
      </w:r>
    </w:p>
    <w:p w:rsidR="0089381C" w:rsidRPr="0089381C" w:rsidRDefault="0089381C" w:rsidP="00E6297E">
      <w:pPr>
        <w:ind w:left="5670"/>
        <w:rPr>
          <w:rFonts w:ascii="Georgia" w:hAnsi="Georgia"/>
          <w:sz w:val="40"/>
          <w:szCs w:val="40"/>
        </w:rPr>
      </w:pPr>
      <w:r>
        <w:rPr>
          <w:rFonts w:ascii="Georgia" w:hAnsi="Georgia"/>
          <w:sz w:val="40"/>
          <w:szCs w:val="40"/>
        </w:rPr>
        <w:t xml:space="preserve"> </w:t>
      </w:r>
    </w:p>
    <w:p w:rsidR="00BB5AD3" w:rsidRDefault="00BB5AD3">
      <w:pPr>
        <w:rPr>
          <w:rFonts w:ascii="Georgia" w:hAnsi="Georgia"/>
          <w:sz w:val="52"/>
          <w:szCs w:val="52"/>
        </w:rPr>
      </w:pPr>
    </w:p>
    <w:p w:rsidR="0089381C" w:rsidRDefault="0089381C">
      <w:pPr>
        <w:rPr>
          <w:rFonts w:ascii="Georgia" w:hAnsi="Georgia"/>
          <w:sz w:val="52"/>
          <w:szCs w:val="52"/>
        </w:rPr>
      </w:pPr>
    </w:p>
    <w:p w:rsidR="0013502B" w:rsidRDefault="0089381C" w:rsidP="00E6297E">
      <w:pPr>
        <w:jc w:val="center"/>
        <w:rPr>
          <w:rFonts w:ascii="Calligraph" w:hAnsi="Calligraph" w:cs="BedrockC"/>
          <w:sz w:val="52"/>
          <w:szCs w:val="52"/>
        </w:rPr>
        <w:sectPr w:rsidR="0013502B" w:rsidSect="001A5D43">
          <w:footerReference w:type="even" r:id="rId8"/>
          <w:footerReference w:type="default" r:id="rId9"/>
          <w:pgSz w:w="11907" w:h="16840" w:code="9"/>
          <w:pgMar w:top="1134" w:right="851" w:bottom="1134" w:left="1134" w:header="720" w:footer="720" w:gutter="0"/>
          <w:pgBorders w:display="firstPage" w:offsetFrom="page">
            <w:top w:val="postageStamp" w:sz="10" w:space="24" w:color="auto"/>
            <w:left w:val="postageStamp" w:sz="10" w:space="24" w:color="auto"/>
            <w:bottom w:val="postageStamp" w:sz="10" w:space="24" w:color="auto"/>
            <w:right w:val="postageStamp" w:sz="10" w:space="24" w:color="auto"/>
          </w:pgBorders>
          <w:cols w:space="708"/>
          <w:noEndnote/>
          <w:titlePg/>
          <w:docGrid w:linePitch="326"/>
        </w:sectPr>
      </w:pPr>
      <w:r w:rsidRPr="00E6297E">
        <w:rPr>
          <w:rFonts w:ascii="Calligraph" w:hAnsi="Calligraph" w:cs="BedrockC"/>
          <w:sz w:val="52"/>
          <w:szCs w:val="52"/>
        </w:rPr>
        <w:t>Казань 2003</w:t>
      </w:r>
    </w:p>
    <w:p w:rsidR="0013502B" w:rsidRDefault="0013502B" w:rsidP="0013502B"/>
    <w:p w:rsidR="00A61A4D" w:rsidRDefault="00A61A4D" w:rsidP="00CC71AF">
      <w:pPr>
        <w:spacing w:line="360" w:lineRule="auto"/>
        <w:ind w:firstLine="709"/>
        <w:jc w:val="both"/>
      </w:pPr>
      <w:r>
        <w:t xml:space="preserve">В Приволжском Федеральном округе республика Татарстан занимает первое место по количеству банков. На 1 января 2003 года в республике функционировали 25 самостоятельных банков, а также 53 отделения банка "Татарстан" Сберегательного банка РФ и филиалы банка "Российский кредит" (Москва), Зенит (Москва), Внешторгбанка (Москва), коммерческого банка "Волга-Кредит" (Самара), Импэксбанка (Москва), Альфа-банка (Москва). Кроме того, с 1998 года в республике действует одна небанковская кредитная организация " Кредит- Казань". </w:t>
      </w:r>
    </w:p>
    <w:p w:rsidR="0013502B" w:rsidRDefault="0013502B" w:rsidP="00CC71AF">
      <w:pPr>
        <w:spacing w:line="360" w:lineRule="auto"/>
        <w:ind w:firstLine="709"/>
        <w:jc w:val="both"/>
      </w:pPr>
      <w:r w:rsidRPr="0013502B">
        <w:t xml:space="preserve">Плотность банковской сети в республике составила </w:t>
      </w:r>
      <w:r w:rsidR="00A61A4D">
        <w:t xml:space="preserve">в 1998 г </w:t>
      </w:r>
      <w:r w:rsidRPr="0013502B">
        <w:t xml:space="preserve">1,1 коммерческих банков на 100 тыс. населения республики. В Казани расположено 26 банков, 9 - в Набережных Челнах, 2 банка осуществляют свою деятельность в городах Альметьевске и Нижнекамске и 1 банк в Мамадыше и Менделеевске. Кроме двух банковских центров - Казани и Набережных Челнов, остальные города и районы имеют слабую банковскую сеть, не </w:t>
      </w:r>
      <w:r w:rsidR="00410B1E">
        <w:t>обеспечивающую</w:t>
      </w:r>
      <w:r w:rsidRPr="0013502B">
        <w:t xml:space="preserve"> качество банковского сервиса предприятий и граждан и не создающую предпосылок для конкуренции в банковской сфере. Колебание экономической коньюктуры, привело к тому, что акционерные банки при увеличении уставного капитала стали больше ориентироваться на свои внутренние резервы. Для привлечения дополнительных кредитных ресурсов коммерческие банки исполняют выпуск долговых обязательств, таких как облигации, депозитные и сберегательные сертификаты, векселя. В целях помощи клиентам в одолении платежного кризиса и поддержки в ускорении расчетов между предприятиями других регионов, коммерческие банки республики предприимчиво налаживают корреспондентские связи. Банки осуществляют их путем открытия своих счетов в других банках и проведения через них иногородних платежей между соответствующими предприятиями. </w:t>
      </w:r>
    </w:p>
    <w:p w:rsidR="00B57DA1" w:rsidRDefault="0013502B" w:rsidP="00B57DA1">
      <w:pPr>
        <w:spacing w:line="360" w:lineRule="auto"/>
        <w:ind w:firstLine="709"/>
        <w:jc w:val="both"/>
      </w:pPr>
      <w:r w:rsidRPr="0013502B">
        <w:t>Банковская система РТ включает в себя Национальный банк с его расчетно-кассовыми центрами (РКЦ), коммерческие банки (в том числе уполномоченные банки, выполняющие расчетно-кассовое обслуживание и финансирование по программам правительства РТ), а также филиалы коммерческих банков других регионов, действующие на территории Татарстана. Глава банковской системы республики и регулирование деятельности коммерческих банков на ее территории - это Национальный банк РТ. Он является составной частью Центрального банка РФ, а банковская система республики, действуя в едином рублевом пространстве, владеет определенной независимостью.</w:t>
      </w:r>
    </w:p>
    <w:p w:rsidR="00A61A4D" w:rsidRDefault="0013502B" w:rsidP="00B57DA1">
      <w:pPr>
        <w:spacing w:line="360" w:lineRule="auto"/>
        <w:ind w:firstLine="709"/>
        <w:jc w:val="both"/>
      </w:pPr>
      <w:r w:rsidRPr="0013502B">
        <w:t xml:space="preserve">Татарстан относится к группе относительно замкнутых регионов, для которых характерно примерное соответствие между уровнем банковских активов и финансовых потоков. В то же время движение значительной части валютных средств, связанных с осуществлением экспортно-импортных операций, обслуживается крупными банками других регионов (финансовых центров). Банки республики сориентированы главным образом на местные финансовые ресурсы и не осуществляют серьезной экспансии в другие регионы. Ряд крупных банков имеют филиалы межбанковских кредитов. </w:t>
      </w:r>
    </w:p>
    <w:p w:rsidR="0013502B" w:rsidRPr="0013502B" w:rsidRDefault="00537EB0" w:rsidP="00CC71AF">
      <w:pPr>
        <w:spacing w:line="360" w:lineRule="auto"/>
        <w:ind w:firstLine="709"/>
        <w:jc w:val="both"/>
      </w:pPr>
      <w:r>
        <w:rPr>
          <w:noProof/>
        </w:rPr>
        <w:pict>
          <v:shape id="_x0000_s1029" type="#_x0000_t75" style="position:absolute;left:0;text-align:left;margin-left:-3.5pt;margin-top:103.85pt;width:344.85pt;height:276.65pt;z-index:-251658240;mso-wrap-distance-left:15pt;mso-wrap-distance-top:15pt;mso-wrap-distance-right:15pt;mso-wrap-distance-bottom:15pt" wrapcoords="-47 0 -47 21541 21600 21541 21600 0 -47 0" o:allowoverlap="f">
            <v:imagedata r:id="rId10" o:title="bankovskaya_syst_resp_tatarstan"/>
            <w10:wrap type="tight"/>
          </v:shape>
        </w:pict>
      </w:r>
      <w:r w:rsidR="0013502B" w:rsidRPr="0013502B">
        <w:t>По состоянию на 1 января 1998 года у 6 банков Татарстана из 29 действующих, объявленные уставные капиталы были в размере свыше 20 миллиардов рублей</w:t>
      </w:r>
      <w:r w:rsidR="008F5385">
        <w:rPr>
          <w:rStyle w:val="ac"/>
        </w:rPr>
        <w:footnoteReference w:id="1"/>
      </w:r>
      <w:r w:rsidR="0013502B" w:rsidRPr="0013502B">
        <w:t xml:space="preserve">, причем у 3 банков - в размере от 30 до 100 миллиардов рублей. По результатам работы коммерческих банков республики, балансовая прибыль действующих банков составила 510 миллиардов рублей, 4 банка допустили убытки в размере 25 миллиардов рублей. По ликвидируемым банкам убытки составили 168 млрд. рублей, прибыль - 1,2 млрд. рублей. </w:t>
      </w:r>
      <w:r w:rsidR="0013502B" w:rsidRPr="0013502B">
        <w:br/>
        <w:t xml:space="preserve">В структуре мобилизуемых банками средств почти 30% </w:t>
      </w:r>
      <w:r w:rsidR="008F5385">
        <w:t xml:space="preserve">составили </w:t>
      </w:r>
      <w:r w:rsidR="0013502B" w:rsidRPr="0013502B">
        <w:t xml:space="preserve"> вклады населения - 2724 млрд. рублей, причем по размеру привлекаемых средств бесспорное лидерство </w:t>
      </w:r>
      <w:r w:rsidR="008F5385">
        <w:t>занял</w:t>
      </w:r>
      <w:r w:rsidR="0013502B" w:rsidRPr="0013502B">
        <w:t xml:space="preserve"> Сбербанк "Татарстан" - 2038.2 млрд. рублей. </w:t>
      </w:r>
    </w:p>
    <w:p w:rsidR="00410B1E" w:rsidRDefault="00410B1E" w:rsidP="00CC71AF">
      <w:pPr>
        <w:spacing w:line="360" w:lineRule="auto"/>
        <w:ind w:firstLine="709"/>
        <w:jc w:val="both"/>
      </w:pPr>
      <w:r>
        <w:t xml:space="preserve">Масштабы банковского бизнеса в Татарстане значительно выросли. Доказательством тому является динамичный рост целого ряда основных показателей деятельности банков. Если на 1 января 2002 года с точки зрения финансового состояния в категорию проблемных кредитных организаций относились 3 банка, то на 1 января 2003 года все самостоятельные банки Татарстана являются финансово стабильными. Таким образом, истекший год подтвердил сложившую устойчивость и жизнестойкость банковской системы Татарстана. </w:t>
      </w:r>
    </w:p>
    <w:p w:rsidR="00BB5AD3" w:rsidRDefault="00410B1E" w:rsidP="00CC71AF">
      <w:pPr>
        <w:spacing w:line="360" w:lineRule="auto"/>
        <w:ind w:firstLine="709"/>
        <w:jc w:val="both"/>
      </w:pPr>
      <w:r>
        <w:t>Сегодня Татарстан занимает в Приволжском округе первое место не только по общему числу банков, но и по числу крупных кредитных организаций с зарегистрированным уставным капиталом свыше 150 млн. рублей. На 1 января 2003 года в Татарстане действуют 10 крупных банков с уставным капиталом свыше 150 млн. рублей</w:t>
      </w:r>
      <w:r w:rsidR="00BB5AD3">
        <w:t>.</w:t>
      </w:r>
    </w:p>
    <w:p w:rsidR="00410B1E" w:rsidRDefault="00410B1E" w:rsidP="00CC71AF">
      <w:pPr>
        <w:spacing w:line="360" w:lineRule="auto"/>
        <w:ind w:firstLine="709"/>
        <w:jc w:val="both"/>
      </w:pPr>
      <w:r>
        <w:t xml:space="preserve">Банки "Ак Барс", "Заречье" и "Интехбанк" имеют лицензии на осуществление операций с драгоценными металлами. Четыре самых крупных банка республики имеют генеральную лицензию на осуществление валютных операций за пределами РФ. Но пока не все банки республики имеют лицензии на осуществление операций с иностранной валютой, так из двадцати пяти республиканских банков четыре банка не имеют подобной лицензии. </w:t>
      </w:r>
    </w:p>
    <w:p w:rsidR="00410B1E" w:rsidRDefault="00410B1E" w:rsidP="00CC71AF">
      <w:pPr>
        <w:spacing w:line="360" w:lineRule="auto"/>
        <w:ind w:firstLine="709"/>
        <w:jc w:val="both"/>
      </w:pPr>
      <w:r>
        <w:t xml:space="preserve">Банки республики закончили отчетный период, как было сказано выше с положительным финансовым результатом. Наибольшая сумма прибыли приходится на банки: Ак Барс, Девон-Кредит, Спурт, Татфондбанк. При относительно небольших объемах прибыли остается высокой рентабельность банковского капитала Энергобанка, АКИбанка, Автоградбанка. </w:t>
      </w:r>
    </w:p>
    <w:p w:rsidR="00410B1E" w:rsidRDefault="00410B1E" w:rsidP="00CC71AF">
      <w:pPr>
        <w:spacing w:line="360" w:lineRule="auto"/>
        <w:ind w:firstLine="709"/>
        <w:jc w:val="both"/>
      </w:pPr>
      <w:r>
        <w:t xml:space="preserve">Хотя, в республике наблюдается стабильность работы банковской системы, но несмотря на это, банки Татарстана не удовлетворяют полностью финансовый дефицит, и нуждающиеся в денежных средствах предприятия республики вынуждены брать кредиты в Москве. Основная причина этого в том, что экономически благополучные предприятия стараются хранить свои деньги в московских банках, чтобы не засвечивать их перед местными налоговыми органами. </w:t>
      </w:r>
    </w:p>
    <w:p w:rsidR="00410B1E" w:rsidRDefault="00410B1E" w:rsidP="00CC71AF">
      <w:pPr>
        <w:spacing w:line="360" w:lineRule="auto"/>
        <w:ind w:firstLine="709"/>
        <w:jc w:val="both"/>
      </w:pPr>
      <w:r>
        <w:t xml:space="preserve">Правительство и Национальный банк РТ всегда отрицательно относились к открытию филиалов иногородних банков, опасаясь утечки капитала из республики, но очень одобряют создание дочерних банков с капиталом Татарстана, регистрация которых на территории республики обеспечивает сохранение денежных потоков. Поэтому в республике соотношение местных и иногородних кредитных организаций явно не в пользу последних. В то же время движение значительной части валютных средств, связанных с осуществлением экспортно-импортных операций, обслуживается крупными банками других регионов. </w:t>
      </w:r>
    </w:p>
    <w:p w:rsidR="00410B1E" w:rsidRDefault="00410B1E" w:rsidP="00CC71AF">
      <w:pPr>
        <w:spacing w:line="360" w:lineRule="auto"/>
        <w:ind w:firstLine="709"/>
        <w:jc w:val="both"/>
      </w:pPr>
      <w:r>
        <w:t xml:space="preserve">По мнению председателя Национального банка РТ Евгения Богачева, банковская система Татарстана должна развиваться на основе создания целой сети крупных банков, уполномоченных государством работать по нескольким приоритетным направлениям, а также на основе укрупнения и наращивания банковского капитала всеми коммерческими банками. </w:t>
      </w:r>
    </w:p>
    <w:p w:rsidR="00410B1E" w:rsidRDefault="00410B1E" w:rsidP="00CC71AF">
      <w:pPr>
        <w:spacing w:line="360" w:lineRule="auto"/>
        <w:ind w:firstLine="709"/>
        <w:jc w:val="both"/>
      </w:pPr>
      <w:r>
        <w:t xml:space="preserve">Татарстану нужен мощный банк с развитой филиальной сетью, такова позиция Правительства и Президента РТ. Для роли такого банка Правительство РТ решило выбрать «Ак Барс» банк, и всячески старается «накачать» его живыми деньгами инвестируя из бюджета увеличение его уставного капитала. Для наращивания своего потенциала «Ак Барс» банк также ищет союзников среди коммерческих банков республики для создания альянса, целью которого является формирование рынка межбанковских кредитов. </w:t>
      </w:r>
    </w:p>
    <w:p w:rsidR="00410B1E" w:rsidRDefault="00410B1E" w:rsidP="00CC71AF">
      <w:pPr>
        <w:spacing w:line="360" w:lineRule="auto"/>
        <w:ind w:firstLine="709"/>
        <w:jc w:val="both"/>
      </w:pPr>
      <w:r>
        <w:t xml:space="preserve">Но ситуация с «Ак Барс» банком до конца еще не прояснилась в связи с решением об объединении республиканского банка "Ак Барс" и московского банка "Зенит", в котором ОАО "Татнефть" хранит свои нефтедоллары. Генеральный директор ОАО "Татнефть" Шафагат Тахаутдинов на пресс-конференции, которая прошла 21 июня 2002 года, сообщил, что они намереваются провести собрание акционеров, на котором будет принято решение об объединении банков "Зенит" и "Ак Барс". Он также заявил, что "слияние может распространиться не на два, а сразу на три банка" - к банкам "Зенит" и "Ак Барс" присоединится банк "Девон-кредит". </w:t>
      </w:r>
    </w:p>
    <w:p w:rsidR="00410B1E" w:rsidRDefault="00410B1E" w:rsidP="00CC71AF">
      <w:pPr>
        <w:spacing w:line="360" w:lineRule="auto"/>
        <w:ind w:firstLine="709"/>
        <w:jc w:val="both"/>
      </w:pPr>
      <w:r>
        <w:t xml:space="preserve">Если это произойдет, новый банк обгонит по размеру капитала банк "Уралсиб" и станет крупнейшим региональным банком России. Если бы слияние состоялось сегодня, новый банк занял бы 8-е место в России по капиталу (6,34 млрд руб.). Но ради справедливости, следуют отметить, что у банка «Уралсиб» налажена широкая региональная сеть филиалов. Поэтому, если будет создан новый объедененный банк, ему предстоит огромная и тяжелая работа по созданию и расширению сети филиалов в других регионах. </w:t>
      </w:r>
    </w:p>
    <w:p w:rsidR="00410B1E" w:rsidRDefault="00410B1E" w:rsidP="00CC71AF">
      <w:pPr>
        <w:spacing w:line="360" w:lineRule="auto"/>
        <w:ind w:firstLine="709"/>
        <w:jc w:val="both"/>
      </w:pPr>
      <w:r>
        <w:t xml:space="preserve">В прошедшем году банки республики активно наращивали свои капиталы. Процесс наращивания капиталов – для банка процесс закономерный, если он связывает свою деятельность с реальным сектором экономики, с кредитованием предприятий, как это делает большинство банков республики. Так, по итогам девяти месяцев прошедшего года кредитные вложения банков в экономику республики в полтора раза превысили кредитные портфели банков многих регионов страны, например, в полтора раза больше банков Башкорстана и Нижегородской области, в два раза больше – банков Пермской области, в три раза больше - Саратовской области. </w:t>
      </w:r>
    </w:p>
    <w:p w:rsidR="00410B1E" w:rsidRDefault="00410B1E" w:rsidP="00CC71AF">
      <w:pPr>
        <w:spacing w:line="360" w:lineRule="auto"/>
        <w:ind w:firstLine="709"/>
        <w:jc w:val="both"/>
      </w:pPr>
      <w:r>
        <w:t xml:space="preserve">«Ак барс» банк – банк с высокой долей государственного участия - является не только самым прибыльным, но и одним из самых кредитующих банков России ( 24-я строчка рейтинга журнала «Профиль» по общей сумме кредитов и 13-я позиция в рейтинге банков с наибольшим объемом кредитов частным лицам). Наряду с «Ак барсом» значительные суммы кредитов предоставляются Татфондбанком – 3,8 млрд. рублей, Татагропромбанком - 1,8 млрд. рублей., «Девон-Кредитом» - 1.3 млрд. рублей, Татсоцбанком и банком «Спурт» по 0,9 млрд. рублей. В общей сумме кредитных вложений Татагропромбанка 74,2% - составляют кредиты предоставленные сельскому хозяйству. </w:t>
      </w:r>
    </w:p>
    <w:p w:rsidR="00410B1E" w:rsidRDefault="00410B1E" w:rsidP="00CC71AF">
      <w:pPr>
        <w:spacing w:line="360" w:lineRule="auto"/>
        <w:ind w:firstLine="709"/>
        <w:jc w:val="both"/>
      </w:pPr>
      <w:r>
        <w:t xml:space="preserve">Банки РТ кредитуют в основном приоритетные и перспективные для республики проекты в нефтяной, нефтехимической, оборонной, легкой промышленности, а также в сфере информационных технологий и АПК. </w:t>
      </w:r>
    </w:p>
    <w:p w:rsidR="00410B1E" w:rsidRDefault="00410B1E" w:rsidP="00CC71AF">
      <w:pPr>
        <w:spacing w:line="360" w:lineRule="auto"/>
        <w:ind w:firstLine="709"/>
        <w:jc w:val="both"/>
      </w:pPr>
      <w:r>
        <w:t xml:space="preserve">Назовем лишь наиболее значимые объекты кредитования: ОАО «Татнефть» - 1682 млн. рублей, ОАО «Нижнекамскнефтехим» - 690 млн. рублей, ОАО «Камаз» - 517,7 млн. рублей, ОАО «Казанский вертолетный завод» - 75,4 млн. рублей, ОАО «Спартак» - 285 млн. рублей, ОАО «Татэнерго» - 237 млн. рублей, ОАО «Казаньзернопродукт» - 232 млн. рублей, ОАО «Татспиртпром» - 379,7 млн. рублей. Из филиалов иногородних банков наибольший вклад в экономику республики вносит отделение Сбербанк «Татарстан». Сумма кредитов крупным предприятиям республики в прошлом году составляют больше 4 млрд. рублей. </w:t>
      </w:r>
    </w:p>
    <w:p w:rsidR="00410B1E" w:rsidRDefault="00410B1E" w:rsidP="00CC71AF">
      <w:pPr>
        <w:spacing w:line="360" w:lineRule="auto"/>
        <w:ind w:firstLine="709"/>
        <w:jc w:val="both"/>
      </w:pPr>
      <w:r>
        <w:t xml:space="preserve">Заметим еще раз, речь идет о вложениях не только на цели текущего развития предприятий, но и реализацию перспективных производственных проектов. Банки РТ активно участвуют в развитии экономики республики. </w:t>
      </w:r>
    </w:p>
    <w:p w:rsidR="00410B1E" w:rsidRDefault="00410B1E" w:rsidP="00CC71AF">
      <w:pPr>
        <w:spacing w:line="360" w:lineRule="auto"/>
        <w:ind w:firstLine="709"/>
        <w:jc w:val="both"/>
      </w:pPr>
      <w:r>
        <w:t xml:space="preserve">С точки зрения характера финансовых потоков и типа развития банковской системы Татарстан относится к группе относительно замкнутых регионов, для которых характерно примерное соответствие между уровнем банковских активов и финансовых потоков. </w:t>
      </w:r>
    </w:p>
    <w:p w:rsidR="00410B1E" w:rsidRDefault="00410B1E" w:rsidP="00CC71AF">
      <w:pPr>
        <w:spacing w:line="360" w:lineRule="auto"/>
        <w:ind w:firstLine="709"/>
        <w:jc w:val="both"/>
      </w:pPr>
      <w:r>
        <w:t xml:space="preserve">Хотя ряд крупных банков РТ и имеют филиалы в Москве, используют их исключительно для осуществления платежей, проведения валютных операций и привлечения межбанковских кредитов, и пока не намерены осуществлять серьезную экспансию в другие регионы, и ориентированы преимущественно на местные финансовые ресурсы. </w:t>
      </w:r>
    </w:p>
    <w:p w:rsidR="00410B1E" w:rsidRDefault="00410B1E" w:rsidP="00CC71AF">
      <w:pPr>
        <w:spacing w:line="360" w:lineRule="auto"/>
        <w:ind w:firstLine="709"/>
        <w:jc w:val="both"/>
      </w:pPr>
      <w:r>
        <w:t xml:space="preserve">Из-за отсутствия филиалов в других регионах России, в целях оказания клиентам быстрых расчетов между предприятиями других регионов коммерческие банки республики стараются налаживать корреспондентские отношения путем открытия своих счетов в других банках и проведения через них иногородних платежей между соответствующими предприятиями. Корреспондентские отношения, в основном, установлены с банками промышленно-финансовых центров России. </w:t>
      </w:r>
    </w:p>
    <w:p w:rsidR="00410B1E" w:rsidRDefault="00410B1E" w:rsidP="00CC71AF">
      <w:pPr>
        <w:spacing w:line="360" w:lineRule="auto"/>
        <w:ind w:firstLine="709"/>
        <w:jc w:val="both"/>
      </w:pPr>
      <w:r>
        <w:t xml:space="preserve">В заключение можно сказать, что сейчас назрела такая ситуация когда Татарстану просто необходим крупный банк с развитой филиальной сетью. Как сложится ситуация в дальнейшем пока трудно предсказать. Но одно ясно, если этого не произойдет в ближайшее время то, как бы в республике не противились появлению иногородних филиалов, дальнейшее развитие экономики, характеризирующееся увеличением межхозяйственных связей, потребует присутствия филиалов для убыстрения расчетов между предприятиями. Тем более многие крупные иногородние банки очень стремятся увеличить сферу своего влияния и делают для этого все возможное. Бизнес - есть бизнес, тем более, банковский. </w:t>
      </w:r>
    </w:p>
    <w:p w:rsidR="00B6781A" w:rsidRDefault="00B6781A" w:rsidP="0013502B">
      <w:pPr>
        <w:spacing w:line="360" w:lineRule="auto"/>
        <w:ind w:firstLine="709"/>
        <w:sectPr w:rsidR="00B6781A" w:rsidSect="001A5D43">
          <w:pgSz w:w="11907" w:h="16840" w:code="9"/>
          <w:pgMar w:top="1134" w:right="851" w:bottom="1134" w:left="1134" w:header="720" w:footer="720" w:gutter="0"/>
          <w:cols w:space="708"/>
          <w:noEndnote/>
          <w:docGrid w:linePitch="326"/>
        </w:sectPr>
      </w:pPr>
    </w:p>
    <w:p w:rsidR="00E6297E" w:rsidRDefault="00147F6E" w:rsidP="00147F6E">
      <w:pPr>
        <w:pStyle w:val="1"/>
      </w:pPr>
      <w:r>
        <w:t>Источники:</w:t>
      </w:r>
    </w:p>
    <w:p w:rsidR="00B6781A" w:rsidRPr="00C87D2E" w:rsidRDefault="00B6781A" w:rsidP="007572EF">
      <w:pPr>
        <w:pStyle w:val="g"/>
        <w:numPr>
          <w:ilvl w:val="0"/>
          <w:numId w:val="1"/>
        </w:numPr>
        <w:spacing w:before="0" w:after="0"/>
      </w:pPr>
      <w:r>
        <w:t>Краткий обзор банковской системы Республики Татарстан /</w:t>
      </w:r>
      <w:r w:rsidRPr="0005745B">
        <w:t>Хафизуллин Ильшат</w:t>
      </w:r>
      <w:r>
        <w:t xml:space="preserve"> </w:t>
      </w:r>
      <w:r w:rsidR="00C87D2E" w:rsidRPr="003973A9">
        <w:t>http</w:t>
      </w:r>
      <w:r w:rsidR="00C87D2E" w:rsidRPr="00C87D2E">
        <w:t>://</w:t>
      </w:r>
      <w:r w:rsidRPr="00C87D2E">
        <w:t>www.bank</w:t>
      </w:r>
      <w:r w:rsidR="00C87D2E" w:rsidRPr="00C87D2E">
        <w:t>ir.ru/analytics/manager/41/5590</w:t>
      </w:r>
    </w:p>
    <w:p w:rsidR="00B6781A" w:rsidRPr="00C87D2E" w:rsidRDefault="00B6781A" w:rsidP="007572EF">
      <w:pPr>
        <w:pStyle w:val="g"/>
        <w:numPr>
          <w:ilvl w:val="0"/>
          <w:numId w:val="1"/>
        </w:numPr>
        <w:spacing w:before="0" w:after="0"/>
      </w:pPr>
      <w:r w:rsidRPr="00C87D2E">
        <w:t>Банковская система РТ в 1997 году</w:t>
      </w:r>
      <w:r w:rsidR="0005745B">
        <w:br/>
      </w:r>
      <w:r w:rsidR="00C87D2E" w:rsidRPr="00C87D2E">
        <w:t>http://</w:t>
      </w:r>
      <w:r w:rsidRPr="00C87D2E">
        <w:t>www.kcn.ru/tat_ru/economics</w:t>
      </w:r>
      <w:r w:rsidR="00C87D2E" w:rsidRPr="00C87D2E">
        <w:t xml:space="preserve">/finance/info/bnksys97.html </w:t>
      </w:r>
      <w:r w:rsidRPr="00C87D2E">
        <w:t xml:space="preserve"> </w:t>
      </w:r>
    </w:p>
    <w:p w:rsidR="00B6781A" w:rsidRPr="0005745B" w:rsidRDefault="00B6781A" w:rsidP="007572EF">
      <w:pPr>
        <w:pStyle w:val="g"/>
        <w:numPr>
          <w:ilvl w:val="0"/>
          <w:numId w:val="1"/>
        </w:numPr>
        <w:spacing w:before="0" w:after="0"/>
      </w:pPr>
      <w:r w:rsidRPr="0005745B">
        <w:t>Банковская система</w:t>
      </w:r>
      <w:r w:rsidR="0005745B">
        <w:br/>
      </w:r>
      <w:r w:rsidR="0005745B" w:rsidRPr="00C87D2E">
        <w:t>http://</w:t>
      </w:r>
      <w:r w:rsidRPr="0005745B">
        <w:t>www.kcn.ru/tat_ru/economics/finance/bank_sys.html</w:t>
      </w:r>
    </w:p>
    <w:p w:rsidR="00B6781A" w:rsidRPr="0005266E" w:rsidRDefault="00B6781A" w:rsidP="0013502B">
      <w:pPr>
        <w:spacing w:line="360" w:lineRule="auto"/>
        <w:ind w:firstLine="709"/>
      </w:pPr>
      <w:bookmarkStart w:id="0" w:name="_GoBack"/>
      <w:bookmarkEnd w:id="0"/>
    </w:p>
    <w:sectPr w:rsidR="00B6781A" w:rsidRPr="0005266E" w:rsidSect="0013502B">
      <w:pgSz w:w="11907" w:h="16840" w:code="9"/>
      <w:pgMar w:top="1134" w:right="851"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EB" w:rsidRDefault="00824FEB">
      <w:r>
        <w:separator/>
      </w:r>
    </w:p>
  </w:endnote>
  <w:endnote w:type="continuationSeparator" w:id="0">
    <w:p w:rsidR="00824FEB" w:rsidRDefault="0082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azurski">
    <w:altName w:val="Times New Roman"/>
    <w:charset w:val="00"/>
    <w:family w:val="auto"/>
    <w:pitch w:val="variable"/>
    <w:sig w:usb0="00000001" w:usb1="00000000" w:usb2="00000000" w:usb3="00000000" w:csb0="00000005" w:csb1="00000000"/>
  </w:font>
  <w:font w:name="Estrangelo Edessa">
    <w:panose1 w:val="03080600000000000000"/>
    <w:charset w:val="00"/>
    <w:family w:val="script"/>
    <w:pitch w:val="variable"/>
    <w:sig w:usb0="80002043" w:usb1="00000000" w:usb2="00000080" w:usb3="00000000" w:csb0="00000001" w:csb1="00000000"/>
  </w:font>
  <w:font w:name="Calligraph">
    <w:altName w:val="Times New Roman"/>
    <w:charset w:val="00"/>
    <w:family w:val="auto"/>
    <w:pitch w:val="variable"/>
    <w:sig w:usb0="00000001" w:usb1="00000000" w:usb2="00000000" w:usb3="00000000" w:csb0="00000005" w:csb1="00000000"/>
  </w:font>
  <w:font w:name="BedrockC">
    <w:charset w:val="00"/>
    <w:family w:val="auto"/>
    <w:pitch w:val="variable"/>
    <w:sig w:usb0="00000003" w:usb1="00000000" w:usb2="0000004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43" w:rsidRDefault="001A5D43" w:rsidP="001A5D43">
    <w:pPr>
      <w:pStyle w:val="ad"/>
      <w:framePr w:wrap="around" w:vAnchor="text" w:hAnchor="margin" w:xAlign="right" w:y="1"/>
      <w:rPr>
        <w:rStyle w:val="ae"/>
      </w:rPr>
    </w:pPr>
    <w:r>
      <w:rPr>
        <w:rStyle w:val="ae"/>
        <w:noProof/>
      </w:rPr>
      <w:t>6</w:t>
    </w:r>
  </w:p>
  <w:p w:rsidR="001A5D43" w:rsidRDefault="001A5D43" w:rsidP="00147F6E">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43" w:rsidRDefault="001A5D43" w:rsidP="001A5D43">
    <w:pPr>
      <w:pStyle w:val="ad"/>
      <w:framePr w:wrap="around" w:vAnchor="text" w:hAnchor="margin" w:xAlign="right" w:y="1"/>
      <w:rPr>
        <w:rStyle w:val="ae"/>
      </w:rPr>
    </w:pPr>
    <w:r>
      <w:rPr>
        <w:rStyle w:val="ae"/>
        <w:noProof/>
      </w:rPr>
      <w:t>7</w:t>
    </w:r>
  </w:p>
  <w:p w:rsidR="001A5D43" w:rsidRDefault="001A5D43" w:rsidP="00147F6E">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EB" w:rsidRDefault="00824FEB">
      <w:r>
        <w:separator/>
      </w:r>
    </w:p>
  </w:footnote>
  <w:footnote w:type="continuationSeparator" w:id="0">
    <w:p w:rsidR="00824FEB" w:rsidRDefault="00824FEB">
      <w:r>
        <w:continuationSeparator/>
      </w:r>
    </w:p>
  </w:footnote>
  <w:footnote w:id="1">
    <w:p w:rsidR="001A5D43" w:rsidRDefault="001A5D43">
      <w:pPr>
        <w:pStyle w:val="ab"/>
      </w:pPr>
      <w:r>
        <w:rPr>
          <w:rStyle w:val="ac"/>
        </w:rPr>
        <w:footnoteRef/>
      </w:r>
      <w:r>
        <w:t xml:space="preserve"> Данные по 1998 году – в неденоминированных рублях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46E5"/>
    <w:multiLevelType w:val="hybridMultilevel"/>
    <w:tmpl w:val="0B4E1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7D5"/>
    <w:rsid w:val="000400CA"/>
    <w:rsid w:val="0005266E"/>
    <w:rsid w:val="0005745B"/>
    <w:rsid w:val="00087F67"/>
    <w:rsid w:val="0013502B"/>
    <w:rsid w:val="00147F6E"/>
    <w:rsid w:val="001A5D43"/>
    <w:rsid w:val="00333BA4"/>
    <w:rsid w:val="003973A9"/>
    <w:rsid w:val="003E6D5E"/>
    <w:rsid w:val="004057D5"/>
    <w:rsid w:val="00410B1E"/>
    <w:rsid w:val="004359B8"/>
    <w:rsid w:val="00534B00"/>
    <w:rsid w:val="00537EB0"/>
    <w:rsid w:val="0072213A"/>
    <w:rsid w:val="007572EF"/>
    <w:rsid w:val="00824FEB"/>
    <w:rsid w:val="0089381C"/>
    <w:rsid w:val="008F5385"/>
    <w:rsid w:val="00975B9C"/>
    <w:rsid w:val="00A61A4D"/>
    <w:rsid w:val="00B049BA"/>
    <w:rsid w:val="00B57DA1"/>
    <w:rsid w:val="00B6781A"/>
    <w:rsid w:val="00BB5AD3"/>
    <w:rsid w:val="00C62FF1"/>
    <w:rsid w:val="00C87D2E"/>
    <w:rsid w:val="00CC71AF"/>
    <w:rsid w:val="00E6297E"/>
    <w:rsid w:val="00F0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B5072B8-62CA-4D6F-9E07-1CEC967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350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3502B"/>
    <w:pPr>
      <w:spacing w:before="240" w:after="60"/>
      <w:jc w:val="center"/>
      <w:outlineLvl w:val="0"/>
    </w:pPr>
    <w:rPr>
      <w:rFonts w:ascii="Arial" w:hAnsi="Arial" w:cs="Arial"/>
      <w:b/>
      <w:bCs/>
      <w:kern w:val="28"/>
      <w:sz w:val="32"/>
      <w:szCs w:val="32"/>
    </w:rPr>
  </w:style>
  <w:style w:type="paragraph" w:styleId="a4">
    <w:name w:val="Body Text"/>
    <w:basedOn w:val="a"/>
    <w:rsid w:val="0013502B"/>
    <w:pPr>
      <w:spacing w:after="120"/>
    </w:pPr>
  </w:style>
  <w:style w:type="paragraph" w:styleId="a5">
    <w:name w:val="Body Text Indent"/>
    <w:basedOn w:val="a"/>
    <w:rsid w:val="0013502B"/>
    <w:pPr>
      <w:spacing w:after="120"/>
      <w:ind w:left="283"/>
    </w:pPr>
  </w:style>
  <w:style w:type="paragraph" w:styleId="a6">
    <w:name w:val="Subtitle"/>
    <w:basedOn w:val="a"/>
    <w:qFormat/>
    <w:rsid w:val="0013502B"/>
    <w:pPr>
      <w:spacing w:after="60"/>
      <w:jc w:val="center"/>
      <w:outlineLvl w:val="1"/>
    </w:pPr>
    <w:rPr>
      <w:rFonts w:ascii="Arial" w:hAnsi="Arial" w:cs="Arial"/>
    </w:rPr>
  </w:style>
  <w:style w:type="character" w:styleId="a7">
    <w:name w:val="Hyperlink"/>
    <w:rsid w:val="00B6781A"/>
    <w:rPr>
      <w:rFonts w:ascii="Arial" w:hAnsi="Arial" w:cs="Arial" w:hint="default"/>
      <w:color w:val="0000CC"/>
      <w:u w:val="single"/>
    </w:rPr>
  </w:style>
  <w:style w:type="paragraph" w:customStyle="1" w:styleId="g">
    <w:name w:val="g"/>
    <w:basedOn w:val="a"/>
    <w:rsid w:val="00B6781A"/>
    <w:pPr>
      <w:spacing w:before="240" w:after="240"/>
    </w:pPr>
    <w:rPr>
      <w:lang w:bidi="he-IL"/>
    </w:rPr>
  </w:style>
  <w:style w:type="character" w:styleId="a8">
    <w:name w:val="FollowedHyperlink"/>
    <w:rsid w:val="00B6781A"/>
    <w:rPr>
      <w:color w:val="800080"/>
      <w:u w:val="single"/>
    </w:rPr>
  </w:style>
  <w:style w:type="character" w:styleId="a9">
    <w:name w:val="Strong"/>
    <w:qFormat/>
    <w:rsid w:val="00B6781A"/>
    <w:rPr>
      <w:b/>
      <w:bCs/>
    </w:rPr>
  </w:style>
  <w:style w:type="paragraph" w:styleId="aa">
    <w:name w:val="Normal (Web)"/>
    <w:basedOn w:val="a"/>
    <w:rsid w:val="00A61A4D"/>
    <w:pPr>
      <w:spacing w:before="167" w:after="167"/>
      <w:ind w:left="167" w:right="167" w:firstLine="251"/>
    </w:pPr>
    <w:rPr>
      <w:lang w:bidi="he-IL"/>
    </w:rPr>
  </w:style>
  <w:style w:type="paragraph" w:styleId="ab">
    <w:name w:val="footnote text"/>
    <w:basedOn w:val="a"/>
    <w:semiHidden/>
    <w:rsid w:val="008F5385"/>
    <w:rPr>
      <w:sz w:val="20"/>
      <w:szCs w:val="20"/>
    </w:rPr>
  </w:style>
  <w:style w:type="character" w:styleId="ac">
    <w:name w:val="footnote reference"/>
    <w:semiHidden/>
    <w:rsid w:val="008F5385"/>
    <w:rPr>
      <w:vertAlign w:val="superscript"/>
    </w:rPr>
  </w:style>
  <w:style w:type="paragraph" w:styleId="ad">
    <w:name w:val="footer"/>
    <w:basedOn w:val="a"/>
    <w:rsid w:val="00147F6E"/>
    <w:pPr>
      <w:tabs>
        <w:tab w:val="center" w:pos="4677"/>
        <w:tab w:val="right" w:pos="9355"/>
      </w:tabs>
    </w:pPr>
  </w:style>
  <w:style w:type="character" w:styleId="ae">
    <w:name w:val="page number"/>
    <w:basedOn w:val="a0"/>
    <w:rsid w:val="00147F6E"/>
  </w:style>
  <w:style w:type="paragraph" w:styleId="af">
    <w:name w:val="header"/>
    <w:basedOn w:val="a"/>
    <w:rsid w:val="001A5D4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4604">
      <w:bodyDiv w:val="1"/>
      <w:marLeft w:val="0"/>
      <w:marRight w:val="0"/>
      <w:marTop w:val="0"/>
      <w:marBottom w:val="0"/>
      <w:divBdr>
        <w:top w:val="none" w:sz="0" w:space="0" w:color="auto"/>
        <w:left w:val="none" w:sz="0" w:space="0" w:color="auto"/>
        <w:bottom w:val="none" w:sz="0" w:space="0" w:color="auto"/>
        <w:right w:val="none" w:sz="0" w:space="0" w:color="auto"/>
      </w:divBdr>
      <w:divsChild>
        <w:div w:id="335109659">
          <w:marLeft w:val="0"/>
          <w:marRight w:val="0"/>
          <w:marTop w:val="0"/>
          <w:marBottom w:val="0"/>
          <w:divBdr>
            <w:top w:val="none" w:sz="0" w:space="0" w:color="auto"/>
            <w:left w:val="none" w:sz="0" w:space="0" w:color="auto"/>
            <w:bottom w:val="none" w:sz="0" w:space="0" w:color="auto"/>
            <w:right w:val="none" w:sz="0" w:space="0" w:color="auto"/>
          </w:divBdr>
          <w:divsChild>
            <w:div w:id="26596421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12518</CharactersWithSpaces>
  <SharedDoc>false</SharedDoc>
  <HLinks>
    <vt:vector size="6" baseType="variant">
      <vt:variant>
        <vt:i4>7536723</vt:i4>
      </vt:variant>
      <vt:variant>
        <vt:i4>-1</vt:i4>
      </vt:variant>
      <vt:variant>
        <vt:i4>1029</vt:i4>
      </vt:variant>
      <vt:variant>
        <vt:i4>1</vt:i4>
      </vt:variant>
      <vt:variant>
        <vt:lpwstr>http://www.tatarstan.intergrad.ru/image/diag/bankovskaya_syst_resp_tatarstan.jpg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Емельянов Андрей Аркадьевич</dc:creator>
  <cp:keywords/>
  <dc:description/>
  <cp:lastModifiedBy>Irina</cp:lastModifiedBy>
  <cp:revision>2</cp:revision>
  <dcterms:created xsi:type="dcterms:W3CDTF">2014-08-03T15:19:00Z</dcterms:created>
  <dcterms:modified xsi:type="dcterms:W3CDTF">2014-08-03T15:19:00Z</dcterms:modified>
</cp:coreProperties>
</file>