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38E4" w:rsidRPr="002A72FD" w:rsidRDefault="00FE38E4" w:rsidP="002A72FD">
      <w:pPr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РЕФЕРАТ</w:t>
      </w:r>
    </w:p>
    <w:p w:rsidR="00FE38E4" w:rsidRPr="002A72FD" w:rsidRDefault="00FE38E4" w:rsidP="002A72FD">
      <w:pPr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по курсу «Финансы и кредит»</w:t>
      </w:r>
    </w:p>
    <w:p w:rsidR="00FE38E4" w:rsidRPr="002A72FD" w:rsidRDefault="00FE38E4" w:rsidP="002A72FD">
      <w:pPr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по теме: «Банковская система РФ»</w:t>
      </w:r>
    </w:p>
    <w:p w:rsidR="0050447B" w:rsidRPr="002A72FD" w:rsidRDefault="002A72FD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B1AE8" w:rsidRPr="002A7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Центральный банк РФ</w:t>
      </w:r>
    </w:p>
    <w:p w:rsidR="00FB1AE8" w:rsidRPr="002A72FD" w:rsidRDefault="00FB1AE8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B1AE8" w:rsidRPr="002A72FD" w:rsidRDefault="00FB1AE8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Иерархичность структуры составляющих кредитную систему элементов заключается в выделении центрального управляющего звена и низовых (функциональных) звеньев.</w:t>
      </w:r>
    </w:p>
    <w:p w:rsidR="00FB1AE8" w:rsidRPr="002A72FD" w:rsidRDefault="00FB1AE8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Характерными для ЦБ являются следующие функции: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эмиссия и контроль денежного обращения;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расчетный и резервный центр банков;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управление государственным долгом и исполнение государственного бюджета;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выполнение роли «кредитора последней инстанции»;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установление экономически обоснованных лимитов и нормативов деятельности банков, в том числе ставки ЦБ по кредитам;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определение приоритетных целей денежно-кредитной и валютной политики;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проведение научных исследований;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определение правовых основ и принципов функционирования кредитно-финансовых институтов, рынков краткосрочных и долгосрочных операций, а также видов платежных документов;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формирование эффективного механизма денежно-кредитного регулирования экономики;</w:t>
      </w:r>
    </w:p>
    <w:p w:rsidR="002A72FD" w:rsidRDefault="00FB1AE8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В соответствии с вышеуказанными функциями строятся и активно-пассивные операции ЦБ. Важнейшим источником его ресурсов (пассивные операции) являются: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эмиссия денежных знаков, составляющая одну из основных статей пассива его баланса;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остатки средств на резервных корреспондентских счетах банков, счетах правительственных структур и организаций;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капитал и резервы банка.</w:t>
      </w:r>
    </w:p>
    <w:p w:rsidR="00FB1AE8" w:rsidRPr="002A72FD" w:rsidRDefault="00FB1AE8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Основными инструментами и методами денежно-кредитной политики Банка России являются: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процентные ставки по операциям Банка России;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нормативы обязательных резервов коммерческих банков (до 18% по рублевым счетам и 2,5% по валютным);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операции на открытом рынке;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рефинансирование банков;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валютное регулирование;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установление ориентиров роста денежной массы;</w:t>
      </w:r>
    </w:p>
    <w:p w:rsidR="00FB1AE8" w:rsidRPr="002A72FD" w:rsidRDefault="00FB1AE8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прямые количественные ограничения деятельности коммерческих банков.</w:t>
      </w:r>
    </w:p>
    <w:p w:rsidR="00FE38E4" w:rsidRPr="002A72FD" w:rsidRDefault="00FE38E4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240AF" w:rsidRPr="002A72FD" w:rsidRDefault="00E240AF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Сберегательный банк РФ</w:t>
      </w:r>
    </w:p>
    <w:p w:rsidR="00E240AF" w:rsidRPr="002A72FD" w:rsidRDefault="00E240AF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A72FD" w:rsidRDefault="00276DB4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Акционерный коммерческий Сберегательный банк Российской Федерации (Сбербанк России) создан в форме акционерного общества открытого типа в соответствии с Законом РСФСР «О банках и банковской деятельности в РСФСР». Учредителем и основным акционером Сбербанка России является Центральный банк Российской Федерации (свыше 60% акций уставного капитала). Его акционерами являются более 200 тысяч юридических и физических лиц. Сбербанк России зарегистрирован 20 июня 1991 г. в Центральном банке Российской Федерации.</w:t>
      </w:r>
    </w:p>
    <w:p w:rsidR="00276DB4" w:rsidRPr="002A72FD" w:rsidRDefault="00276DB4" w:rsidP="002A72FD">
      <w:pPr>
        <w:pStyle w:val="a6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Информация о деятельности Сбербанка России по состоянию на 01 апреля 2006г.</w:t>
      </w:r>
    </w:p>
    <w:p w:rsidR="002A72FD" w:rsidRDefault="008041D6" w:rsidP="00F71DA6">
      <w:pPr>
        <w:numPr>
          <w:ilvl w:val="0"/>
          <w:numId w:val="5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капитал – 273,1 млрд. руб.;</w:t>
      </w:r>
    </w:p>
    <w:p w:rsidR="002A72FD" w:rsidRDefault="008041D6" w:rsidP="00F71DA6">
      <w:pPr>
        <w:numPr>
          <w:ilvl w:val="0"/>
          <w:numId w:val="5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прибыль – 25,1 млрд. руб.;</w:t>
      </w:r>
    </w:p>
    <w:p w:rsidR="002A72FD" w:rsidRDefault="008041D6" w:rsidP="00F71DA6">
      <w:pPr>
        <w:numPr>
          <w:ilvl w:val="0"/>
          <w:numId w:val="5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чистая прибыль – 21,8 млрд. руб.;</w:t>
      </w:r>
    </w:p>
    <w:p w:rsidR="002A72FD" w:rsidRDefault="008041D6" w:rsidP="00F71DA6">
      <w:pPr>
        <w:numPr>
          <w:ilvl w:val="0"/>
          <w:numId w:val="5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кредитный портфель – 2 007,2 млрд. руб., в том числе кредитование юридических лиц (без МБК) – 1 453,2 млрд. руб.;</w:t>
      </w:r>
    </w:p>
    <w:p w:rsidR="002A72FD" w:rsidRDefault="008041D6" w:rsidP="00F71DA6">
      <w:pPr>
        <w:numPr>
          <w:ilvl w:val="0"/>
          <w:numId w:val="5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остаток средств на счетах физических лиц – 1 574,8 млрд. руб.;</w:t>
      </w:r>
    </w:p>
    <w:p w:rsidR="002A72FD" w:rsidRDefault="008041D6" w:rsidP="00F71DA6">
      <w:pPr>
        <w:numPr>
          <w:ilvl w:val="0"/>
          <w:numId w:val="5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доля Сбербанка в общем остатке вкладов физических лиц во всех коммерческих банках (на 1.02.2006г.):</w:t>
      </w:r>
    </w:p>
    <w:p w:rsidR="002A72FD" w:rsidRDefault="008041D6" w:rsidP="00F71DA6">
      <w:pPr>
        <w:numPr>
          <w:ilvl w:val="1"/>
          <w:numId w:val="6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рублевых – 58,2 %</w:t>
      </w:r>
    </w:p>
    <w:p w:rsidR="002A72FD" w:rsidRDefault="008041D6" w:rsidP="00F71DA6">
      <w:pPr>
        <w:numPr>
          <w:ilvl w:val="1"/>
          <w:numId w:val="6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инвалютных – 41,1 %;</w:t>
      </w:r>
    </w:p>
    <w:p w:rsidR="002A72FD" w:rsidRDefault="008041D6" w:rsidP="00F71DA6">
      <w:pPr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остаток средств юридических лиц – 598,5 млрд. руб.;</w:t>
      </w:r>
    </w:p>
    <w:p w:rsidR="002A72FD" w:rsidRDefault="008041D6" w:rsidP="00F71DA6">
      <w:pPr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филиальная сеть, ед.:</w:t>
      </w:r>
    </w:p>
    <w:p w:rsidR="002A72FD" w:rsidRDefault="008041D6" w:rsidP="00F71DA6">
      <w:pPr>
        <w:numPr>
          <w:ilvl w:val="1"/>
          <w:numId w:val="8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 xml:space="preserve">территориальные банки </w:t>
      </w:r>
      <w:r w:rsidR="004035E5" w:rsidRPr="002A72FD">
        <w:rPr>
          <w:color w:val="000000"/>
          <w:sz w:val="28"/>
          <w:szCs w:val="28"/>
        </w:rPr>
        <w:t>–</w:t>
      </w:r>
      <w:r w:rsidRPr="002A72FD">
        <w:rPr>
          <w:color w:val="000000"/>
          <w:sz w:val="28"/>
          <w:szCs w:val="28"/>
        </w:rPr>
        <w:t xml:space="preserve"> 17</w:t>
      </w:r>
      <w:r w:rsidR="004035E5" w:rsidRPr="002A72FD">
        <w:rPr>
          <w:color w:val="000000"/>
          <w:sz w:val="28"/>
          <w:szCs w:val="28"/>
        </w:rPr>
        <w:t>;</w:t>
      </w:r>
    </w:p>
    <w:p w:rsidR="002A72FD" w:rsidRDefault="008041D6" w:rsidP="00F71DA6">
      <w:pPr>
        <w:numPr>
          <w:ilvl w:val="1"/>
          <w:numId w:val="8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отделения – 959</w:t>
      </w:r>
      <w:r w:rsidR="004035E5" w:rsidRPr="002A72FD">
        <w:rPr>
          <w:color w:val="000000"/>
          <w:sz w:val="28"/>
          <w:szCs w:val="28"/>
        </w:rPr>
        <w:t>;</w:t>
      </w:r>
    </w:p>
    <w:p w:rsidR="002A72FD" w:rsidRDefault="008041D6" w:rsidP="00F71DA6">
      <w:pPr>
        <w:numPr>
          <w:ilvl w:val="1"/>
          <w:numId w:val="8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внутренние структурные подразделения – 19</w:t>
      </w:r>
      <w:r w:rsidR="004035E5" w:rsidRPr="002A72FD">
        <w:rPr>
          <w:color w:val="000000"/>
          <w:sz w:val="28"/>
          <w:szCs w:val="28"/>
        </w:rPr>
        <w:t> </w:t>
      </w:r>
      <w:r w:rsidRPr="002A72FD">
        <w:rPr>
          <w:color w:val="000000"/>
          <w:sz w:val="28"/>
          <w:szCs w:val="28"/>
        </w:rPr>
        <w:t>325</w:t>
      </w:r>
      <w:r w:rsidR="004035E5" w:rsidRPr="002A72FD">
        <w:rPr>
          <w:color w:val="000000"/>
          <w:sz w:val="28"/>
          <w:szCs w:val="28"/>
        </w:rPr>
        <w:t>.</w:t>
      </w:r>
    </w:p>
    <w:p w:rsidR="00FE38E4" w:rsidRPr="002A72FD" w:rsidRDefault="00FE38E4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035E5" w:rsidRPr="002A72FD" w:rsidRDefault="002A72FD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4035E5" w:rsidRPr="002A7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Коммерческие банки</w:t>
      </w:r>
    </w:p>
    <w:p w:rsidR="004035E5" w:rsidRPr="002A72FD" w:rsidRDefault="004035E5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E5C33" w:rsidRPr="002A72FD" w:rsidRDefault="007E5C33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Банки – учреждение,</w:t>
      </w:r>
      <w:r w:rsidR="002A7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>организация, сфера деятельности которого торговля деньгами и предоставление связанных с ними услуг (посредничество в платежах, кассовое обслуживание, управление депозитами и другим имуществом клиента).</w:t>
      </w:r>
    </w:p>
    <w:p w:rsidR="007E5C33" w:rsidRPr="002A72FD" w:rsidRDefault="007E5C33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Банки подразделяются на эмиссионные и не эмиссионные. Эмиссионные – как правило, центральный банк, наделенный монопольным правом выпуска банковских билетов.</w:t>
      </w:r>
    </w:p>
    <w:p w:rsidR="007E5C33" w:rsidRPr="002A72FD" w:rsidRDefault="007E5C33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Эмиссия – выпуск в обращение банковских и казначейских билетов, бумажных денег и ценных бумаг.</w:t>
      </w:r>
    </w:p>
    <w:p w:rsidR="004035E5" w:rsidRPr="002A72FD" w:rsidRDefault="007E5C33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Система коммерческих банков (КБ) в РФ в ее современном виде формируется с 1988 г. в соответствии с Законом РСФСР от 2.12.90 г. «О банках и банковской деятельности в РСФСР» и Законом «О Центральном Банке Российской Федерации».</w:t>
      </w:r>
    </w:p>
    <w:p w:rsidR="007E5C33" w:rsidRPr="002A72FD" w:rsidRDefault="007E5C33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Банки осуществляют свою деятельность на основе лицензий нескольких видов:</w:t>
      </w:r>
    </w:p>
    <w:p w:rsidR="007E5C33" w:rsidRPr="002A72FD" w:rsidRDefault="007E5C33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лицензий на осуществление банковских операций (как правило, универсальных);</w:t>
      </w:r>
    </w:p>
    <w:p w:rsidR="007E5C33" w:rsidRPr="002A72FD" w:rsidRDefault="007E5C33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валютных лицензий 4-х видов</w:t>
      </w:r>
      <w:r w:rsidR="002A72FD">
        <w:rPr>
          <w:color w:val="000000"/>
          <w:sz w:val="28"/>
          <w:szCs w:val="28"/>
        </w:rPr>
        <w:t xml:space="preserve"> </w:t>
      </w:r>
      <w:r w:rsidRPr="002A72FD">
        <w:rPr>
          <w:color w:val="000000"/>
          <w:sz w:val="28"/>
          <w:szCs w:val="28"/>
        </w:rPr>
        <w:t>на 1.06.98 - у 732 кредитных организации:</w:t>
      </w:r>
    </w:p>
    <w:p w:rsidR="007E5C33" w:rsidRPr="002A72FD" w:rsidRDefault="007E5C33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простых</w:t>
      </w:r>
      <w:r w:rsidR="002A72FD">
        <w:rPr>
          <w:color w:val="000000"/>
          <w:sz w:val="28"/>
          <w:szCs w:val="28"/>
        </w:rPr>
        <w:t xml:space="preserve"> </w:t>
      </w:r>
      <w:r w:rsidRPr="002A72FD">
        <w:rPr>
          <w:color w:val="000000"/>
          <w:sz w:val="28"/>
          <w:szCs w:val="28"/>
        </w:rPr>
        <w:t>(без права самостоятельного установления корреспондентских отношений с иностранными банками и работу с валютой через банк, имеющий генеральную лицензию);</w:t>
      </w:r>
    </w:p>
    <w:p w:rsidR="002A72FD" w:rsidRDefault="007E5C33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расширенных (с правом на установление корреспондентских отношений</w:t>
      </w:r>
      <w:r w:rsidR="002A72FD">
        <w:rPr>
          <w:color w:val="000000"/>
          <w:sz w:val="28"/>
          <w:szCs w:val="28"/>
        </w:rPr>
        <w:t xml:space="preserve"> </w:t>
      </w:r>
      <w:r w:rsidRPr="002A72FD">
        <w:rPr>
          <w:color w:val="000000"/>
          <w:sz w:val="28"/>
          <w:szCs w:val="28"/>
        </w:rPr>
        <w:t>с 6 банками из развитых капиталистических стран);</w:t>
      </w:r>
    </w:p>
    <w:p w:rsidR="002A72FD" w:rsidRDefault="007E5C33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генеральных (с правом на установление корреспондентских отношений с неограниченным количеством иностранных банков, правом на открытие своих филиалов и представительств в других странах (при наличии разрешения этих стран, как правило 1:1));</w:t>
      </w:r>
    </w:p>
    <w:p w:rsidR="007E5C33" w:rsidRPr="002A72FD" w:rsidRDefault="007E5C33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по осуществлению операций</w:t>
      </w:r>
      <w:r w:rsidR="002A72FD">
        <w:rPr>
          <w:color w:val="000000"/>
          <w:sz w:val="28"/>
          <w:szCs w:val="28"/>
        </w:rPr>
        <w:t xml:space="preserve"> </w:t>
      </w:r>
      <w:r w:rsidRPr="002A72FD">
        <w:rPr>
          <w:color w:val="000000"/>
          <w:sz w:val="28"/>
          <w:szCs w:val="28"/>
        </w:rPr>
        <w:t>с драгоценными металлами.</w:t>
      </w:r>
    </w:p>
    <w:p w:rsidR="00FE38E4" w:rsidRPr="002A72FD" w:rsidRDefault="00FE38E4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4717" w:rsidRPr="002A72FD" w:rsidRDefault="002A72FD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E38E4" w:rsidRPr="002A7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A4717" w:rsidRPr="002A7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Операции банка</w:t>
      </w:r>
    </w:p>
    <w:p w:rsidR="006A4717" w:rsidRPr="002A72FD" w:rsidRDefault="006A4717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005A" w:rsidRP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Активные операции коммерческих банков </w:t>
      </w:r>
      <w:r w:rsidR="00D541F7" w:rsidRPr="002A72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 это операции, связанные с размещением банковских ресурсов.</w:t>
      </w:r>
    </w:p>
    <w:p w:rsid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В зависимости от срока различают: срочные (на определенный срок) и онкольные (возвращаемые</w:t>
      </w:r>
      <w:r w:rsidR="002A7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>по первому требованию) ссуды и кредиты.</w:t>
      </w:r>
    </w:p>
    <w:p w:rsidR="008D005A" w:rsidRP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В зависимости от обеспечения различают:</w:t>
      </w:r>
    </w:p>
    <w:p w:rsidR="008D005A" w:rsidRPr="002A72FD" w:rsidRDefault="008D005A" w:rsidP="00F71DA6">
      <w:pPr>
        <w:pStyle w:val="ae"/>
        <w:numPr>
          <w:ilvl w:val="0"/>
          <w:numId w:val="9"/>
        </w:numPr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Вексельные ссуды, в том числе:</w:t>
      </w:r>
    </w:p>
    <w:p w:rsidR="008D005A" w:rsidRPr="002A72FD" w:rsidRDefault="008D005A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учет (дисконтирование) векселей, то есть их покупка до поступления срока платежа;</w:t>
      </w:r>
    </w:p>
    <w:p w:rsidR="008D005A" w:rsidRPr="002A72FD" w:rsidRDefault="008D005A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акцептные операции, то есть выдача гарантий по оплате векселей своей солидной клиентуры за свой счет;</w:t>
      </w:r>
    </w:p>
    <w:p w:rsidR="008D005A" w:rsidRPr="002A72FD" w:rsidRDefault="008D005A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 xml:space="preserve">аваль </w:t>
      </w:r>
      <w:r w:rsidR="00D541F7" w:rsidRPr="002A72FD">
        <w:rPr>
          <w:color w:val="000000"/>
          <w:sz w:val="28"/>
          <w:szCs w:val="28"/>
        </w:rPr>
        <w:t>–</w:t>
      </w:r>
      <w:r w:rsidRPr="002A72FD">
        <w:rPr>
          <w:color w:val="000000"/>
          <w:sz w:val="28"/>
          <w:szCs w:val="28"/>
        </w:rPr>
        <w:t xml:space="preserve"> выдача гарантий платежеспособности векселедателя. Ответственность по платежам переходит на банк в случае неспособности векселедателя оплатить вексель.</w:t>
      </w:r>
    </w:p>
    <w:p w:rsidR="008D005A" w:rsidRPr="002A72FD" w:rsidRDefault="008D005A" w:rsidP="00F71DA6">
      <w:pPr>
        <w:pStyle w:val="2"/>
        <w:numPr>
          <w:ilvl w:val="0"/>
          <w:numId w:val="4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выдача ссуд под залог векселей (под 50-70% от номинала).</w:t>
      </w:r>
    </w:p>
    <w:p w:rsidR="008D005A" w:rsidRPr="002A72FD" w:rsidRDefault="008D005A" w:rsidP="00F71DA6">
      <w:pPr>
        <w:pStyle w:val="2"/>
        <w:numPr>
          <w:ilvl w:val="0"/>
          <w:numId w:val="9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 xml:space="preserve">Подтоварные ссуды </w:t>
      </w:r>
      <w:r w:rsidR="00D541F7" w:rsidRPr="002A72FD">
        <w:rPr>
          <w:color w:val="000000"/>
          <w:sz w:val="28"/>
          <w:szCs w:val="28"/>
        </w:rPr>
        <w:t>–</w:t>
      </w:r>
      <w:r w:rsidRPr="002A72FD">
        <w:rPr>
          <w:color w:val="000000"/>
          <w:sz w:val="28"/>
          <w:szCs w:val="28"/>
        </w:rPr>
        <w:t xml:space="preserve"> ссуды под залог товаров и товарораспорядительных документов: например, варрантов (свидетельств о принятии товаров на ответственное хранение на склад); железнодорожных накладных; коносаментов (свидетельств о приеме груза на борт корабля); накладных о перевозке грузов автомобилями, самолетами и т.д. Выдают ссуды в размере 50-70% стоимости товара.</w:t>
      </w:r>
    </w:p>
    <w:p w:rsidR="008D005A" w:rsidRPr="002A72FD" w:rsidRDefault="008D005A" w:rsidP="00F71DA6">
      <w:pPr>
        <w:pStyle w:val="2"/>
        <w:numPr>
          <w:ilvl w:val="0"/>
          <w:numId w:val="9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Фондовые операции, то есть ссуды под обеспечение ценных бумаг (из расчета 50-60% обеспечения) и покупка ценных бумаг банком за свой счет (в основном это государственные ценные бумаги, акции нефтедобывающих и перерабатывающих предприятий).</w:t>
      </w:r>
    </w:p>
    <w:p w:rsidR="008D005A" w:rsidRPr="002A72FD" w:rsidRDefault="008D005A" w:rsidP="00F71DA6">
      <w:pPr>
        <w:pStyle w:val="2"/>
        <w:numPr>
          <w:ilvl w:val="0"/>
          <w:numId w:val="9"/>
        </w:numPr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Лизинговые операции.</w:t>
      </w:r>
    </w:p>
    <w:p w:rsid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Пассивные операции </w:t>
      </w:r>
      <w:r w:rsidR="00D541F7" w:rsidRPr="002A72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 это операции, связанные с формированием ресурсов банка. Ресурсы формируются за счет собственных, привлеченных и эмитированных средств.</w:t>
      </w:r>
    </w:p>
    <w:p w:rsidR="008D005A" w:rsidRP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Собственные средства</w:t>
      </w:r>
      <w:r w:rsidR="002A7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1F7" w:rsidRPr="002A72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 акционерный капитал, резервный капитал, нераспределенная прибыль.</w:t>
      </w:r>
    </w:p>
    <w:p w:rsid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>Привлеченные средства</w:t>
      </w:r>
      <w:r w:rsidR="002A7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1F7" w:rsidRPr="002A72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 депозиты (вклады), контокоррентные и корреспондентские счета.</w:t>
      </w:r>
    </w:p>
    <w:p w:rsidR="008D005A" w:rsidRP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Депозиты </w:t>
      </w:r>
      <w:r w:rsidR="00D541F7" w:rsidRPr="002A72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 вклады до востребования, срочные и сберегательные. Важным источником являются межбанковские кредиты.</w:t>
      </w:r>
    </w:p>
    <w:p w:rsidR="008D005A" w:rsidRP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Контокоррентный счет </w:t>
      </w:r>
      <w:r w:rsidR="00D541F7" w:rsidRPr="002A72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 единый активно-пассивный счет, посредством которого осуществляются все расчетные и кредитные операции между клиентом и банком.</w:t>
      </w:r>
    </w:p>
    <w:p w:rsidR="008D005A" w:rsidRP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Корреспондентский счет </w:t>
      </w:r>
      <w:r w:rsidR="00D541F7" w:rsidRPr="002A72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 счета других дружественных банков, открытых в настоящем банке.</w:t>
      </w:r>
    </w:p>
    <w:p w:rsidR="008D005A" w:rsidRPr="002A72FD" w:rsidRDefault="008D005A" w:rsidP="002A72FD">
      <w:pPr>
        <w:pStyle w:val="aa"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Эмитированные средства банков </w:t>
      </w:r>
      <w:r w:rsidR="00D541F7" w:rsidRPr="002A72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A7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>есть средства клиентуры, вложенные в ценные бумаги банка (в облигации и векселя).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Банковские кредиты классифицируются по ряду базовых признаков: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1) Сроки погашения.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Краткосрочные ссуды, предоставляются, как правило, на восполнение временного недостатка собственных оборотных средств у заемщика. Совокупность подобных операций образует автономный сегмент рынка ссудных капиталов</w:t>
      </w:r>
      <w:r w:rsidR="00782F54" w:rsidRPr="002A72FD">
        <w:rPr>
          <w:color w:val="000000"/>
          <w:sz w:val="28"/>
          <w:szCs w:val="28"/>
        </w:rPr>
        <w:t xml:space="preserve"> </w:t>
      </w:r>
      <w:r w:rsidRPr="002A72FD">
        <w:rPr>
          <w:color w:val="000000"/>
          <w:sz w:val="28"/>
          <w:szCs w:val="28"/>
        </w:rPr>
        <w:t>– денежный рынок. Средний срок погашения по этому виду кредита обычно не превышает шести месяцев. Наиболее активно применяются краткосрочные ссуды на фондовом рынке, в торговле и сфере услуг, в режиме межбанковского кредитования.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В современных отечественных условиях краткосрочные кредиты, получившие однозначно доминирующий характер на рынке ссудных капиталов, характеризуется следующими отличительными признаками:</w:t>
      </w:r>
    </w:p>
    <w:p w:rsidR="002A72FD" w:rsidRDefault="009613C3" w:rsidP="00F71DA6">
      <w:pPr>
        <w:numPr>
          <w:ilvl w:val="0"/>
          <w:numId w:val="13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более короткими сроками, обычно не превышающими одного месяца;</w:t>
      </w:r>
    </w:p>
    <w:p w:rsidR="002A72FD" w:rsidRDefault="009613C3" w:rsidP="00F71DA6">
      <w:pPr>
        <w:numPr>
          <w:ilvl w:val="0"/>
          <w:numId w:val="13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ставкой процента, обратно пропорциональной сроку возврата ссуды;</w:t>
      </w:r>
    </w:p>
    <w:p w:rsidR="009613C3" w:rsidRPr="002A72FD" w:rsidRDefault="009613C3" w:rsidP="00F71DA6">
      <w:pPr>
        <w:numPr>
          <w:ilvl w:val="0"/>
          <w:numId w:val="13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обслуживанием в основном сферы обращения, так как недоступны из-за цен для структур производственного характера.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Среднесрочные ссуды, предоставляются на срок до одного года (в отечественных условиях – до трех-шести месяцев) на цели как производственного, так и чисто коммерческого характера. Наибольшее распространение получили в аграрном секторе, а также при кредитовании инновационных процессов со средними объемами требуемых инвестиций.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Долгосрочные ссуды, предоставляются, как правило, в инвестиционных целях. Как и среднесрочные ссуды, они обслуживают движение основных средств, отличаясь большими объемами передаваемых кредитных ресурсов. Применяются при кредитовании реконструкции, технического перевооружения, нового строительства на предприятиях всех сфер деятельности. Особое развитие получили в капитальном строительстве, топливно-энергетическом комплексе, сырьевых отраслях экономики. Средний срок их погашения обычно от трех до пяти лет, но может достигать 25 и более лет, особенно при получении соответствующих финансовых гарантий со стороны государства.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2) Способ погашения.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Здесь выделяют два способа. В первую очередь, ссуды, погашаемые единовременным взносом (платежом) со стороны заемщика. Это – традиционная форма возврата краткосрочных ссуд, весьма функциональная с позиции юридического оформления, так как не требует использования механизма исчисления дифференцированного процента.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Существуют также ссуды, погашаемые в рассрочку в течение всего срока действия кредитного договора. Конкретные условия (порядок) возврата определяются договором, в том числе – в части антиинфляционной защиты интересов кредитора. Всегда используются при долгосрочных ссудах и, как правило, при среднесрочных.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3) Способ взимания ссудного процента.</w:t>
      </w:r>
    </w:p>
    <w:p w:rsidR="009613C3" w:rsidRPr="002A72FD" w:rsidRDefault="009613C3" w:rsidP="00F71DA6">
      <w:pPr>
        <w:numPr>
          <w:ilvl w:val="0"/>
          <w:numId w:val="10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Ссуды, процент по которым выплачивается в момент ее общего погашения. Традиционная для рыночной экономики форма оплаты краткосрочных ссуд, имеющая наиболее функциональный с позиции простоты расчета характер.</w:t>
      </w:r>
    </w:p>
    <w:p w:rsidR="009613C3" w:rsidRPr="002A72FD" w:rsidRDefault="009613C3" w:rsidP="00F71DA6">
      <w:pPr>
        <w:numPr>
          <w:ilvl w:val="0"/>
          <w:numId w:val="10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Ссуды, процент по которым выплачивается равномерными взносами заемщика в течение всего срока действия кредитного договора. Традиционная форма оплаты средне- и долгосрочных ссуд, имеющая достаточно дифференцированный характер в зависимости от договоренности сторон (например, по долгосрочным ссудам выплата процента может начинаться как по завершении первого года пользования кредитом, так и спустя более продолжительный срок).</w:t>
      </w:r>
    </w:p>
    <w:p w:rsidR="009613C3" w:rsidRPr="002A72FD" w:rsidRDefault="009613C3" w:rsidP="00F71DA6">
      <w:pPr>
        <w:numPr>
          <w:ilvl w:val="0"/>
          <w:numId w:val="10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Ссуды, процент по которым удерживается банком в момент непосредственной выдачи их заемщику. Для развитой рыночной экономики эта форма абсолютно нехарактерна и используется лишь ростовщическим капиталом. Из-за нестабильности экономической ситуации активно применялась в период 1993-1995 гг. многими российскими коммерческими банками, особенно по сверхкраткосрочным (до пяти рабочих дней) ссудам.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4) Наличие обеспечения.</w:t>
      </w:r>
    </w:p>
    <w:p w:rsidR="009613C3" w:rsidRPr="002A72FD" w:rsidRDefault="009613C3" w:rsidP="00F71DA6">
      <w:pPr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Доверительные (бланковые) ссуды, единственной формой обеспечения возврата которых является непосредственно кредитный договор. В ограниченном объеме применяются некоторыми зарубежными банками в процессе кредитования постоянных клиентов, пользующихся их полным доверием (подкрепленным возможностью непосредственно контролировать текущее состояние расчетного счета заемщика). При средне- и долгосрочном кредитовании могут использоваться лишь в порядке исключения с обязательным страхованием выданной ссуды, обычно – за счет заемщика. В отечественной практике применяются коммерческими банками лишь при кредитовании собственных учреждений.</w:t>
      </w:r>
    </w:p>
    <w:p w:rsidR="009613C3" w:rsidRPr="002A72FD" w:rsidRDefault="009613C3" w:rsidP="00F71DA6">
      <w:pPr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Обеспеченные ссуды являются основной разновидностью современного банковского кредита, выражая один из его базовых принципов. В роли обеспечения может выступить любое имущество, принадлежащее заемщику на правах собственности: недвижимость; ценные бумаги; продукция; депозиты, размещенные в банке, выдающем кредит. В роли обеспечения могут выступить также права и требования по контрактам и договорам заемщика. Такое обеспечение называется факторингом. При нарушении заемщиком своих обязательств это имущество переходит в собственность банка, который в процессе его реализации возмещает понесенные убытки. Размер выдаваемой ссуды, как правило, меньше среднерыночной стоимости предложенного обеспечения и определяется соглашением сторон. В отечественных условиях основная проблема при оформлении обеспеченных кредитов – процедура оценки стоимости имущества из-за незавершенности процесса формирования ипотечного и фондового рынков.</w:t>
      </w:r>
    </w:p>
    <w:p w:rsidR="009613C3" w:rsidRPr="002A72FD" w:rsidRDefault="009613C3" w:rsidP="00F71DA6">
      <w:pPr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Ссуды под финансовые гарантии третьих лиц, реальным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договора. В роли финансового гаранта могут выступать юридические лица, пользующиеся достаточным доверием со стороны кредитора, а также органы государственной власти любого уровня. В условиях развитой рыночной экономики получили широкое распространение, прежде всего в сфере долгосрочного кредитования, в отечественной практике до настоящего времени имеют ограниченное применение из-за недостаточного доверия со стороны кредитных организаций не только к юридическим лицам, но и к государственным органам, особенно муниципального к регионального уровней.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5) Целевое назначение.</w:t>
      </w:r>
    </w:p>
    <w:p w:rsidR="009613C3" w:rsidRPr="002A72FD" w:rsidRDefault="009613C3" w:rsidP="00F71DA6">
      <w:pPr>
        <w:numPr>
          <w:ilvl w:val="0"/>
          <w:numId w:val="12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Ссуды общего характера, используемые заемщиком по своему усмотрению для удовлетворения любых потребностей в финансовых ресурсах. В современных условиях имеют ограниченное применение в сфере краткосрочного кредитования, при средне- и долгосрочном кредитовании практически не используется.</w:t>
      </w:r>
    </w:p>
    <w:p w:rsidR="009613C3" w:rsidRPr="002A72FD" w:rsidRDefault="009613C3" w:rsidP="00F71DA6">
      <w:pPr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Целевые ссуды, предполагающие необходимость для заемщика использовать выделенные банком ресурсы исключительно для решения задач, определенных условиями кредитного договора. (Например, расчета за приобретаемые товары, выплаты заработной платы персоналу, капитального развития и т. п.) Нарушение указанных обязательств, влечет за собою применение к заемщику установленных договором санкций в форме досрочного отзыва кредита или увеличения процентной ставки, начисления штрафных процентов.</w:t>
      </w:r>
    </w:p>
    <w:p w:rsidR="009613C3" w:rsidRPr="002A72FD" w:rsidRDefault="009613C3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6) Категории потенциальных заемщиков.</w:t>
      </w:r>
    </w:p>
    <w:p w:rsidR="00FE38E4" w:rsidRPr="002A72FD" w:rsidRDefault="00FE38E4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color w:val="000000"/>
          <w:sz w:val="28"/>
          <w:szCs w:val="28"/>
        </w:rPr>
      </w:pPr>
    </w:p>
    <w:p w:rsidR="00E82200" w:rsidRPr="002A72FD" w:rsidRDefault="002A72FD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 w:rsidRPr="002A72FD">
        <w:rPr>
          <w:b/>
          <w:bCs/>
          <w:color w:val="000000"/>
          <w:sz w:val="28"/>
          <w:szCs w:val="28"/>
        </w:rPr>
        <w:t>5</w:t>
      </w:r>
      <w:r w:rsidR="00E82200" w:rsidRPr="002A72FD">
        <w:rPr>
          <w:b/>
          <w:bCs/>
          <w:color w:val="000000"/>
          <w:sz w:val="28"/>
          <w:szCs w:val="28"/>
        </w:rPr>
        <w:t>. Нетрадиционные операции коммерческих банков</w:t>
      </w:r>
    </w:p>
    <w:p w:rsidR="00E82200" w:rsidRPr="002A72FD" w:rsidRDefault="00E82200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color w:val="000000"/>
          <w:sz w:val="28"/>
          <w:szCs w:val="28"/>
        </w:rPr>
      </w:pPr>
    </w:p>
    <w:p w:rsidR="00473A2B" w:rsidRPr="002A72FD" w:rsidRDefault="00473A2B" w:rsidP="00F71DA6">
      <w:pPr>
        <w:pStyle w:val="aa"/>
        <w:numPr>
          <w:ilvl w:val="0"/>
          <w:numId w:val="14"/>
        </w:numPr>
        <w:tabs>
          <w:tab w:val="clear" w:pos="720"/>
          <w:tab w:val="num" w:pos="1080"/>
        </w:tabs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Комиссионные операции </w:t>
      </w:r>
      <w:r w:rsidR="00D75854" w:rsidRPr="002A72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A72FD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поручения своих клиентов за их счет (например, перевод денег, в том числе и за рубеж).</w:t>
      </w:r>
    </w:p>
    <w:p w:rsidR="00473A2B" w:rsidRPr="002A72FD" w:rsidRDefault="00473A2B" w:rsidP="00F71DA6">
      <w:pPr>
        <w:pStyle w:val="2"/>
        <w:numPr>
          <w:ilvl w:val="0"/>
          <w:numId w:val="14"/>
        </w:numPr>
        <w:tabs>
          <w:tab w:val="clear" w:pos="720"/>
          <w:tab w:val="num" w:pos="1080"/>
        </w:tabs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Аккредитивн</w:t>
      </w:r>
      <w:r w:rsidR="00762126" w:rsidRPr="002A72FD">
        <w:rPr>
          <w:color w:val="000000"/>
          <w:sz w:val="28"/>
          <w:szCs w:val="28"/>
        </w:rPr>
        <w:t>ые</w:t>
      </w:r>
      <w:r w:rsidRPr="002A72FD">
        <w:rPr>
          <w:color w:val="000000"/>
          <w:sz w:val="28"/>
          <w:szCs w:val="28"/>
        </w:rPr>
        <w:t xml:space="preserve"> операци</w:t>
      </w:r>
      <w:r w:rsidR="00762126" w:rsidRPr="002A72FD">
        <w:rPr>
          <w:color w:val="000000"/>
          <w:sz w:val="28"/>
          <w:szCs w:val="28"/>
        </w:rPr>
        <w:t>и</w:t>
      </w:r>
      <w:r w:rsidRPr="002A72FD">
        <w:rPr>
          <w:color w:val="000000"/>
          <w:sz w:val="28"/>
          <w:szCs w:val="28"/>
        </w:rPr>
        <w:t xml:space="preserve"> </w:t>
      </w:r>
      <w:r w:rsidR="00D75854" w:rsidRPr="002A72FD">
        <w:rPr>
          <w:color w:val="000000"/>
          <w:sz w:val="28"/>
          <w:szCs w:val="28"/>
        </w:rPr>
        <w:t>–</w:t>
      </w:r>
      <w:r w:rsidRPr="002A72FD">
        <w:rPr>
          <w:color w:val="000000"/>
          <w:sz w:val="28"/>
          <w:szCs w:val="28"/>
        </w:rPr>
        <w:t xml:space="preserve"> поручение от клиента произвести платежи третьему лицу, в том числе и на определенных условиях, принять к оплате (акцептовать) векселя, выданные клиентом. Различают товарный и денежный аккредитив.</w:t>
      </w:r>
    </w:p>
    <w:p w:rsidR="00473A2B" w:rsidRPr="002A72FD" w:rsidRDefault="00473A2B" w:rsidP="00F71DA6">
      <w:pPr>
        <w:pStyle w:val="2"/>
        <w:numPr>
          <w:ilvl w:val="0"/>
          <w:numId w:val="14"/>
        </w:numPr>
        <w:tabs>
          <w:tab w:val="clear" w:pos="720"/>
          <w:tab w:val="num" w:pos="1080"/>
        </w:tabs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 xml:space="preserve">Инкассовые операции </w:t>
      </w:r>
      <w:r w:rsidR="00D75854" w:rsidRPr="002A72FD">
        <w:rPr>
          <w:color w:val="000000"/>
          <w:sz w:val="28"/>
          <w:szCs w:val="28"/>
        </w:rPr>
        <w:t>–</w:t>
      </w:r>
      <w:r w:rsidRPr="002A72FD">
        <w:rPr>
          <w:color w:val="000000"/>
          <w:sz w:val="28"/>
          <w:szCs w:val="28"/>
        </w:rPr>
        <w:t xml:space="preserve"> это операции по получению банками для клиентов денег по их поручению и за их счет по различным документам (чекам, векселям, товарным документам и ценным бумагам).</w:t>
      </w:r>
    </w:p>
    <w:p w:rsidR="00473A2B" w:rsidRPr="002A72FD" w:rsidRDefault="00473A2B" w:rsidP="00F71DA6">
      <w:pPr>
        <w:pStyle w:val="2"/>
        <w:numPr>
          <w:ilvl w:val="0"/>
          <w:numId w:val="14"/>
        </w:numPr>
        <w:tabs>
          <w:tab w:val="clear" w:pos="720"/>
          <w:tab w:val="num" w:pos="1080"/>
        </w:tabs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 xml:space="preserve">Факторинговые операции </w:t>
      </w:r>
      <w:r w:rsidR="00D75854" w:rsidRPr="002A72FD">
        <w:rPr>
          <w:color w:val="000000"/>
          <w:sz w:val="28"/>
          <w:szCs w:val="28"/>
        </w:rPr>
        <w:t>–</w:t>
      </w:r>
      <w:r w:rsidRPr="002A72FD">
        <w:rPr>
          <w:color w:val="000000"/>
          <w:sz w:val="28"/>
          <w:szCs w:val="28"/>
        </w:rPr>
        <w:t xml:space="preserve"> это покупка долговых требований клиента на условиях немедленной оплаты 80% стоимости отфактурованных поставок и уплаты остальной части за вычетом % за кредит и комиссионных платежей в строго обусловленные сроки независимо от поступления выручки от должников.</w:t>
      </w:r>
    </w:p>
    <w:p w:rsidR="00473A2B" w:rsidRPr="002A72FD" w:rsidRDefault="00473A2B" w:rsidP="00F71DA6">
      <w:pPr>
        <w:pStyle w:val="2"/>
        <w:numPr>
          <w:ilvl w:val="0"/>
          <w:numId w:val="14"/>
        </w:numPr>
        <w:tabs>
          <w:tab w:val="clear" w:pos="720"/>
          <w:tab w:val="num" w:pos="1080"/>
        </w:tabs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 xml:space="preserve">Доверительные операции </w:t>
      </w:r>
      <w:r w:rsidR="00D75854" w:rsidRPr="002A72FD">
        <w:rPr>
          <w:color w:val="000000"/>
          <w:sz w:val="28"/>
          <w:szCs w:val="28"/>
        </w:rPr>
        <w:t>–</w:t>
      </w:r>
      <w:r w:rsidRPr="002A72FD">
        <w:rPr>
          <w:color w:val="000000"/>
          <w:sz w:val="28"/>
          <w:szCs w:val="28"/>
        </w:rPr>
        <w:t xml:space="preserve"> хранение, передача и управление (траст) определенным имуществом клиента.</w:t>
      </w:r>
    </w:p>
    <w:p w:rsidR="00473A2B" w:rsidRPr="002A72FD" w:rsidRDefault="00473A2B" w:rsidP="00F71DA6">
      <w:pPr>
        <w:pStyle w:val="2"/>
        <w:numPr>
          <w:ilvl w:val="0"/>
          <w:numId w:val="14"/>
        </w:numPr>
        <w:tabs>
          <w:tab w:val="clear" w:pos="720"/>
          <w:tab w:val="num" w:pos="1080"/>
        </w:tabs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 xml:space="preserve">Торгово-комиссионные операции </w:t>
      </w:r>
      <w:r w:rsidR="00D75854" w:rsidRPr="002A72FD">
        <w:rPr>
          <w:color w:val="000000"/>
          <w:sz w:val="28"/>
          <w:szCs w:val="28"/>
        </w:rPr>
        <w:t>–</w:t>
      </w:r>
      <w:r w:rsidRPr="002A72FD">
        <w:rPr>
          <w:color w:val="000000"/>
          <w:sz w:val="28"/>
          <w:szCs w:val="28"/>
        </w:rPr>
        <w:t xml:space="preserve"> покупка и продажа по поручению клиента ценных бумаг, драгоценных металлов.</w:t>
      </w:r>
    </w:p>
    <w:p w:rsidR="00473A2B" w:rsidRPr="002A72FD" w:rsidRDefault="00473A2B" w:rsidP="00F71DA6">
      <w:pPr>
        <w:pStyle w:val="2"/>
        <w:numPr>
          <w:ilvl w:val="0"/>
          <w:numId w:val="14"/>
        </w:numPr>
        <w:tabs>
          <w:tab w:val="clear" w:pos="720"/>
          <w:tab w:val="num" w:pos="1080"/>
        </w:tabs>
        <w:spacing w:after="0" w:line="360" w:lineRule="auto"/>
        <w:ind w:left="0" w:right="0" w:firstLine="709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 xml:space="preserve">Трастовые операции </w:t>
      </w:r>
      <w:r w:rsidR="00D75854" w:rsidRPr="002A72FD">
        <w:rPr>
          <w:color w:val="000000"/>
          <w:sz w:val="28"/>
          <w:szCs w:val="28"/>
        </w:rPr>
        <w:t>–</w:t>
      </w:r>
      <w:r w:rsidRPr="002A72FD">
        <w:rPr>
          <w:color w:val="000000"/>
          <w:sz w:val="28"/>
          <w:szCs w:val="28"/>
        </w:rPr>
        <w:t xml:space="preserve"> действия банков на правах доверенного лица и осуществление операций, связанных с управлением собственностью клиента (капиталом, управление наследством, выполнение операций по доверенности и в связи с опекой). Следует заметить, что особенность трастового договора состоит в том, что банк не несет ответственности за отрицательный финансовый результат.</w:t>
      </w:r>
    </w:p>
    <w:p w:rsidR="00FE38E4" w:rsidRPr="002A72FD" w:rsidRDefault="00FE38E4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D5B55" w:rsidRPr="002A72FD" w:rsidRDefault="002A72FD" w:rsidP="002A72FD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4D5B55" w:rsidRPr="002A72FD">
        <w:rPr>
          <w:b/>
          <w:bCs/>
          <w:color w:val="000000"/>
          <w:sz w:val="28"/>
          <w:szCs w:val="28"/>
        </w:rPr>
        <w:t>. Инвестиционная деятельность коммерческих банков</w:t>
      </w:r>
    </w:p>
    <w:p w:rsidR="004D5B55" w:rsidRPr="002A72FD" w:rsidRDefault="004D5B55" w:rsidP="002A72FD">
      <w:pPr>
        <w:spacing w:before="0" w:beforeAutospacing="0" w:after="0" w:afterAutospacing="0" w:line="360" w:lineRule="auto"/>
        <w:ind w:firstLine="709"/>
        <w:jc w:val="both"/>
        <w:outlineLvl w:val="4"/>
        <w:rPr>
          <w:color w:val="000000"/>
          <w:sz w:val="28"/>
          <w:szCs w:val="28"/>
        </w:rPr>
      </w:pPr>
    </w:p>
    <w:p w:rsidR="001B3406" w:rsidRPr="002A72FD" w:rsidRDefault="00E5509C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На финансовом рынке п</w:t>
      </w:r>
      <w:r w:rsidR="00D96E58" w:rsidRPr="002A72FD">
        <w:rPr>
          <w:color w:val="000000"/>
          <w:sz w:val="28"/>
          <w:szCs w:val="28"/>
        </w:rPr>
        <w:t>оставщиками капитала выступают домохозяйства, а потребителями – фирмы. Взаимодействие поставщиков и потребителей осуществляется через разветвленную сеть финансовых посредников: в том числе и через коммерческие банки. Их функцией является аккумуляция небольших сбережений домашних хозяйств в огромные суммы финансовых средств и размещение их среди потребителей капитала. Форма предоставления капитала может быть разная – либо непосредственная, в виде распространения акций новых выпусков среди подписчиков, либо заемная, в виде покупки облигаций корпораций и предоставления прямых займов фирмам. Важнейшую роль в этом процессе играет выплачиваемый по предоставленным средствам процент.</w:t>
      </w:r>
    </w:p>
    <w:p w:rsidR="008E22E1" w:rsidRPr="002A72FD" w:rsidRDefault="008E22E1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2FD" w:rsidRPr="00D41F41" w:rsidRDefault="002A72FD" w:rsidP="002A72FD">
      <w:pPr>
        <w:pStyle w:val="ConsNormal"/>
        <w:tabs>
          <w:tab w:val="left" w:pos="6705"/>
        </w:tabs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D41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использованных источников</w:t>
      </w:r>
    </w:p>
    <w:p w:rsidR="008E22E1" w:rsidRPr="002A72FD" w:rsidRDefault="008E22E1" w:rsidP="002A72F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22E1" w:rsidRPr="002A72FD" w:rsidRDefault="008E22E1" w:rsidP="002A72FD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1.</w:t>
      </w:r>
      <w:r w:rsidR="002A72FD" w:rsidRPr="002A72FD">
        <w:rPr>
          <w:color w:val="000000"/>
          <w:sz w:val="28"/>
          <w:szCs w:val="28"/>
        </w:rPr>
        <w:t xml:space="preserve"> </w:t>
      </w:r>
      <w:r w:rsidRPr="002A72FD">
        <w:rPr>
          <w:color w:val="000000"/>
          <w:sz w:val="28"/>
          <w:szCs w:val="28"/>
        </w:rPr>
        <w:t>Закон РФ «О банках и банковской деятельности».</w:t>
      </w:r>
    </w:p>
    <w:p w:rsidR="008E22E1" w:rsidRPr="002A72FD" w:rsidRDefault="008E22E1" w:rsidP="002A72FD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2.</w:t>
      </w:r>
      <w:r w:rsidR="002A72FD" w:rsidRPr="002A72FD">
        <w:rPr>
          <w:color w:val="000000"/>
          <w:sz w:val="28"/>
          <w:szCs w:val="28"/>
        </w:rPr>
        <w:t xml:space="preserve"> </w:t>
      </w:r>
      <w:r w:rsidRPr="002A72FD">
        <w:rPr>
          <w:color w:val="000000"/>
          <w:sz w:val="28"/>
          <w:szCs w:val="28"/>
        </w:rPr>
        <w:t>Астахов В. П. Кредитные операции.– Ростов-на-Дону: Феникс, 2007.</w:t>
      </w:r>
    </w:p>
    <w:p w:rsidR="008E22E1" w:rsidRPr="002A72FD" w:rsidRDefault="008E22E1" w:rsidP="002A72FD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3.</w:t>
      </w:r>
      <w:r w:rsidR="002A72FD">
        <w:rPr>
          <w:color w:val="000000"/>
          <w:sz w:val="28"/>
          <w:szCs w:val="28"/>
          <w:lang w:val="en-US"/>
        </w:rPr>
        <w:t xml:space="preserve"> </w:t>
      </w:r>
      <w:r w:rsidRPr="002A72FD">
        <w:rPr>
          <w:color w:val="000000"/>
          <w:sz w:val="28"/>
          <w:szCs w:val="28"/>
        </w:rPr>
        <w:t>Банки и банковские операции. Под редакцией Жукова Е.Ф.– М.: Банки и биржи, 2005.</w:t>
      </w:r>
    </w:p>
    <w:p w:rsidR="008E22E1" w:rsidRPr="002A72FD" w:rsidRDefault="008E22E1" w:rsidP="002A72FD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4.</w:t>
      </w:r>
      <w:r w:rsidR="002A72FD">
        <w:rPr>
          <w:color w:val="000000"/>
          <w:sz w:val="28"/>
          <w:szCs w:val="28"/>
          <w:lang w:val="en-US"/>
        </w:rPr>
        <w:t xml:space="preserve"> </w:t>
      </w:r>
      <w:r w:rsidRPr="002A72FD">
        <w:rPr>
          <w:color w:val="000000"/>
          <w:sz w:val="28"/>
          <w:szCs w:val="28"/>
        </w:rPr>
        <w:t>Банковское дело. Под редакцией Колесникова В.И., Кроливецкой Л.П.– М.: Финансы и статистика, 2001.</w:t>
      </w:r>
    </w:p>
    <w:p w:rsidR="008E22E1" w:rsidRPr="002A72FD" w:rsidRDefault="008E22E1" w:rsidP="002A72FD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5.</w:t>
      </w:r>
      <w:r w:rsidR="002A72FD">
        <w:rPr>
          <w:color w:val="000000"/>
          <w:sz w:val="28"/>
          <w:szCs w:val="28"/>
          <w:lang w:val="en-US"/>
        </w:rPr>
        <w:t xml:space="preserve"> </w:t>
      </w:r>
      <w:r w:rsidRPr="002A72FD">
        <w:rPr>
          <w:color w:val="000000"/>
          <w:sz w:val="28"/>
          <w:szCs w:val="28"/>
        </w:rPr>
        <w:t>Банковское дело. Под редакцией Лаврушина В.И.– М.: Финансы и статистика, 2001.</w:t>
      </w:r>
    </w:p>
    <w:p w:rsidR="008E22E1" w:rsidRPr="002A72FD" w:rsidRDefault="008E22E1" w:rsidP="002A72FD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6.</w:t>
      </w:r>
      <w:r w:rsidR="002A72FD">
        <w:rPr>
          <w:color w:val="000000"/>
          <w:sz w:val="28"/>
          <w:szCs w:val="28"/>
          <w:lang w:val="en-US"/>
        </w:rPr>
        <w:t xml:space="preserve"> </w:t>
      </w:r>
      <w:r w:rsidRPr="002A72FD">
        <w:rPr>
          <w:color w:val="000000"/>
          <w:sz w:val="28"/>
          <w:szCs w:val="28"/>
        </w:rPr>
        <w:t>Введение в банковское дело. Учебник.– М.: 2004.</w:t>
      </w:r>
    </w:p>
    <w:p w:rsidR="008E22E1" w:rsidRPr="002A72FD" w:rsidRDefault="008E22E1" w:rsidP="002A72FD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7.</w:t>
      </w:r>
      <w:r w:rsidR="002A72FD" w:rsidRPr="002A72FD">
        <w:rPr>
          <w:color w:val="000000"/>
          <w:sz w:val="28"/>
          <w:szCs w:val="28"/>
        </w:rPr>
        <w:t xml:space="preserve"> </w:t>
      </w:r>
      <w:r w:rsidRPr="002A72FD">
        <w:rPr>
          <w:color w:val="000000"/>
          <w:sz w:val="28"/>
          <w:szCs w:val="28"/>
        </w:rPr>
        <w:t>Ильинский И.В. Россия на пути к созданию института кредитных историй.//Банковское дело.–2003.–№ 7.</w:t>
      </w:r>
    </w:p>
    <w:p w:rsidR="008E22E1" w:rsidRPr="002A72FD" w:rsidRDefault="008E22E1" w:rsidP="002A72FD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72FD">
        <w:rPr>
          <w:color w:val="000000"/>
          <w:sz w:val="28"/>
          <w:szCs w:val="28"/>
        </w:rPr>
        <w:t>8.</w:t>
      </w:r>
      <w:r w:rsidR="002A72FD">
        <w:rPr>
          <w:color w:val="000000"/>
          <w:sz w:val="28"/>
          <w:szCs w:val="28"/>
          <w:lang w:val="en-US"/>
        </w:rPr>
        <w:t xml:space="preserve"> </w:t>
      </w:r>
      <w:r w:rsidRPr="002A72FD">
        <w:rPr>
          <w:color w:val="000000"/>
          <w:sz w:val="28"/>
          <w:szCs w:val="28"/>
        </w:rPr>
        <w:t>Операции коммерческих банков. Учебник.– М.: 2005.</w:t>
      </w:r>
      <w:bookmarkStart w:id="0" w:name="_GoBack"/>
      <w:bookmarkEnd w:id="0"/>
    </w:p>
    <w:sectPr w:rsidR="008E22E1" w:rsidRPr="002A72FD" w:rsidSect="002A72FD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7E" w:rsidRDefault="00B23C7E">
      <w:pPr>
        <w:spacing w:before="0" w:beforeAutospacing="0" w:after="0" w:afterAutospacing="0"/>
      </w:pPr>
      <w:r>
        <w:separator/>
      </w:r>
    </w:p>
  </w:endnote>
  <w:endnote w:type="continuationSeparator" w:id="0">
    <w:p w:rsidR="00B23C7E" w:rsidRDefault="00B23C7E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7E" w:rsidRDefault="00B23C7E">
      <w:pPr>
        <w:spacing w:before="0" w:beforeAutospacing="0" w:after="0" w:afterAutospacing="0"/>
      </w:pPr>
      <w:r>
        <w:separator/>
      </w:r>
    </w:p>
  </w:footnote>
  <w:footnote w:type="continuationSeparator" w:id="0">
    <w:p w:rsidR="00B23C7E" w:rsidRDefault="00B23C7E">
      <w:pPr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D287B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E1AB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104979B7"/>
    <w:multiLevelType w:val="multilevel"/>
    <w:tmpl w:val="6BF0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05CF5"/>
    <w:multiLevelType w:val="hybridMultilevel"/>
    <w:tmpl w:val="4BD8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C25C6"/>
    <w:multiLevelType w:val="hybridMultilevel"/>
    <w:tmpl w:val="A2401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A2165"/>
    <w:multiLevelType w:val="hybridMultilevel"/>
    <w:tmpl w:val="7C68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4E1404"/>
    <w:multiLevelType w:val="multilevel"/>
    <w:tmpl w:val="4552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12190"/>
    <w:multiLevelType w:val="hybridMultilevel"/>
    <w:tmpl w:val="8C7AC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E26B74"/>
    <w:multiLevelType w:val="hybridMultilevel"/>
    <w:tmpl w:val="BEAE8EEA"/>
    <w:lvl w:ilvl="0" w:tplc="96282C40">
      <w:start w:val="1"/>
      <w:numFmt w:val="bullet"/>
      <w:lvlText w:val=""/>
      <w:lvlJc w:val="left"/>
      <w:pPr>
        <w:tabs>
          <w:tab w:val="num" w:pos="1107"/>
        </w:tabs>
        <w:ind w:left="110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5D4007B"/>
    <w:multiLevelType w:val="singleLevel"/>
    <w:tmpl w:val="580885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59C941A4"/>
    <w:multiLevelType w:val="multilevel"/>
    <w:tmpl w:val="DFE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E45ED"/>
    <w:multiLevelType w:val="hybridMultilevel"/>
    <w:tmpl w:val="9CB65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F4528"/>
    <w:multiLevelType w:val="multilevel"/>
    <w:tmpl w:val="9D18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2"/>
        </w:rPr>
      </w:lvl>
    </w:lvlOverride>
  </w:num>
  <w:num w:numId="5">
    <w:abstractNumId w:val="3"/>
  </w:num>
  <w:num w:numId="6">
    <w:abstractNumId w:val="11"/>
  </w:num>
  <w:num w:numId="7">
    <w:abstractNumId w:val="7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2B5"/>
    <w:rsid w:val="000009D4"/>
    <w:rsid w:val="00037035"/>
    <w:rsid w:val="00056659"/>
    <w:rsid w:val="00083BAC"/>
    <w:rsid w:val="000903A2"/>
    <w:rsid w:val="00096498"/>
    <w:rsid w:val="000973AC"/>
    <w:rsid w:val="000A20E1"/>
    <w:rsid w:val="000B331B"/>
    <w:rsid w:val="000C6F72"/>
    <w:rsid w:val="000E22BF"/>
    <w:rsid w:val="001006EA"/>
    <w:rsid w:val="00110125"/>
    <w:rsid w:val="00124186"/>
    <w:rsid w:val="00151B6F"/>
    <w:rsid w:val="00175875"/>
    <w:rsid w:val="00175973"/>
    <w:rsid w:val="001823EA"/>
    <w:rsid w:val="0018358F"/>
    <w:rsid w:val="001B1E06"/>
    <w:rsid w:val="001B3406"/>
    <w:rsid w:val="001E2272"/>
    <w:rsid w:val="001E785E"/>
    <w:rsid w:val="001F121E"/>
    <w:rsid w:val="001F4061"/>
    <w:rsid w:val="0021086B"/>
    <w:rsid w:val="00216C32"/>
    <w:rsid w:val="00221E21"/>
    <w:rsid w:val="00224AF1"/>
    <w:rsid w:val="002340B4"/>
    <w:rsid w:val="002363C6"/>
    <w:rsid w:val="00241FA1"/>
    <w:rsid w:val="002467CC"/>
    <w:rsid w:val="00251729"/>
    <w:rsid w:val="002763F0"/>
    <w:rsid w:val="00276DB4"/>
    <w:rsid w:val="002861D3"/>
    <w:rsid w:val="002A72FD"/>
    <w:rsid w:val="002A790B"/>
    <w:rsid w:val="002B17F9"/>
    <w:rsid w:val="002F0FF5"/>
    <w:rsid w:val="00307FB7"/>
    <w:rsid w:val="00330F3F"/>
    <w:rsid w:val="0034422F"/>
    <w:rsid w:val="0035433C"/>
    <w:rsid w:val="00355F61"/>
    <w:rsid w:val="003A5BD4"/>
    <w:rsid w:val="004035E5"/>
    <w:rsid w:val="0041159D"/>
    <w:rsid w:val="00412C1B"/>
    <w:rsid w:val="00415644"/>
    <w:rsid w:val="00452BBD"/>
    <w:rsid w:val="0046751B"/>
    <w:rsid w:val="00467E21"/>
    <w:rsid w:val="00470862"/>
    <w:rsid w:val="00473A2B"/>
    <w:rsid w:val="0049257F"/>
    <w:rsid w:val="004A62FE"/>
    <w:rsid w:val="004B442F"/>
    <w:rsid w:val="004D5B55"/>
    <w:rsid w:val="004D7845"/>
    <w:rsid w:val="004F29C8"/>
    <w:rsid w:val="00502F03"/>
    <w:rsid w:val="0050447B"/>
    <w:rsid w:val="005260D0"/>
    <w:rsid w:val="0052650A"/>
    <w:rsid w:val="00555DD2"/>
    <w:rsid w:val="00556536"/>
    <w:rsid w:val="005652BF"/>
    <w:rsid w:val="00577AF9"/>
    <w:rsid w:val="005874E2"/>
    <w:rsid w:val="00592728"/>
    <w:rsid w:val="005953FC"/>
    <w:rsid w:val="005A771F"/>
    <w:rsid w:val="005B1A70"/>
    <w:rsid w:val="005B1B87"/>
    <w:rsid w:val="005B4E5C"/>
    <w:rsid w:val="005D0519"/>
    <w:rsid w:val="005E74BA"/>
    <w:rsid w:val="005F3D8E"/>
    <w:rsid w:val="00615ABD"/>
    <w:rsid w:val="006243F2"/>
    <w:rsid w:val="006430B2"/>
    <w:rsid w:val="006551D7"/>
    <w:rsid w:val="00667A7E"/>
    <w:rsid w:val="006A4717"/>
    <w:rsid w:val="006C3A3C"/>
    <w:rsid w:val="006C4C06"/>
    <w:rsid w:val="006C654F"/>
    <w:rsid w:val="006D2F46"/>
    <w:rsid w:val="0070751D"/>
    <w:rsid w:val="007262B5"/>
    <w:rsid w:val="00732882"/>
    <w:rsid w:val="00743576"/>
    <w:rsid w:val="00754004"/>
    <w:rsid w:val="00762126"/>
    <w:rsid w:val="00762745"/>
    <w:rsid w:val="00782F54"/>
    <w:rsid w:val="00792E91"/>
    <w:rsid w:val="007966C9"/>
    <w:rsid w:val="007A55F9"/>
    <w:rsid w:val="007C5FAA"/>
    <w:rsid w:val="007C6FF6"/>
    <w:rsid w:val="007D5575"/>
    <w:rsid w:val="007D633A"/>
    <w:rsid w:val="007E0A8A"/>
    <w:rsid w:val="007E5C33"/>
    <w:rsid w:val="008041D6"/>
    <w:rsid w:val="008117EB"/>
    <w:rsid w:val="00817DBD"/>
    <w:rsid w:val="00820D0D"/>
    <w:rsid w:val="00824592"/>
    <w:rsid w:val="00841964"/>
    <w:rsid w:val="0084259B"/>
    <w:rsid w:val="0085514F"/>
    <w:rsid w:val="008A1B44"/>
    <w:rsid w:val="008B0A07"/>
    <w:rsid w:val="008D005A"/>
    <w:rsid w:val="008D6AA0"/>
    <w:rsid w:val="008E0B19"/>
    <w:rsid w:val="008E22E1"/>
    <w:rsid w:val="008E5836"/>
    <w:rsid w:val="008F2F3F"/>
    <w:rsid w:val="008F3900"/>
    <w:rsid w:val="00917155"/>
    <w:rsid w:val="0092074C"/>
    <w:rsid w:val="00934863"/>
    <w:rsid w:val="00935914"/>
    <w:rsid w:val="0095135D"/>
    <w:rsid w:val="009613C3"/>
    <w:rsid w:val="009615B6"/>
    <w:rsid w:val="00993725"/>
    <w:rsid w:val="00995DA4"/>
    <w:rsid w:val="009A0078"/>
    <w:rsid w:val="009A00C2"/>
    <w:rsid w:val="009B2B11"/>
    <w:rsid w:val="009B5942"/>
    <w:rsid w:val="009C183A"/>
    <w:rsid w:val="009C410E"/>
    <w:rsid w:val="009D0C96"/>
    <w:rsid w:val="009D11DA"/>
    <w:rsid w:val="00A02C3C"/>
    <w:rsid w:val="00A1681A"/>
    <w:rsid w:val="00A2694F"/>
    <w:rsid w:val="00A33743"/>
    <w:rsid w:val="00A35B99"/>
    <w:rsid w:val="00A50CCA"/>
    <w:rsid w:val="00A513ED"/>
    <w:rsid w:val="00A52E4E"/>
    <w:rsid w:val="00A6290A"/>
    <w:rsid w:val="00A904FE"/>
    <w:rsid w:val="00AA0583"/>
    <w:rsid w:val="00AA6F34"/>
    <w:rsid w:val="00AB39EC"/>
    <w:rsid w:val="00AF27FC"/>
    <w:rsid w:val="00AF4D80"/>
    <w:rsid w:val="00B23C7E"/>
    <w:rsid w:val="00B24B08"/>
    <w:rsid w:val="00B271E8"/>
    <w:rsid w:val="00B304CC"/>
    <w:rsid w:val="00B319CB"/>
    <w:rsid w:val="00B40F9F"/>
    <w:rsid w:val="00B50509"/>
    <w:rsid w:val="00B6068B"/>
    <w:rsid w:val="00B845B1"/>
    <w:rsid w:val="00B87486"/>
    <w:rsid w:val="00B87A33"/>
    <w:rsid w:val="00BA17ED"/>
    <w:rsid w:val="00BE62EA"/>
    <w:rsid w:val="00BF09D3"/>
    <w:rsid w:val="00C01D80"/>
    <w:rsid w:val="00C07358"/>
    <w:rsid w:val="00C32E41"/>
    <w:rsid w:val="00C6036C"/>
    <w:rsid w:val="00C838D5"/>
    <w:rsid w:val="00C92058"/>
    <w:rsid w:val="00CD0287"/>
    <w:rsid w:val="00CE25B9"/>
    <w:rsid w:val="00CF2108"/>
    <w:rsid w:val="00CF4130"/>
    <w:rsid w:val="00D14F3E"/>
    <w:rsid w:val="00D21B24"/>
    <w:rsid w:val="00D31D45"/>
    <w:rsid w:val="00D35693"/>
    <w:rsid w:val="00D41F41"/>
    <w:rsid w:val="00D429DB"/>
    <w:rsid w:val="00D52758"/>
    <w:rsid w:val="00D541F7"/>
    <w:rsid w:val="00D75854"/>
    <w:rsid w:val="00D918F0"/>
    <w:rsid w:val="00D96E58"/>
    <w:rsid w:val="00DA059B"/>
    <w:rsid w:val="00DB0A08"/>
    <w:rsid w:val="00DB1BB4"/>
    <w:rsid w:val="00DC1AA4"/>
    <w:rsid w:val="00DC6654"/>
    <w:rsid w:val="00DC689B"/>
    <w:rsid w:val="00DD0219"/>
    <w:rsid w:val="00E013E9"/>
    <w:rsid w:val="00E10102"/>
    <w:rsid w:val="00E240AF"/>
    <w:rsid w:val="00E26523"/>
    <w:rsid w:val="00E26C1E"/>
    <w:rsid w:val="00E40757"/>
    <w:rsid w:val="00E44FDF"/>
    <w:rsid w:val="00E5509C"/>
    <w:rsid w:val="00E61779"/>
    <w:rsid w:val="00E7337A"/>
    <w:rsid w:val="00E82200"/>
    <w:rsid w:val="00E84F9A"/>
    <w:rsid w:val="00E874B7"/>
    <w:rsid w:val="00E97029"/>
    <w:rsid w:val="00EA11AC"/>
    <w:rsid w:val="00EE7102"/>
    <w:rsid w:val="00EF2141"/>
    <w:rsid w:val="00F257A0"/>
    <w:rsid w:val="00F446F5"/>
    <w:rsid w:val="00F6025A"/>
    <w:rsid w:val="00F61D39"/>
    <w:rsid w:val="00F701BB"/>
    <w:rsid w:val="00F71DA6"/>
    <w:rsid w:val="00FA299B"/>
    <w:rsid w:val="00FB1AE8"/>
    <w:rsid w:val="00FD7AEE"/>
    <w:rsid w:val="00FE38E4"/>
    <w:rsid w:val="00FF21B5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F304F9-AD01-43AC-A4D3-3140C828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rsid w:val="00CD0287"/>
    <w:pPr>
      <w:spacing w:before="100" w:beforeAutospacing="1" w:after="100" w:afterAutospacing="1"/>
    </w:pPr>
    <w:rPr>
      <w:sz w:val="24"/>
      <w:szCs w:val="24"/>
    </w:rPr>
  </w:style>
  <w:style w:type="paragraph" w:styleId="5">
    <w:name w:val="heading 5"/>
    <w:basedOn w:val="a"/>
    <w:link w:val="50"/>
    <w:uiPriority w:val="99"/>
    <w:qFormat/>
    <w:rsid w:val="008E5836"/>
    <w:p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62B5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262B5"/>
    <w:rPr>
      <w:rFonts w:cs="Times New Roman"/>
    </w:rPr>
  </w:style>
  <w:style w:type="paragraph" w:styleId="a6">
    <w:name w:val="Normal (Web)"/>
    <w:basedOn w:val="a"/>
    <w:uiPriority w:val="99"/>
    <w:rsid w:val="008E5836"/>
  </w:style>
  <w:style w:type="paragraph" w:customStyle="1" w:styleId="ConsNormal">
    <w:name w:val="ConsNormal"/>
    <w:uiPriority w:val="99"/>
    <w:rsid w:val="00EA11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semiHidden/>
    <w:rsid w:val="00AF27FC"/>
    <w:pPr>
      <w:spacing w:before="0" w:beforeAutospacing="0" w:after="0" w:afterAutospacing="0"/>
    </w:pPr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AF27FC"/>
    <w:rPr>
      <w:rFonts w:cs="Times New Roman"/>
      <w:vertAlign w:val="superscript"/>
    </w:rPr>
  </w:style>
  <w:style w:type="paragraph" w:customStyle="1" w:styleId="middle">
    <w:name w:val="middle"/>
    <w:basedOn w:val="a"/>
    <w:uiPriority w:val="99"/>
    <w:rsid w:val="00AF27FC"/>
    <w:rPr>
      <w:rFonts w:ascii="Verdana" w:hAnsi="Verdana" w:cs="Verdana"/>
      <w:sz w:val="16"/>
      <w:szCs w:val="16"/>
    </w:rPr>
  </w:style>
  <w:style w:type="paragraph" w:styleId="aa">
    <w:name w:val="Body Text"/>
    <w:basedOn w:val="a"/>
    <w:link w:val="ab"/>
    <w:uiPriority w:val="99"/>
    <w:rsid w:val="00AF27FC"/>
    <w:pPr>
      <w:spacing w:before="30" w:beforeAutospacing="0" w:after="0" w:afterAutospacing="0"/>
      <w:ind w:left="30" w:right="30" w:firstLine="240"/>
      <w:jc w:val="both"/>
    </w:pPr>
    <w:rPr>
      <w:rFonts w:ascii="Verdana" w:hAnsi="Verdana" w:cs="Verdana"/>
      <w:sz w:val="18"/>
      <w:szCs w:val="18"/>
    </w:rPr>
  </w:style>
  <w:style w:type="character" w:customStyle="1" w:styleId="ab">
    <w:name w:val="Основни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2">
    <w:name w:val="List Bullet 2"/>
    <w:basedOn w:val="ac"/>
    <w:uiPriority w:val="99"/>
    <w:rsid w:val="00A35B99"/>
    <w:pPr>
      <w:spacing w:after="240" w:line="240" w:lineRule="atLeast"/>
      <w:ind w:left="1080" w:right="720"/>
      <w:jc w:val="both"/>
    </w:pPr>
    <w:rPr>
      <w:sz w:val="22"/>
      <w:szCs w:val="22"/>
    </w:rPr>
  </w:style>
  <w:style w:type="paragraph" w:styleId="ac">
    <w:name w:val="List Bullet"/>
    <w:basedOn w:val="a"/>
    <w:uiPriority w:val="99"/>
    <w:rsid w:val="00A35B99"/>
    <w:pPr>
      <w:spacing w:before="0" w:beforeAutospacing="0" w:after="0" w:afterAutospacing="0"/>
      <w:ind w:left="360" w:hanging="360"/>
    </w:pPr>
  </w:style>
  <w:style w:type="paragraph" w:customStyle="1" w:styleId="ad">
    <w:name w:val="Основной текст (неразрывный)"/>
    <w:basedOn w:val="aa"/>
    <w:uiPriority w:val="99"/>
    <w:rsid w:val="00BF09D3"/>
    <w:pPr>
      <w:keepNext/>
      <w:spacing w:before="0" w:after="240" w:line="240" w:lineRule="atLeast"/>
      <w:ind w:left="0" w:right="0" w:firstLine="360"/>
    </w:pPr>
    <w:rPr>
      <w:rFonts w:ascii="Times New Roman" w:hAnsi="Times New Roman" w:cs="Times New Roman"/>
      <w:sz w:val="22"/>
      <w:szCs w:val="22"/>
    </w:rPr>
  </w:style>
  <w:style w:type="paragraph" w:styleId="ae">
    <w:name w:val="List"/>
    <w:basedOn w:val="aa"/>
    <w:uiPriority w:val="99"/>
    <w:rsid w:val="00BF09D3"/>
    <w:pPr>
      <w:spacing w:before="0" w:after="240" w:line="240" w:lineRule="atLeast"/>
      <w:ind w:left="360" w:right="0" w:hanging="360"/>
    </w:pPr>
    <w:rPr>
      <w:rFonts w:ascii="Times New Roman" w:hAnsi="Times New Roman" w:cs="Times New Roman"/>
      <w:sz w:val="22"/>
      <w:szCs w:val="22"/>
    </w:rPr>
  </w:style>
  <w:style w:type="paragraph" w:customStyle="1" w:styleId="af">
    <w:name w:val="Название документа"/>
    <w:next w:val="a"/>
    <w:uiPriority w:val="99"/>
    <w:rsid w:val="002363C6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b/>
      <w:bCs/>
      <w:caps/>
      <w:spacing w:val="40"/>
      <w:sz w:val="18"/>
      <w:szCs w:val="18"/>
      <w:lang w:val="en-US"/>
    </w:rPr>
  </w:style>
  <w:style w:type="paragraph" w:styleId="20">
    <w:name w:val="Body Text Indent 2"/>
    <w:basedOn w:val="a"/>
    <w:link w:val="21"/>
    <w:uiPriority w:val="99"/>
    <w:rsid w:val="00D52758"/>
    <w:pPr>
      <w:spacing w:before="0" w:beforeAutospacing="0" w:after="120" w:afterAutospacing="0" w:line="480" w:lineRule="auto"/>
      <w:ind w:left="283"/>
    </w:pPr>
  </w:style>
  <w:style w:type="character" w:customStyle="1" w:styleId="21">
    <w:name w:val="Основний текст з відступом 2 Знак"/>
    <w:link w:val="20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52758"/>
    <w:pPr>
      <w:spacing w:before="0" w:beforeAutospacing="0" w:after="120" w:afterAutospacing="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s">
    <w:name w:val="s"/>
    <w:basedOn w:val="a"/>
    <w:uiPriority w:val="99"/>
    <w:rsid w:val="00615ABD"/>
  </w:style>
  <w:style w:type="character" w:styleId="af0">
    <w:name w:val="Emphasis"/>
    <w:uiPriority w:val="99"/>
    <w:qFormat/>
    <w:rsid w:val="00615ABD"/>
    <w:rPr>
      <w:rFonts w:cs="Times New Roman"/>
      <w:i/>
      <w:iCs/>
    </w:rPr>
  </w:style>
  <w:style w:type="paragraph" w:styleId="af1">
    <w:name w:val="footer"/>
    <w:basedOn w:val="a"/>
    <w:link w:val="af2"/>
    <w:uiPriority w:val="99"/>
    <w:rsid w:val="00FE38E4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f2">
    <w:name w:val="Нижній колонтитул Знак"/>
    <w:link w:val="af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Home</Company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Chak</dc:creator>
  <cp:keywords/>
  <dc:description/>
  <cp:lastModifiedBy>Irina</cp:lastModifiedBy>
  <cp:revision>2</cp:revision>
  <dcterms:created xsi:type="dcterms:W3CDTF">2014-08-16T10:23:00Z</dcterms:created>
  <dcterms:modified xsi:type="dcterms:W3CDTF">2014-08-16T10:23:00Z</dcterms:modified>
</cp:coreProperties>
</file>