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A8" w:rsidRPr="00863F54" w:rsidRDefault="009002A8" w:rsidP="009002A8">
      <w:pPr>
        <w:spacing w:before="120"/>
        <w:jc w:val="center"/>
        <w:rPr>
          <w:b/>
          <w:bCs/>
          <w:sz w:val="32"/>
          <w:szCs w:val="32"/>
        </w:rPr>
      </w:pPr>
      <w:r w:rsidRPr="00863F54">
        <w:rPr>
          <w:b/>
          <w:bCs/>
          <w:sz w:val="32"/>
          <w:szCs w:val="32"/>
        </w:rPr>
        <w:t xml:space="preserve">Безопасность в горнорудной и нерудной промышленности и на объектах подземного строительства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Прошлый и этот год ознаменовались рядом серьезных пожаров и аварий на подземных объектах, поднадзорных Ростехнадзору. Государственный горный и государственный пожарный надзор на этих объектах являются взаимопроникающими и тесно взаимосвязанными.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В то же время анализ нормативных документов и ситуации с обеспечением противопожарной защиты этих объектов дает возможность предположить, что в этой сфере имеется немало проблем правового, нормативного, организационного и практического характера. Подтверждением является трагедия, которая 7 сентября 2006 года произошла в ОАО УК «Руссдрагмет» ООО «Дарасунский рудник», расположенном в Читинской области. При выполнении ремонтных работ в стволе шахты произошел пожар. Многочисленные попытки ликвидировать горение не увенчались успехом. В конечном итоге при аварии погибло 25 горняков и 10 получили травмы. Комиссия по расследованию аварии, созданная распоряжением Правительства Российской Федерации №1263-р от 08 сентября 2006 г. установила причины возникновения пожара и гибели людей.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К их числу следует отнести проведение работ повышенной опасности (сварочных работ) в стволе шахты «Центральная», оснащенного деревянной крепью, с нарушениями порядка ведения этих работ, в том числе: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– отсутствием предусмотренного проектом орошения ствола шахты;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– не сообщением работниками, ведущими работы повышенной опасности, старшему горному диспетчеру о возгорании и последующих своих действиях;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– отсутствием на месте ведения работ эффективных средств пожаротушения;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– самостоятельными действиями работников по остановке и запуску вентилятора главного проветривания.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Государственный горный надзор и государственный пожарный надзор на объектах добычи и переработки минерального сырья, а также на объектах подземного строительства осуществляется Федеральной службой по экологическому, технологическому атомному надзору (Ростехнадзором). В течение 2006 г. он осуществлялся в 5 577 организациях (на 5% больше, чем в 2005 г., – 5 270 организаций), при этом общее количество таких объектов составило 14 249 (на 3% больше, чем в 2005 г., – 13 750 объектов). Под надзором находились 279 подземных рудников, 6 435 карьеров по добыче руды организаций черной, цветной металлургии и золотодобывающей промышленности, 1 754 обогатительные, дробильно-сортировочные фабрики по первичной переработке общераспространенных полезных ископаемых и агломерационные фабрики, 218 объектов подземного строительства транспортного и специального назначения, а также карьеры по добыче общераспространенных полезных ископаемых.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В 2006 г. было проведено 17 550 обследований поднадзорных горных предприятий, предписано к устранению 127 180 нарушений правил безопасности, приостановлена эксплуатация 1 440 объектов. К ответственности привлечено 6 558 работников (на 12% больше, чем в 2005 г.), 3 791 человек подвергнут штрафным санкциям в соответствии с КоАП РФ. Общая сумма штрафов составила 11 857,2 тыс. руб. Материалы на 156 человек переданы в следственные органы.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Несмотря на увеличение количества поднадзорных объектов и снижение численности инспекторского состава с 286 до 281, показатели интенсивности надзорной деятельности в 2006 г. превысили показатели 2005 г.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Активизировалась работа по привлечению к административной ответственности юридических лиц, нарушивших требования промышленной безопасности. В 2006 г. количество работников, подвергнутых штрафным санкциям, увеличилось на 51% по сравнению с 2005 г., а сумма штрафных санкций увеличилась на 64%.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В 2006 г. происходило наращивание объемов производства с увеличением глубины разработки месторождений полезных ископаемых открытым и подземным способом, сопровождающееся увеличением опасностей, связанных с ухудшением горно-геологических условий.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Недооценка степени опасности ведения горных работ становится следствием упрощенного подхода к оценке деятельности по предупреждению аварийности, травматизма на предприятиях горнодобывающей отрасли, недостаточно эффективной организации функционирования системы производственного контроля.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Система производственного контроля до настоящего времени не получила развития в систему управления промышленной безопасностью на горных предприятиях страны даже в тех регионах, где горнодобывающие предприятия традиционно составляют основу экономики и находятся далеко не в кризисном финансовом состоянии.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В этой связи требуется системное повышение квалификации всех звеньев, задействованных в системе производственного контроля, так как независимо от масштабов предприятия и численности производственного персонала должен быть обеспечен системный подход к управлению промышленной и пожарной безопасностью как к единому объекту управления.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Недостаточно реализуется существующий научно-исследовательский потенциал в вопросах совершенствования систем разработки рудных месторождений, обеспечения противоаварийной защиты предприятий, на большей части горнорудных предприятий текущие и перспективные задачи научно-исследовательского сопровождения отработки месторождений длительное время не решаются.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В известной степени эти обстоятельства способствовали росту уровня аварийности и смертельного травматизма в 2006 г.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В 2006 г. произошло 12 аварий. Количество аварий по сравнению с 2005 г. увеличилось на 3 случая (25%).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Удельный вес аварийности в горнорудной промышленности и при строительстве подземных сооружений различного назначения в 2006 г. составил 5,7% общего количества аварий на предприятиях, поднадзорных Ростехнадзору (всего 212 случаев).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Число аварий на предприятиях горнорудной промышленности, поднадзорных территориальным органам Ростехнадзора, в 2006 г. по отношению к 2005 г. возросло на 25%. Всего в 2006 г. произошло 12 аварий, в число которых включены и пожары на подземных объектах.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Материальный ущерб от аварий составил 1 109,808 млн руб. против 22,406 млн руб. в 2005 г. (10,997 млн руб. в 2004 г., 21,012 млн руб. в 2003 г. и 27,1 млн руб. в 2002 г.), что характеризуется большой степенью разрушений сооружений и выхода из строя технических устройств, возникших в результате допущенных аварий.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В результате аварий в 2006 г. травмировано 29 человек, из них погибли 26 человек.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Не были допущены аварии на дробильно-обогатительных фабриках, но произошел рост аварий на подземных и открытых горных работах: 4 аварии произошло при добыче драгметаллов, 3 аварии произошло при добыче никеля, 2 – в организациях агрохимического комплекса.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По одной аварии произошло в организациях черной металлургии, по добыче строительных материалов и в строительном комплексе.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Анализ показывает, что аварии в 2006 г. произошли в основном по организационным причинам – из-за неэффективности или отсутствия производственного контроля за соблюдением требований промышленной безопасности, нарушения правил безопасности, технологической и трудовой дисциплины, неосторожных или несанкционированных действий исполнителей работ.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Готовность ВГСЧ к ведению аварийно-спасательных работ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Горноспасательное обслуживание объектов горных работ обеспечивается силами и средствами отраслевых военизированных горноспасательных служб ФГУ «Управление ВГСЧ в строительстве», ФГУП «СПО «Металлургбезопасность», горноспасательными частями фирмы «Агрохимбезопасность» в составе ОАО «Агрохиминвест», а также ООО «Противоаварийная служба ВГСЧ Сибири», обслуживающей объекты транспортного строительства.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В настоящее время под их надзором находится 651 опасный производственный объект, обслуживание объектов ведется профессиональными военизированными горноспасательными частями.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Обозначились позитивные тенденции в деятельности горноспасательных частей в вопросах замены устаревшей дыхательной защитной аппаратуры, табельного горноспасательного оснащения, оперативного автотранспорта и обновления нормативных технических документов.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Возрос уровень компьютеризации при разработке планов ликвидации аварий в горноспасательных частях.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Вместе с тем отсутствуют системные меры по созданию единой компьютерной сети для формирования банка данных по объектам ведения горных работ и профилактике возникновения аварий на обслуживаемых горнодобывающих предприятиях, прежде всего в ФГУП «СПО «Металлургбезопасность» и ФГУ «Управление ВГСЧ в строительстве».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В числе проблемных вопросов, требующих дальнейшего решения, следует отметить дальнейшее развитие тенденции на создание негосударственных профессиональных горноспасательных формирований, объективно возникающих в рыночных условиях для обеспечения свободы выбора услуг горноспасательных подразделений. Однако в ряде случаев сохраняются условия для монопольного горноспасательного обслуживания и отсутствует здоровая конкуренция на рынке спасательных услуг, а правовой механизм создания горноспасательных формирований должным образом не регламентирован.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Наряду с недостаточной оснащенностью шахт и рудников современными автоматизированными средствами пожаротушения следует отметить недостаточный уровень эффективности системы производственного контроля предприятий, формализм, проявляемый командным составом ВГСЧ в организации работ по предупреждению подземных пожаров.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Для повышения эффективности надзорной и контрольной деятельности на объектах горнорудной, нерудной промышленности и подземного строительства, снижения уровня аварийности и травматизма, обеспечения промышленной безопасности на поднадзорных предприятиях и производствах, по мнению Ростехнадзора, необходимо: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1. Активизировать работу надзорных органов территориальных управлений Ростехнадзора с руководителями подконтрольных горнодобывающих организаций (управляющих компаний) по внедрению систем управления промышленной безопасностью.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2. Повысить качество и объективность расследований несчастных случаев и аварий, обеспечить контроль за выполнением мероприятий, предлагаемых комиссиями по расследованию.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3. Ввести в практику надзорной деятельности проведение внеочередной аттестации руководителей организации и службы производственного контроля после происшедшей аварии или несчастного случая со смертельным травматизмом.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4. Обеспечить контроль за безопасными условиями эксплуатации автомобильного и железнодорожного технологического транспорта на объектах открытых горных работ.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5. Усилить контроль за ведением открытых горных работ в части выполнения нормативов вскрышных работ и подготовленных к выемке запасов в части обеспечения безопасности горных работ.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 xml:space="preserve">6. Повысить требовательность к горнотехническим инспекторам в вопросах организации и функционирования противопожарной защиты объектов подземных горных работ, а также готовности горноспасательных формирований к решению возложенных уставных задач. </w:t>
      </w:r>
    </w:p>
    <w:p w:rsidR="009002A8" w:rsidRPr="00257E70" w:rsidRDefault="009002A8" w:rsidP="009002A8">
      <w:pPr>
        <w:spacing w:before="120"/>
        <w:ind w:firstLine="567"/>
        <w:jc w:val="both"/>
      </w:pPr>
      <w:r w:rsidRPr="00257E70">
        <w:t>При подготовки статьи использованы материалы годового отчета о деятельности Ростехнадзора в 2006 году.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2A8"/>
    <w:rsid w:val="00051FB8"/>
    <w:rsid w:val="00095BA6"/>
    <w:rsid w:val="00210DB3"/>
    <w:rsid w:val="00242C9D"/>
    <w:rsid w:val="00257E70"/>
    <w:rsid w:val="0031418A"/>
    <w:rsid w:val="00350B15"/>
    <w:rsid w:val="00377A3D"/>
    <w:rsid w:val="0052086C"/>
    <w:rsid w:val="005A2562"/>
    <w:rsid w:val="005B3906"/>
    <w:rsid w:val="00755964"/>
    <w:rsid w:val="00863F54"/>
    <w:rsid w:val="008C19D7"/>
    <w:rsid w:val="009002A8"/>
    <w:rsid w:val="00A44D32"/>
    <w:rsid w:val="00B64F9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C7266E-4608-439E-BD03-A010FC19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2A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00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1600</Words>
  <Characters>9123</Characters>
  <Application>Microsoft Office Word</Application>
  <DocSecurity>0</DocSecurity>
  <Lines>76</Lines>
  <Paragraphs>21</Paragraphs>
  <ScaleCrop>false</ScaleCrop>
  <Company>Home</Company>
  <LinksUpToDate>false</LinksUpToDate>
  <CharactersWithSpaces>10702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Безопасность в горнорудной и нерудной промышленности и на объектах подземного строительства </dc:title>
  <dc:subject/>
  <dc:creator>Alena</dc:creator>
  <cp:keywords/>
  <dc:description/>
  <cp:lastModifiedBy>admin</cp:lastModifiedBy>
  <cp:revision>2</cp:revision>
  <dcterms:created xsi:type="dcterms:W3CDTF">2014-02-19T21:50:00Z</dcterms:created>
  <dcterms:modified xsi:type="dcterms:W3CDTF">2014-02-19T21:50:00Z</dcterms:modified>
</cp:coreProperties>
</file>