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64" w:rsidRPr="00541864" w:rsidRDefault="00541864" w:rsidP="00541864">
      <w:pPr>
        <w:jc w:val="center"/>
        <w:rPr>
          <w:b/>
          <w:bCs/>
        </w:rPr>
      </w:pPr>
      <w:r>
        <w:rPr>
          <w:b/>
          <w:bCs/>
        </w:rPr>
        <w:t>БИЗНЕС-ПЛАН</w:t>
      </w:r>
      <w:r w:rsidRPr="00541864">
        <w:rPr>
          <w:b/>
          <w:bCs/>
        </w:rPr>
        <w:t xml:space="preserve"> </w:t>
      </w:r>
      <w:r>
        <w:rPr>
          <w:b/>
          <w:bCs/>
        </w:rPr>
        <w:t>РАЗРАБОТКИ УЧЕБНОГО КУРСА ПО</w:t>
      </w:r>
      <w:r w:rsidRPr="00541864">
        <w:rPr>
          <w:b/>
          <w:bCs/>
        </w:rPr>
        <w:t xml:space="preserve"> </w:t>
      </w:r>
      <w:r>
        <w:rPr>
          <w:b/>
          <w:bCs/>
          <w:lang w:val="en-US"/>
        </w:rPr>
        <w:t>OS</w:t>
      </w:r>
      <w:r w:rsidRPr="00541864">
        <w:rPr>
          <w:b/>
          <w:bCs/>
        </w:rPr>
        <w:t xml:space="preserve">/2 </w:t>
      </w:r>
      <w:r>
        <w:rPr>
          <w:b/>
          <w:bCs/>
          <w:lang w:val="en-US"/>
        </w:rPr>
        <w:t>WARP</w:t>
      </w:r>
      <w:r w:rsidRPr="00541864">
        <w:rPr>
          <w:b/>
          <w:bCs/>
        </w:rPr>
        <w:t xml:space="preserve"> </w:t>
      </w:r>
      <w:r>
        <w:rPr>
          <w:b/>
          <w:bCs/>
          <w:lang w:val="en-US"/>
        </w:rPr>
        <w:t>CONNECT</w:t>
      </w:r>
      <w:r w:rsidRPr="00541864">
        <w:rPr>
          <w:b/>
          <w:bCs/>
        </w:rPr>
        <w:t xml:space="preserve"> 4</w:t>
      </w:r>
    </w:p>
    <w:p w:rsidR="00541864" w:rsidRP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Название, назначение, краткая характеристика разработки</w:t>
      </w: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 xml:space="preserve">Полное название инвестиционного проекта — разработка учебного курса по операционной системе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 w:rsidRPr="00541864">
        <w:t xml:space="preserve"> </w:t>
      </w:r>
      <w:r>
        <w:t xml:space="preserve">4. Курс предназначен для обучения технических специалистов по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t>в учебном центре АО КУДИЦ-ОБРАЗ в Москве.</w:t>
      </w:r>
    </w:p>
    <w:p w:rsidR="00541864" w:rsidRDefault="00541864" w:rsidP="00541864">
      <w:pPr>
        <w:jc w:val="both"/>
      </w:pPr>
      <w:r>
        <w:t>Целями данного курса являются:</w:t>
      </w:r>
    </w:p>
    <w:p w:rsidR="00541864" w:rsidRDefault="00541864" w:rsidP="00541864">
      <w:pPr>
        <w:jc w:val="both"/>
      </w:pPr>
      <w:r>
        <w:t>Повышение качества обучения специалистов за счет создания отвечающих современным требованиям компьютерного бизнеса раздаточных материалов для слушателей, лабораторных работ с подробными описаниями и иллюстрациями и демонстрационного программного обеспечения.</w:t>
      </w:r>
    </w:p>
    <w:p w:rsidR="00541864" w:rsidRDefault="00541864" w:rsidP="00541864">
      <w:pPr>
        <w:jc w:val="both"/>
      </w:pPr>
      <w:r>
        <w:t>Повышение уровня знаний технических специалистов за счет включения в курс недокументированных возможностей новой операционной системы.</w:t>
      </w:r>
    </w:p>
    <w:p w:rsidR="00541864" w:rsidRDefault="00541864" w:rsidP="00541864">
      <w:pPr>
        <w:jc w:val="both"/>
      </w:pPr>
      <w:r>
        <w:t>Постановка проблемы</w:t>
      </w: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 xml:space="preserve">Фирма </w:t>
      </w:r>
      <w:r>
        <w:rPr>
          <w:lang w:val="en-US"/>
        </w:rPr>
        <w:t>IBM</w:t>
      </w:r>
      <w:r w:rsidRPr="00541864">
        <w:t xml:space="preserve">* </w:t>
      </w:r>
      <w:r>
        <w:t xml:space="preserve">в 1996 году выпустила новую версию операционной системы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 w:rsidRPr="00541864">
        <w:t xml:space="preserve"> 4</w:t>
      </w:r>
      <w:r>
        <w:t xml:space="preserve">. Для максимального использования возможностей этой операционной системы необходимо создать новый курс на основе уже имеющихся курсов по предыдущим версиям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>
        <w:t>.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Актуальность разработки</w:t>
      </w:r>
    </w:p>
    <w:p w:rsidR="00541864" w:rsidRDefault="00541864" w:rsidP="00541864">
      <w:pPr>
        <w:jc w:val="both"/>
      </w:pPr>
      <w:r>
        <w:t xml:space="preserve">Отличительной особенностью разработки является использование оригинальных материалов фирмы </w:t>
      </w:r>
      <w:r>
        <w:rPr>
          <w:lang w:val="en-US"/>
        </w:rPr>
        <w:t>IBM</w:t>
      </w:r>
      <w:r w:rsidRPr="00541864">
        <w:t xml:space="preserve"> </w:t>
      </w:r>
      <w:r>
        <w:t>для создания курса и средств поддержки для него. В настоящее время сделано множество публикаций в различных компьютерных изданиях по поводу возможностей новой операционной системы на основании результатов тестирования. По оценкам специалистов эта операционная система занимает устойчивое положение на рынке</w:t>
      </w:r>
      <w:r w:rsidRPr="00541864">
        <w:t xml:space="preserve"> </w:t>
      </w:r>
      <w:r>
        <w:t xml:space="preserve">офисных операционных систем. Более того, расширенные возможности этой системы способствуют ее дальнейшему продвижению на компьютерном рынке, в частности, на территорию России и стран ближнего зарубежья. Поэтому необходимы средства, обеспечивающие возможность пользователям и техническим специалистам детально разобраться в структуре </w:t>
      </w:r>
      <w:r>
        <w:rPr>
          <w:lang w:val="en-US"/>
        </w:rPr>
        <w:t>OS</w:t>
      </w:r>
      <w:r w:rsidRPr="00541864">
        <w:t xml:space="preserve">/2 </w:t>
      </w:r>
      <w:r>
        <w:t xml:space="preserve">с целью дальнейшего наиболее эффективного ее использования. Предлагаемый курс обеспечит возможность наиболее эффективного использования операционной системы и снижения затрат на ее техническую поддержку. Кроме того, фирмой </w:t>
      </w:r>
      <w:r>
        <w:rPr>
          <w:lang w:val="en-US"/>
        </w:rPr>
        <w:t>IBM</w:t>
      </w:r>
      <w:r w:rsidRPr="00541864">
        <w:t xml:space="preserve"> </w:t>
      </w:r>
      <w:r>
        <w:t xml:space="preserve">предусмотрена специальная программа сертификации специалистов по </w:t>
      </w:r>
      <w:r>
        <w:rPr>
          <w:lang w:val="en-US"/>
        </w:rPr>
        <w:t>OS</w:t>
      </w:r>
      <w:r w:rsidRPr="00541864">
        <w:t>/2</w:t>
      </w:r>
      <w:r>
        <w:t>.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Теоретическое обоснование разработки</w:t>
      </w:r>
    </w:p>
    <w:p w:rsidR="00541864" w:rsidRDefault="00541864" w:rsidP="00541864">
      <w:pPr>
        <w:jc w:val="both"/>
      </w:pP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 w:rsidRPr="00541864">
        <w:t xml:space="preserve"> 4 </w:t>
      </w:r>
      <w:r>
        <w:t xml:space="preserve">представляет собой новейшую версию программного обеспечения, завоевавшего более 65 высших наград в компьютерной индустрии. На сегодняшний день система оптимизирована таким образом, чтобы обеспечивать высочайшую производительность, а целый ряд новшеств упрощает ваше “общение” с ней и расширяет горизонты ее возможностей. </w:t>
      </w:r>
      <w:r>
        <w:rPr>
          <w:lang w:val="en-US"/>
        </w:rPr>
        <w:t>OS</w:t>
      </w:r>
      <w:r w:rsidRPr="00541864">
        <w:t xml:space="preserve">/2 </w:t>
      </w:r>
      <w:r>
        <w:t xml:space="preserve">предлагает целый комплект средств сетевого взаимодействия, что существенно снижает расходы. А поскольку фирма </w:t>
      </w:r>
      <w:r>
        <w:rPr>
          <w:lang w:val="en-US"/>
        </w:rPr>
        <w:t>IBM</w:t>
      </w:r>
      <w:r w:rsidRPr="00541864">
        <w:t xml:space="preserve"> </w:t>
      </w:r>
      <w:r>
        <w:t xml:space="preserve">берет на себя также тестирование продуктов на совместимость, то снизятся также и временные затраты.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 w:rsidRPr="00541864">
        <w:t xml:space="preserve"> </w:t>
      </w:r>
      <w:r>
        <w:t xml:space="preserve">разрабатывалась с прицелом на рабочие группы и бизнес небольших масштабов. Система является всеобъемлющей средой для работы на настольном персональном компьютере, в которой вы подключены ко всем членам вашей рабочей группы, имеете доступ ко всей информации и пользуетесь всеми необходимыми видами сервиса — благодаря специальным сетевым функциям, входящим в состав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>
        <w:t>.</w:t>
      </w:r>
    </w:p>
    <w:p w:rsidR="00541864" w:rsidRDefault="00541864" w:rsidP="00541864">
      <w:pPr>
        <w:jc w:val="both"/>
      </w:pPr>
      <w:r>
        <w:t>Описание разработки</w:t>
      </w:r>
    </w:p>
    <w:p w:rsidR="00541864" w:rsidRDefault="00541864" w:rsidP="00541864">
      <w:pPr>
        <w:jc w:val="both"/>
      </w:pPr>
      <w:r>
        <w:t>В связи с появлением и стремительным продвижением новой операционной системы на рынке компьютерных технологий (по оценкам ряда независимых экспертов) необходимо средство, позволяющее обучить пользователей работе с новой операционной системой, а также дающее возможность службам технической поддержки эффективно настраивать среду для комфортной работы пользователей.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Методы решения проблемы</w:t>
      </w:r>
    </w:p>
    <w:p w:rsidR="00541864" w:rsidRDefault="00541864" w:rsidP="00541864">
      <w:pPr>
        <w:jc w:val="both"/>
      </w:pPr>
      <w:r>
        <w:t>Поставленная задача может быть решена двумя способами.</w:t>
      </w:r>
    </w:p>
    <w:p w:rsidR="00541864" w:rsidRDefault="00541864" w:rsidP="00541864">
      <w:pPr>
        <w:jc w:val="both"/>
      </w:pPr>
      <w:r>
        <w:t>Во-первых, можно выпустить специальную серию учебников для самостоятельного изучения, в которых отразить наиболее существенные моменты, связанные с работой в новой системе.</w:t>
      </w:r>
    </w:p>
    <w:p w:rsidR="00541864" w:rsidRDefault="00541864" w:rsidP="00541864">
      <w:pPr>
        <w:jc w:val="both"/>
      </w:pPr>
      <w:r>
        <w:t xml:space="preserve">Во-вторых, можно разработать по специальной методике курс, который поможет за максимально короткое время освоить все приемы работы с операционной системой </w:t>
      </w:r>
      <w:r>
        <w:rPr>
          <w:lang w:val="en-US"/>
        </w:rPr>
        <w:t>OS</w:t>
      </w:r>
      <w:r w:rsidRPr="00541864">
        <w:t>/2</w:t>
      </w:r>
      <w:r>
        <w:t>.</w:t>
      </w:r>
    </w:p>
    <w:p w:rsidR="00541864" w:rsidRDefault="00541864" w:rsidP="00541864">
      <w:pPr>
        <w:jc w:val="both"/>
      </w:pPr>
      <w:r>
        <w:t>В первом случае высоки временные затраты на изучение системы, следовательно, труд технического специалиста становится менее эффективным. Второй вариант выглядит предпочтительнее, поскольку позволяет в максимально короткие сроки под руководством опытных инструкторов освоить в полном объеме методы работы с новой операционной системой.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Описание курса</w:t>
      </w:r>
    </w:p>
    <w:p w:rsidR="00541864" w:rsidRDefault="00541864" w:rsidP="00541864">
      <w:pPr>
        <w:jc w:val="both"/>
      </w:pPr>
      <w:r>
        <w:t>Курс состоит из набора раздаточных материалов для слушателей, комплекса лабораторных работ и демонстрационного программного обеспечения.</w:t>
      </w:r>
    </w:p>
    <w:p w:rsidR="00541864" w:rsidRDefault="00541864" w:rsidP="00541864">
      <w:pPr>
        <w:jc w:val="both"/>
      </w:pPr>
      <w:r>
        <w:t xml:space="preserve">Текст лекций состоит из семи частей. В первой части дается общий обзор операционной системы </w:t>
      </w:r>
      <w:r>
        <w:rPr>
          <w:lang w:val="en-US"/>
        </w:rPr>
        <w:t>OS</w:t>
      </w:r>
      <w:r w:rsidRPr="00541864">
        <w:t>/2, а в</w:t>
      </w:r>
      <w:r>
        <w:t xml:space="preserve"> </w:t>
      </w:r>
      <w:r w:rsidRPr="00541864">
        <w:t>последующи</w:t>
      </w:r>
      <w:r>
        <w:t xml:space="preserve">х — детальное описание параметров настройки </w:t>
      </w:r>
      <w:r>
        <w:rPr>
          <w:lang w:val="en-US"/>
        </w:rPr>
        <w:t>OS</w:t>
      </w:r>
      <w:r w:rsidRPr="00541864">
        <w:t>/2</w:t>
      </w:r>
      <w:r>
        <w:t>.</w:t>
      </w:r>
    </w:p>
    <w:p w:rsidR="00541864" w:rsidRDefault="00541864" w:rsidP="00541864">
      <w:pPr>
        <w:jc w:val="both"/>
      </w:pPr>
      <w:r>
        <w:t xml:space="preserve">Курс содержит также десять лабораторных работ, посвященных основным моментам при настройке </w:t>
      </w:r>
      <w:r>
        <w:rPr>
          <w:lang w:val="en-US"/>
        </w:rPr>
        <w:t>OS</w:t>
      </w:r>
      <w:r w:rsidRPr="00541864">
        <w:t>/2</w:t>
      </w:r>
      <w:r>
        <w:t>. Лабораторные работы включают в себя раздаточный материал, описание работы и программные средства для наглядной тренировки.</w:t>
      </w:r>
    </w:p>
    <w:p w:rsidR="00541864" w:rsidRDefault="00541864" w:rsidP="00541864">
      <w:pPr>
        <w:jc w:val="both"/>
      </w:pPr>
      <w:r>
        <w:t>Предполагаемая длительность курса — пять дней.</w:t>
      </w: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Маркетинговые исследования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Анализ рынка сбыта</w:t>
      </w:r>
    </w:p>
    <w:p w:rsidR="00541864" w:rsidRDefault="00541864" w:rsidP="00541864">
      <w:pPr>
        <w:jc w:val="both"/>
      </w:pPr>
      <w:r>
        <w:t xml:space="preserve">Потенциальными потребителями являются российские сетевые специалисты, которые занимаются вопросами организации межсетевого взаимодействия при помощи операционной системы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>
        <w:t xml:space="preserve">, службы технической поддержки предприятий и организаций, работники которых используют в своей работе </w:t>
      </w:r>
      <w:r>
        <w:rPr>
          <w:lang w:val="en-US"/>
        </w:rPr>
        <w:t>OS</w:t>
      </w:r>
      <w:r w:rsidRPr="00541864">
        <w:t>/2</w:t>
      </w:r>
      <w:r>
        <w:t xml:space="preserve">, а также сотрудники предприятий и организаций, которые ранее не работали с </w:t>
      </w:r>
      <w:r>
        <w:rPr>
          <w:lang w:val="en-US"/>
        </w:rPr>
        <w:t>OS</w:t>
      </w:r>
      <w:r w:rsidRPr="00541864">
        <w:t>/2</w:t>
      </w:r>
      <w:r>
        <w:t>, но в дальнейшем хотели бы перейти к работе с ней.</w:t>
      </w:r>
    </w:p>
    <w:p w:rsidR="00541864" w:rsidRDefault="00541864" w:rsidP="00541864">
      <w:pPr>
        <w:jc w:val="both"/>
      </w:pPr>
      <w:r>
        <w:t xml:space="preserve">В целом по России насчитывается около 500 фирм — потенциальных потребителей, в том числе и бизнес-партнеров фирмы </w:t>
      </w:r>
      <w:r>
        <w:rPr>
          <w:lang w:val="en-US"/>
        </w:rPr>
        <w:t>IBM</w:t>
      </w:r>
      <w:r>
        <w:t xml:space="preserve">. Учитывая, что </w:t>
      </w:r>
      <w:r>
        <w:rPr>
          <w:lang w:val="en-US"/>
        </w:rPr>
        <w:t>OS</w:t>
      </w:r>
      <w:r w:rsidRPr="00541864">
        <w:t xml:space="preserve">/2 </w:t>
      </w:r>
      <w:r>
        <w:t>завоевывает все больше места на компьютерном рынке России, то число потенциальных заказчиков постоянно растет. Данные получены на основе экспертных оценок независимых специалистов в области компьютерных технологий и проведенных специализированных опросах руководителей предприятий и организаций, а также руководителей технических и информационных отделов.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Оценка конкуренции</w:t>
      </w:r>
    </w:p>
    <w:p w:rsidR="00541864" w:rsidRDefault="00541864" w:rsidP="00541864">
      <w:pPr>
        <w:jc w:val="both"/>
      </w:pPr>
      <w:r>
        <w:t>Для оценки конкуренции было проведено исследование, целью которого было:</w:t>
      </w:r>
    </w:p>
    <w:p w:rsidR="00541864" w:rsidRDefault="00541864" w:rsidP="00541864">
      <w:pPr>
        <w:jc w:val="both"/>
      </w:pPr>
      <w:r>
        <w:t>Определение количества учебных центров, ведущих подготовку специалистов в данной области</w:t>
      </w:r>
    </w:p>
    <w:p w:rsidR="00541864" w:rsidRDefault="00541864" w:rsidP="00541864">
      <w:pPr>
        <w:jc w:val="both"/>
      </w:pPr>
      <w:r>
        <w:t>Выяснение деталей, характеризующих проводимые учебные курсы</w:t>
      </w:r>
    </w:p>
    <w:p w:rsidR="00541864" w:rsidRDefault="00541864" w:rsidP="00541864">
      <w:pPr>
        <w:jc w:val="both"/>
      </w:pPr>
      <w:r>
        <w:t>Определение средней стоимости одного дня обучения</w:t>
      </w:r>
    </w:p>
    <w:p w:rsidR="00541864" w:rsidRDefault="00541864" w:rsidP="00541864">
      <w:pPr>
        <w:jc w:val="both"/>
      </w:pPr>
      <w:r>
        <w:t>Выявление наиболее сильных конкурентов</w:t>
      </w:r>
    </w:p>
    <w:p w:rsidR="00541864" w:rsidRDefault="00541864" w:rsidP="00541864">
      <w:pPr>
        <w:jc w:val="both"/>
      </w:pPr>
      <w:r>
        <w:t xml:space="preserve">Информация была получена с помощью телефонных звонков в учебные центры. Список российских компьютерных фирм, которые проводят обучение, был взят из каталога “Кто есть кто на компьютерном рынке России” ВЕСНА-ЛЕТО-96. Список насчитывает 150 предприятий. Из них удалось выявить только три, которые проводят курсы, посвященные </w:t>
      </w:r>
      <w:r>
        <w:rPr>
          <w:lang w:val="en-US"/>
        </w:rPr>
        <w:t>OS</w:t>
      </w:r>
      <w:r w:rsidRPr="00541864">
        <w:t xml:space="preserve">/2 </w:t>
      </w:r>
      <w:r>
        <w:rPr>
          <w:lang w:val="en-US"/>
        </w:rPr>
        <w:t>Warp</w:t>
      </w:r>
      <w:r w:rsidRPr="00541864">
        <w:t xml:space="preserve"> </w:t>
      </w:r>
      <w:r>
        <w:rPr>
          <w:lang w:val="en-US"/>
        </w:rPr>
        <w:t>Connect</w:t>
      </w:r>
      <w:r w:rsidRPr="00541864">
        <w:t xml:space="preserve"> 4</w:t>
      </w:r>
      <w:r>
        <w:t>.</w:t>
      </w:r>
    </w:p>
    <w:p w:rsidR="00541864" w:rsidRDefault="00541864" w:rsidP="00541864">
      <w:pPr>
        <w:jc w:val="both"/>
      </w:pPr>
      <w:r>
        <w:t>Для оценки конкуренции была сформирована система показателей технического уровня, которая включает в себя следующие свойства учебного курса:</w:t>
      </w:r>
    </w:p>
    <w:p w:rsidR="00541864" w:rsidRDefault="00541864" w:rsidP="00541864">
      <w:pPr>
        <w:jc w:val="both"/>
      </w:pPr>
      <w:r>
        <w:t>Назначение курса</w:t>
      </w:r>
    </w:p>
    <w:p w:rsidR="00541864" w:rsidRDefault="00541864" w:rsidP="00541864">
      <w:pPr>
        <w:jc w:val="both"/>
      </w:pPr>
      <w:r>
        <w:t>Продолжительность курса</w:t>
      </w:r>
    </w:p>
    <w:p w:rsidR="00541864" w:rsidRDefault="00541864" w:rsidP="00541864">
      <w:pPr>
        <w:jc w:val="both"/>
      </w:pPr>
      <w:r>
        <w:t>Наличие раздаточных материалов слушателя</w:t>
      </w:r>
    </w:p>
    <w:p w:rsidR="00541864" w:rsidRDefault="00541864" w:rsidP="00541864">
      <w:pPr>
        <w:jc w:val="both"/>
      </w:pPr>
      <w:r>
        <w:t>Наличие материалов на русском языке</w:t>
      </w:r>
    </w:p>
    <w:p w:rsidR="00541864" w:rsidRDefault="00541864" w:rsidP="00541864">
      <w:pPr>
        <w:jc w:val="both"/>
      </w:pPr>
      <w:r>
        <w:t>Выдаваемый сертификат</w:t>
      </w:r>
    </w:p>
    <w:p w:rsidR="00541864" w:rsidRDefault="00541864" w:rsidP="00541864">
      <w:pPr>
        <w:jc w:val="both"/>
      </w:pPr>
      <w:r>
        <w:t>Стоимость одного дня обучения</w:t>
      </w:r>
    </w:p>
    <w:p w:rsidR="00541864" w:rsidRDefault="00541864" w:rsidP="00541864">
      <w:pPr>
        <w:jc w:val="both"/>
      </w:pPr>
      <w:r>
        <w:t xml:space="preserve">Были выбраны три аналога — учебные курсы фирм МИКРОИНФОРМ, ИНТЕРРОСТ и </w:t>
      </w:r>
      <w:r>
        <w:rPr>
          <w:lang w:val="en-US"/>
        </w:rPr>
        <w:t>IBM</w:t>
      </w:r>
      <w:r>
        <w:t xml:space="preserve"> ВОСТОЧНАЯ ЕВРОПА/АЗИЯ ЛТД. Данные были взяты из таблицы, полученной в ходе специального исследования.</w:t>
      </w:r>
    </w:p>
    <w:p w:rsidR="00541864" w:rsidRDefault="00541864" w:rsidP="00541864">
      <w:pPr>
        <w:jc w:val="both"/>
      </w:pPr>
      <w:r>
        <w:t>Был проведен сравнительный анализ технического уровня по выбранным показателям для четырех учебных центров, включая и КУДИЦ-ОБРАЗ. Данные исследования приведены в таблице 1:</w:t>
      </w:r>
    </w:p>
    <w:p w:rsidR="00541864" w:rsidRDefault="00541864" w:rsidP="00541864">
      <w:pPr>
        <w:jc w:val="both"/>
        <w:rPr>
          <w:lang w:val="en-US"/>
        </w:rPr>
      </w:pPr>
    </w:p>
    <w:p w:rsidR="00541864" w:rsidRDefault="00541864" w:rsidP="00541864">
      <w:pPr>
        <w:jc w:val="both"/>
      </w:pPr>
      <w:r>
        <w:t>Таблица 1: “Сравнение показателей ТУ”</w:t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1762"/>
        <w:gridCol w:w="1042"/>
        <w:gridCol w:w="1014"/>
        <w:gridCol w:w="958"/>
        <w:gridCol w:w="950"/>
        <w:gridCol w:w="1023"/>
      </w:tblGrid>
      <w:tr w:rsidR="00541864" w:rsidTr="00541864">
        <w:tc>
          <w:tcPr>
            <w:tcW w:w="2608" w:type="dxa"/>
          </w:tcPr>
          <w:p w:rsidR="00541864" w:rsidRDefault="00541864" w:rsidP="00541864">
            <w:pPr>
              <w:jc w:val="both"/>
            </w:pPr>
            <w:r>
              <w:t>Фирма</w:t>
            </w:r>
          </w:p>
        </w:tc>
        <w:tc>
          <w:tcPr>
            <w:tcW w:w="1762" w:type="dxa"/>
          </w:tcPr>
          <w:p w:rsidR="00541864" w:rsidRDefault="00541864" w:rsidP="00541864">
            <w:pPr>
              <w:jc w:val="both"/>
            </w:pPr>
            <w:r>
              <w:t>Для кого предназначен курс</w:t>
            </w:r>
          </w:p>
        </w:tc>
        <w:tc>
          <w:tcPr>
            <w:tcW w:w="1042" w:type="dxa"/>
          </w:tcPr>
          <w:p w:rsidR="00541864" w:rsidRDefault="00541864" w:rsidP="00541864">
            <w:pPr>
              <w:jc w:val="both"/>
            </w:pPr>
            <w:r>
              <w:t>Длит. курса, дней</w:t>
            </w:r>
          </w:p>
        </w:tc>
        <w:tc>
          <w:tcPr>
            <w:tcW w:w="1014" w:type="dxa"/>
          </w:tcPr>
          <w:p w:rsidR="00541864" w:rsidRDefault="00541864" w:rsidP="00541864">
            <w:pPr>
              <w:jc w:val="both"/>
            </w:pPr>
            <w:r>
              <w:t>Материалы</w:t>
            </w:r>
          </w:p>
        </w:tc>
        <w:tc>
          <w:tcPr>
            <w:tcW w:w="958" w:type="dxa"/>
          </w:tcPr>
          <w:p w:rsidR="00541864" w:rsidRDefault="00541864" w:rsidP="00541864">
            <w:pPr>
              <w:jc w:val="both"/>
            </w:pPr>
            <w:r>
              <w:t>Материалы рус.</w:t>
            </w:r>
          </w:p>
        </w:tc>
        <w:tc>
          <w:tcPr>
            <w:tcW w:w="950" w:type="dxa"/>
          </w:tcPr>
          <w:p w:rsidR="00541864" w:rsidRDefault="00541864" w:rsidP="00541864">
            <w:pPr>
              <w:jc w:val="both"/>
            </w:pPr>
            <w:r>
              <w:t>Сертификат</w:t>
            </w:r>
          </w:p>
        </w:tc>
        <w:tc>
          <w:tcPr>
            <w:tcW w:w="1023" w:type="dxa"/>
          </w:tcPr>
          <w:p w:rsidR="00541864" w:rsidRDefault="00541864" w:rsidP="00541864">
            <w:pPr>
              <w:jc w:val="both"/>
            </w:pPr>
            <w:r>
              <w:t>Стоимость, тыс. руб.</w:t>
            </w:r>
          </w:p>
        </w:tc>
      </w:tr>
      <w:tr w:rsidR="00541864" w:rsidTr="00541864">
        <w:tc>
          <w:tcPr>
            <w:tcW w:w="2608" w:type="dxa"/>
          </w:tcPr>
          <w:p w:rsidR="00541864" w:rsidRDefault="00541864" w:rsidP="00541864">
            <w:pPr>
              <w:jc w:val="both"/>
            </w:pPr>
            <w:r>
              <w:t>МИКРОИНФОРМ</w:t>
            </w:r>
          </w:p>
        </w:tc>
        <w:tc>
          <w:tcPr>
            <w:tcW w:w="1762" w:type="dxa"/>
          </w:tcPr>
          <w:p w:rsidR="00541864" w:rsidRDefault="00541864" w:rsidP="00541864">
            <w:pPr>
              <w:jc w:val="both"/>
            </w:pPr>
            <w:r>
              <w:t>Технические специалисты</w:t>
            </w:r>
          </w:p>
        </w:tc>
        <w:tc>
          <w:tcPr>
            <w:tcW w:w="1042" w:type="dxa"/>
          </w:tcPr>
          <w:p w:rsidR="00541864" w:rsidRDefault="00541864" w:rsidP="00541864">
            <w:pPr>
              <w:jc w:val="both"/>
            </w:pPr>
            <w:r>
              <w:t>5</w:t>
            </w:r>
          </w:p>
        </w:tc>
        <w:tc>
          <w:tcPr>
            <w:tcW w:w="1014" w:type="dxa"/>
          </w:tcPr>
          <w:p w:rsidR="00541864" w:rsidRDefault="00541864" w:rsidP="00541864">
            <w:pPr>
              <w:jc w:val="both"/>
            </w:pPr>
            <w:r>
              <w:t>Да</w:t>
            </w:r>
          </w:p>
        </w:tc>
        <w:tc>
          <w:tcPr>
            <w:tcW w:w="958" w:type="dxa"/>
          </w:tcPr>
          <w:p w:rsidR="00541864" w:rsidRDefault="00541864" w:rsidP="00541864">
            <w:pPr>
              <w:jc w:val="both"/>
            </w:pPr>
            <w:r>
              <w:t>Нет</w:t>
            </w:r>
          </w:p>
        </w:tc>
        <w:tc>
          <w:tcPr>
            <w:tcW w:w="950" w:type="dxa"/>
          </w:tcPr>
          <w:p w:rsidR="00541864" w:rsidRDefault="00541864" w:rsidP="00541864">
            <w:pPr>
              <w:jc w:val="both"/>
            </w:pPr>
            <w:r>
              <w:t>—</w:t>
            </w:r>
          </w:p>
        </w:tc>
        <w:tc>
          <w:tcPr>
            <w:tcW w:w="1023" w:type="dxa"/>
          </w:tcPr>
          <w:p w:rsidR="00541864" w:rsidRDefault="00541864" w:rsidP="00541864">
            <w:pPr>
              <w:jc w:val="both"/>
            </w:pPr>
            <w:r>
              <w:t>800</w:t>
            </w:r>
          </w:p>
        </w:tc>
      </w:tr>
      <w:tr w:rsidR="00541864" w:rsidTr="00541864">
        <w:tc>
          <w:tcPr>
            <w:tcW w:w="2608" w:type="dxa"/>
          </w:tcPr>
          <w:p w:rsidR="00541864" w:rsidRDefault="00541864" w:rsidP="00541864">
            <w:pPr>
              <w:jc w:val="both"/>
            </w:pPr>
            <w:r>
              <w:t>ИНТЕРРОСТ</w:t>
            </w:r>
          </w:p>
        </w:tc>
        <w:tc>
          <w:tcPr>
            <w:tcW w:w="1762" w:type="dxa"/>
          </w:tcPr>
          <w:p w:rsidR="00541864" w:rsidRDefault="00541864" w:rsidP="00541864">
            <w:pPr>
              <w:jc w:val="both"/>
            </w:pPr>
            <w:r>
              <w:t>Технические специалисты</w:t>
            </w:r>
          </w:p>
        </w:tc>
        <w:tc>
          <w:tcPr>
            <w:tcW w:w="1042" w:type="dxa"/>
          </w:tcPr>
          <w:p w:rsidR="00541864" w:rsidRDefault="00541864" w:rsidP="00541864">
            <w:pPr>
              <w:jc w:val="both"/>
            </w:pPr>
            <w:r>
              <w:t>7</w:t>
            </w:r>
          </w:p>
        </w:tc>
        <w:tc>
          <w:tcPr>
            <w:tcW w:w="1014" w:type="dxa"/>
          </w:tcPr>
          <w:p w:rsidR="00541864" w:rsidRDefault="00541864" w:rsidP="00541864">
            <w:pPr>
              <w:jc w:val="both"/>
            </w:pPr>
            <w:r>
              <w:t>Нет</w:t>
            </w:r>
          </w:p>
        </w:tc>
        <w:tc>
          <w:tcPr>
            <w:tcW w:w="958" w:type="dxa"/>
          </w:tcPr>
          <w:p w:rsidR="00541864" w:rsidRDefault="00541864" w:rsidP="00541864">
            <w:pPr>
              <w:jc w:val="both"/>
            </w:pPr>
            <w:r>
              <w:t>—</w:t>
            </w:r>
          </w:p>
        </w:tc>
        <w:tc>
          <w:tcPr>
            <w:tcW w:w="950" w:type="dxa"/>
          </w:tcPr>
          <w:p w:rsidR="00541864" w:rsidRDefault="00541864" w:rsidP="00541864">
            <w:pPr>
              <w:jc w:val="both"/>
            </w:pPr>
            <w:r>
              <w:t>—</w:t>
            </w:r>
          </w:p>
        </w:tc>
        <w:tc>
          <w:tcPr>
            <w:tcW w:w="1023" w:type="dxa"/>
          </w:tcPr>
          <w:p w:rsidR="00541864" w:rsidRDefault="00541864" w:rsidP="00541864">
            <w:pPr>
              <w:jc w:val="both"/>
            </w:pPr>
            <w:r>
              <w:t>300</w:t>
            </w:r>
          </w:p>
        </w:tc>
      </w:tr>
      <w:tr w:rsidR="00541864" w:rsidTr="00541864">
        <w:tc>
          <w:tcPr>
            <w:tcW w:w="2608" w:type="dxa"/>
          </w:tcPr>
          <w:p w:rsidR="00541864" w:rsidRDefault="00541864" w:rsidP="00541864">
            <w:pPr>
              <w:jc w:val="both"/>
            </w:pPr>
            <w:r>
              <w:rPr>
                <w:lang w:val="en-US"/>
              </w:rPr>
              <w:t>IBM</w:t>
            </w:r>
            <w:r>
              <w:t xml:space="preserve"> ВОСТОЧНАЯ ЕВРОПА/АЗИЯ ЛТД</w:t>
            </w:r>
          </w:p>
        </w:tc>
        <w:tc>
          <w:tcPr>
            <w:tcW w:w="1762" w:type="dxa"/>
          </w:tcPr>
          <w:p w:rsidR="00541864" w:rsidRDefault="00541864" w:rsidP="00541864">
            <w:pPr>
              <w:jc w:val="both"/>
            </w:pPr>
            <w:r>
              <w:t>Технические специалисты</w:t>
            </w:r>
          </w:p>
        </w:tc>
        <w:tc>
          <w:tcPr>
            <w:tcW w:w="1042" w:type="dxa"/>
          </w:tcPr>
          <w:p w:rsidR="00541864" w:rsidRDefault="00541864" w:rsidP="00541864">
            <w:pPr>
              <w:jc w:val="both"/>
            </w:pPr>
            <w:r>
              <w:t>4</w:t>
            </w:r>
          </w:p>
        </w:tc>
        <w:tc>
          <w:tcPr>
            <w:tcW w:w="1014" w:type="dxa"/>
          </w:tcPr>
          <w:p w:rsidR="00541864" w:rsidRDefault="00541864" w:rsidP="00541864">
            <w:pPr>
              <w:jc w:val="both"/>
            </w:pPr>
            <w:r>
              <w:t>Да</w:t>
            </w:r>
          </w:p>
        </w:tc>
        <w:tc>
          <w:tcPr>
            <w:tcW w:w="958" w:type="dxa"/>
          </w:tcPr>
          <w:p w:rsidR="00541864" w:rsidRDefault="00541864" w:rsidP="00541864">
            <w:pPr>
              <w:jc w:val="both"/>
            </w:pPr>
            <w:r>
              <w:t>Нет</w:t>
            </w:r>
          </w:p>
        </w:tc>
        <w:tc>
          <w:tcPr>
            <w:tcW w:w="950" w:type="dxa"/>
          </w:tcPr>
          <w:p w:rsidR="00541864" w:rsidRDefault="00541864" w:rsidP="00541864">
            <w:pPr>
              <w:jc w:val="both"/>
            </w:pPr>
            <w:r>
              <w:t>IBM</w:t>
            </w:r>
          </w:p>
        </w:tc>
        <w:tc>
          <w:tcPr>
            <w:tcW w:w="1023" w:type="dxa"/>
          </w:tcPr>
          <w:p w:rsidR="00541864" w:rsidRDefault="00541864" w:rsidP="00541864">
            <w:pPr>
              <w:jc w:val="both"/>
            </w:pPr>
            <w:r>
              <w:t>600</w:t>
            </w:r>
          </w:p>
        </w:tc>
      </w:tr>
      <w:tr w:rsidR="00541864" w:rsidTr="00541864">
        <w:tc>
          <w:tcPr>
            <w:tcW w:w="2608" w:type="dxa"/>
          </w:tcPr>
          <w:p w:rsidR="00541864" w:rsidRDefault="00541864" w:rsidP="00541864">
            <w:pPr>
              <w:jc w:val="both"/>
            </w:pPr>
            <w:r>
              <w:t>КУДИЦ-ОБРАЗ</w:t>
            </w:r>
          </w:p>
        </w:tc>
        <w:tc>
          <w:tcPr>
            <w:tcW w:w="1762" w:type="dxa"/>
          </w:tcPr>
          <w:p w:rsidR="00541864" w:rsidRDefault="00541864" w:rsidP="00541864">
            <w:pPr>
              <w:jc w:val="both"/>
            </w:pPr>
            <w:r>
              <w:t>Технические специалисты</w:t>
            </w:r>
          </w:p>
        </w:tc>
        <w:tc>
          <w:tcPr>
            <w:tcW w:w="1042" w:type="dxa"/>
          </w:tcPr>
          <w:p w:rsidR="00541864" w:rsidRDefault="00541864" w:rsidP="00541864">
            <w:pPr>
              <w:jc w:val="both"/>
            </w:pPr>
            <w:r>
              <w:t>5</w:t>
            </w:r>
          </w:p>
        </w:tc>
        <w:tc>
          <w:tcPr>
            <w:tcW w:w="1014" w:type="dxa"/>
          </w:tcPr>
          <w:p w:rsidR="00541864" w:rsidRDefault="00541864" w:rsidP="00541864">
            <w:pPr>
              <w:jc w:val="both"/>
            </w:pPr>
            <w:r>
              <w:t>Да</w:t>
            </w:r>
          </w:p>
        </w:tc>
        <w:tc>
          <w:tcPr>
            <w:tcW w:w="958" w:type="dxa"/>
          </w:tcPr>
          <w:p w:rsidR="00541864" w:rsidRDefault="00541864" w:rsidP="00541864">
            <w:pPr>
              <w:jc w:val="both"/>
            </w:pPr>
            <w:r>
              <w:t>Да</w:t>
            </w:r>
          </w:p>
        </w:tc>
        <w:tc>
          <w:tcPr>
            <w:tcW w:w="950" w:type="dxa"/>
          </w:tcPr>
          <w:p w:rsidR="00541864" w:rsidRDefault="00541864" w:rsidP="00541864">
            <w:pPr>
              <w:jc w:val="both"/>
            </w:pPr>
            <w:r>
              <w:t>IBM</w:t>
            </w:r>
          </w:p>
        </w:tc>
        <w:tc>
          <w:tcPr>
            <w:tcW w:w="1023" w:type="dxa"/>
          </w:tcPr>
          <w:p w:rsidR="00541864" w:rsidRDefault="00541864" w:rsidP="00541864">
            <w:pPr>
              <w:jc w:val="both"/>
            </w:pPr>
            <w:r>
              <w:t>200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 xml:space="preserve">Сравнивая характеристики, можно заметить, что разработанный курс превосходит по некоторым показателям имеющиеся курсы. Особенно привлекательными являются стоимость одного дня обучения и наличие материалов слушателей на русском языке, а также наличие сертификата фирмы </w:t>
      </w:r>
      <w:r>
        <w:rPr>
          <w:lang w:val="en-US"/>
        </w:rPr>
        <w:t>IBM</w:t>
      </w:r>
      <w:r>
        <w:t xml:space="preserve">. Поэтому можно сделать вывод, что курс является конкурентоспособным. 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Оценка тактики</w:t>
      </w:r>
    </w:p>
    <w:p w:rsidR="00541864" w:rsidRDefault="00541864" w:rsidP="00541864">
      <w:pPr>
        <w:jc w:val="both"/>
      </w:pPr>
      <w:r>
        <w:t>Для информирования потенциальных потребителей будет использоваться реклама на страницах популярных компьютерных изданий, факсимильная связь для бизнес-партнеров, рассылка рекламных проспектов по предприятиям и организациям России, раздача рекламных буклетов на различных компьютерных выставках.</w:t>
      </w:r>
    </w:p>
    <w:p w:rsidR="00541864" w:rsidRDefault="00541864" w:rsidP="00541864">
      <w:pPr>
        <w:jc w:val="both"/>
      </w:pPr>
      <w:r>
        <w:t>Курсы будут проводиться примерно раз в две недели, ожидаемое количество слушателей — десять человек на одном курсе.</w:t>
      </w:r>
    </w:p>
    <w:p w:rsidR="00541864" w:rsidRDefault="00541864" w:rsidP="00541864">
      <w:pPr>
        <w:jc w:val="both"/>
      </w:pPr>
      <w:r>
        <w:t>Оценка была сделана на основе мнения независимых экспертов.</w:t>
      </w:r>
    </w:p>
    <w:p w:rsidR="00541864" w:rsidRDefault="00541864" w:rsidP="00541864">
      <w:pPr>
        <w:jc w:val="both"/>
      </w:pPr>
      <w:r>
        <w:t>Оценка риска</w:t>
      </w:r>
    </w:p>
    <w:p w:rsidR="00541864" w:rsidRDefault="00541864" w:rsidP="00541864">
      <w:pPr>
        <w:jc w:val="both"/>
      </w:pPr>
      <w:r>
        <w:t>Стадии разработки курса могут сопутствовать следующие риски:</w:t>
      </w:r>
    </w:p>
    <w:p w:rsidR="00541864" w:rsidRDefault="00541864" w:rsidP="00541864">
      <w:pPr>
        <w:jc w:val="both"/>
      </w:pPr>
      <w:r>
        <w:t>трудности с набором квалифицированных кадров;</w:t>
      </w:r>
    </w:p>
    <w:p w:rsidR="00541864" w:rsidRDefault="00541864" w:rsidP="00541864">
      <w:pPr>
        <w:jc w:val="both"/>
      </w:pPr>
      <w:r>
        <w:t>недостаточный уровень заработной платы (текучесть кадров,  снижение производительности труда);</w:t>
      </w:r>
    </w:p>
    <w:p w:rsidR="00541864" w:rsidRDefault="00541864" w:rsidP="00541864">
      <w:pPr>
        <w:jc w:val="both"/>
      </w:pPr>
      <w:r>
        <w:t>изношенность оборудования (физическая и моральная);</w:t>
      </w:r>
    </w:p>
    <w:p w:rsidR="00541864" w:rsidRDefault="00541864" w:rsidP="00541864">
      <w:pPr>
        <w:jc w:val="both"/>
      </w:pPr>
      <w:r>
        <w:t>недостаточность качества материалов.</w:t>
      </w:r>
    </w:p>
    <w:p w:rsidR="00541864" w:rsidRDefault="00541864" w:rsidP="00541864">
      <w:pPr>
        <w:jc w:val="both"/>
      </w:pPr>
      <w:r>
        <w:t xml:space="preserve">При разработке курса эти риски не имеют существенного значения, поскольку создание курса выполняют высококвалифицированные специалисты, работающие по контракту, пункты которого полностью оговорены с работниками и приняты ими. Работа осуществляется на качественном оборудовании фирмы </w:t>
      </w:r>
      <w:r>
        <w:rPr>
          <w:lang w:val="en-US"/>
        </w:rPr>
        <w:t>IBM</w:t>
      </w:r>
      <w:r w:rsidRPr="00541864">
        <w:t xml:space="preserve"> </w:t>
      </w:r>
      <w:r>
        <w:t xml:space="preserve">(персональные компьютеры, принтеры) и копировальных аппаратах фирмы </w:t>
      </w:r>
      <w:r>
        <w:rPr>
          <w:lang w:val="en-US"/>
        </w:rPr>
        <w:t>Kodak</w:t>
      </w:r>
      <w:r>
        <w:t xml:space="preserve">. В работе используются оригинальные материалы фирмы </w:t>
      </w:r>
      <w:r>
        <w:rPr>
          <w:lang w:val="en-US"/>
        </w:rPr>
        <w:t>IBM</w:t>
      </w:r>
      <w:r>
        <w:t>, полученные по внутренним каналам. Налажены прочные контакты с несколькими поставщиками бумаги, а в случае срыва поставок предусмотрен резервный фонд. Все эти возможности сводят к минимуму вероятность появления указанных выше рисков.</w:t>
      </w:r>
    </w:p>
    <w:p w:rsidR="00541864" w:rsidRDefault="00541864" w:rsidP="00541864">
      <w:pPr>
        <w:jc w:val="both"/>
      </w:pPr>
      <w:r>
        <w:t>На стадии эксплуатации курса могут возникать следующие риски:</w:t>
      </w:r>
    </w:p>
    <w:p w:rsidR="00541864" w:rsidRDefault="00541864" w:rsidP="00541864">
      <w:pPr>
        <w:jc w:val="both"/>
      </w:pPr>
      <w:r>
        <w:t>финансово-экономические риски;</w:t>
      </w:r>
    </w:p>
    <w:p w:rsidR="00541864" w:rsidRDefault="00541864" w:rsidP="00541864">
      <w:pPr>
        <w:jc w:val="both"/>
      </w:pPr>
      <w:r>
        <w:t>неустойчивость спроса;</w:t>
      </w:r>
    </w:p>
    <w:p w:rsidR="00541864" w:rsidRDefault="00541864" w:rsidP="00541864">
      <w:pPr>
        <w:jc w:val="both"/>
      </w:pPr>
      <w:r>
        <w:t>появление альтернативного курса;</w:t>
      </w:r>
    </w:p>
    <w:p w:rsidR="00541864" w:rsidRDefault="00541864" w:rsidP="00541864">
      <w:pPr>
        <w:jc w:val="both"/>
      </w:pPr>
      <w:r>
        <w:t>снижение цен конкурентами;</w:t>
      </w:r>
    </w:p>
    <w:p w:rsidR="00541864" w:rsidRDefault="00541864" w:rsidP="00541864">
      <w:pPr>
        <w:jc w:val="both"/>
      </w:pPr>
      <w:r>
        <w:t>рост налогов;</w:t>
      </w:r>
    </w:p>
    <w:p w:rsidR="00541864" w:rsidRDefault="00541864" w:rsidP="00541864">
      <w:pPr>
        <w:jc w:val="both"/>
      </w:pPr>
      <w:r>
        <w:t>рост цен на сырье, материалы;</w:t>
      </w:r>
    </w:p>
    <w:p w:rsidR="00541864" w:rsidRDefault="00541864" w:rsidP="00541864">
      <w:pPr>
        <w:jc w:val="both"/>
      </w:pPr>
      <w:r>
        <w:t>обеспеченность рабочей силой.</w:t>
      </w:r>
    </w:p>
    <w:p w:rsidR="00541864" w:rsidRDefault="00541864" w:rsidP="00541864">
      <w:pPr>
        <w:jc w:val="both"/>
      </w:pPr>
      <w:r>
        <w:t>Оценка вероятности появления указанных рисков приведена в таблицах 1, 2 и 3.</w:t>
      </w:r>
    </w:p>
    <w:p w:rsidR="00541864" w:rsidRDefault="00541864" w:rsidP="00541864">
      <w:pPr>
        <w:jc w:val="both"/>
      </w:pPr>
      <w:r>
        <w:t>Таблица 1: “Простые риски”</w:t>
      </w:r>
    </w:p>
    <w:tbl>
      <w:tblPr>
        <w:tblW w:w="0" w:type="auto"/>
        <w:tblInd w:w="5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565"/>
        <w:gridCol w:w="1629"/>
      </w:tblGrid>
      <w:tr w:rsidR="00541864" w:rsidTr="00541864">
        <w:trPr>
          <w:trHeight w:val="248"/>
        </w:trPr>
        <w:tc>
          <w:tcPr>
            <w:tcW w:w="52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Простые риски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Приоритеты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Веса </w:t>
            </w:r>
          </w:p>
        </w:tc>
      </w:tr>
      <w:tr w:rsidR="00541864" w:rsidTr="00541864">
        <w:trPr>
          <w:trHeight w:val="256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Si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Pi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Wi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Финансово-экономические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Неустойчивость спроса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Появление альтернативного курса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Снижение цен конкурентами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налоговых ставок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Рост цен на сырье, материалы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рабочей силой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</w:tr>
      <w:tr w:rsidR="00541864" w:rsidTr="00541864">
        <w:trPr>
          <w:trHeight w:val="248"/>
        </w:trPr>
        <w:tc>
          <w:tcPr>
            <w:tcW w:w="5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При экспертной оценке рисков была принята следующая система оценки:</w:t>
      </w:r>
    </w:p>
    <w:p w:rsidR="00541864" w:rsidRDefault="00541864" w:rsidP="00541864">
      <w:pPr>
        <w:jc w:val="both"/>
      </w:pPr>
      <w:r>
        <w:t>0 — вероятность возникновения риска мала;</w:t>
      </w:r>
    </w:p>
    <w:p w:rsidR="00541864" w:rsidRDefault="00541864" w:rsidP="00541864">
      <w:pPr>
        <w:jc w:val="both"/>
      </w:pPr>
      <w:r>
        <w:t>25 — вероятность возникновения риска ниже среднего;</w:t>
      </w:r>
    </w:p>
    <w:p w:rsidR="00541864" w:rsidRDefault="00541864" w:rsidP="00541864">
      <w:pPr>
        <w:jc w:val="both"/>
      </w:pPr>
      <w:r>
        <w:t>50 — вероятность возникновения риска средняя;</w:t>
      </w:r>
    </w:p>
    <w:p w:rsidR="00541864" w:rsidRDefault="00541864" w:rsidP="00541864">
      <w:pPr>
        <w:jc w:val="both"/>
      </w:pPr>
      <w:r>
        <w:t>75 — вероятность возникновения риска выше среднего;</w:t>
      </w:r>
    </w:p>
    <w:p w:rsidR="00541864" w:rsidRDefault="00541864" w:rsidP="00541864">
      <w:pPr>
        <w:jc w:val="both"/>
      </w:pPr>
      <w:r>
        <w:t>100 — вероятность возникновения риска высока.</w:t>
      </w: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Таблица 2: “Экспертная оценка рисков”</w:t>
      </w:r>
    </w:p>
    <w:tbl>
      <w:tblPr>
        <w:tblW w:w="0" w:type="auto"/>
        <w:tblInd w:w="5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831"/>
        <w:gridCol w:w="870"/>
        <w:gridCol w:w="880"/>
        <w:gridCol w:w="1813"/>
      </w:tblGrid>
      <w:tr w:rsidR="00541864" w:rsidTr="00541864">
        <w:trPr>
          <w:trHeight w:val="248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Простые риски, Si</w:t>
            </w:r>
          </w:p>
        </w:tc>
        <w:tc>
          <w:tcPr>
            <w:tcW w:w="2581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Эксперты</w:t>
            </w:r>
          </w:p>
          <w:p w:rsidR="00541864" w:rsidRDefault="00541864" w:rsidP="00541864">
            <w:pPr>
              <w:jc w:val="both"/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Vi</w:t>
            </w:r>
          </w:p>
        </w:tc>
      </w:tr>
      <w:tr w:rsidR="00541864" w:rsidTr="00541864">
        <w:trPr>
          <w:trHeight w:val="256"/>
        </w:trPr>
        <w:tc>
          <w:tcPr>
            <w:tcW w:w="4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3-й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Финансово-экономические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Неустойчивость спроса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41.66667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Появление альтернативного курса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16.66667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Снижение цен конкурентами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41.66667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налоговых ставок 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83.33333</w:t>
            </w:r>
          </w:p>
        </w:tc>
      </w:tr>
      <w:tr w:rsidR="00541864" w:rsidTr="00541864">
        <w:trPr>
          <w:trHeight w:val="256"/>
        </w:trPr>
        <w:tc>
          <w:tcPr>
            <w:tcW w:w="4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Рост цен на сырье, материалы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8.333333</w:t>
            </w:r>
          </w:p>
        </w:tc>
      </w:tr>
      <w:tr w:rsidR="00541864" w:rsidTr="00541864">
        <w:trPr>
          <w:trHeight w:val="256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рабочей силой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8.333333</w:t>
            </w:r>
          </w:p>
        </w:tc>
      </w:tr>
    </w:tbl>
    <w:p w:rsidR="00541864" w:rsidRDefault="00541864" w:rsidP="00541864">
      <w:pPr>
        <w:jc w:val="both"/>
        <w:rPr>
          <w:lang w:val="en-US"/>
        </w:rPr>
      </w:pPr>
    </w:p>
    <w:p w:rsidR="00541864" w:rsidRDefault="00541864" w:rsidP="00541864">
      <w:pPr>
        <w:jc w:val="both"/>
      </w:pPr>
      <w:r>
        <w:br w:type="page"/>
        <w:t>Таблица 3: “Оценка рисков”</w:t>
      </w:r>
    </w:p>
    <w:tbl>
      <w:tblPr>
        <w:tblW w:w="0" w:type="auto"/>
        <w:tblInd w:w="5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1410"/>
        <w:gridCol w:w="1502"/>
        <w:gridCol w:w="1420"/>
      </w:tblGrid>
      <w:tr w:rsidR="00541864" w:rsidTr="00541864">
        <w:trPr>
          <w:trHeight w:val="248"/>
        </w:trPr>
        <w:tc>
          <w:tcPr>
            <w:tcW w:w="41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Риски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Веса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Вероятность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541864" w:rsidTr="00541864">
        <w:trPr>
          <w:trHeight w:val="256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Si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Wi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Wi*Vi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Финансово-экономические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Неустойчивость спроса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Появление альтернативного курса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Снижение цен конкурентами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налоговых ставок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Рост цен на сырье, материалы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рабочей силой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</w:tr>
      <w:tr w:rsidR="00541864" w:rsidTr="00541864">
        <w:trPr>
          <w:trHeight w:val="248"/>
        </w:trPr>
        <w:tc>
          <w:tcPr>
            <w:tcW w:w="41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1864" w:rsidRDefault="00541864" w:rsidP="0054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33.5</w:t>
            </w:r>
          </w:p>
        </w:tc>
      </w:tr>
    </w:tbl>
    <w:p w:rsidR="00541864" w:rsidRDefault="00541864" w:rsidP="00541864">
      <w:pPr>
        <w:jc w:val="both"/>
      </w:pPr>
      <w:r>
        <w:t>Как видно из расчетов, наиболее вероятны появления двух рисков: неустойчивость спроса и повышение налоговых ставок. Для минимизации влияния риска неустойчивости будет проводиться модернизация курса в соответствии с усовершенствованием операционной системы, дополнительная рекламная кампания. Повышение налоговых ставок приведет к увеличению стоимости одного дня курса, но это коснется также и фирм-конкурентов. Риски, связанные с поведением конкурентов на российском рынке имеют незначительное влияние.</w:t>
      </w:r>
    </w:p>
    <w:p w:rsidR="00541864" w:rsidRDefault="00541864" w:rsidP="00541864">
      <w:pPr>
        <w:jc w:val="both"/>
      </w:pPr>
      <w:r>
        <w:t>Финансовое обоснование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Определение стоимости работ</w:t>
      </w:r>
    </w:p>
    <w:p w:rsidR="00541864" w:rsidRDefault="00541864" w:rsidP="00541864">
      <w:pPr>
        <w:jc w:val="both"/>
      </w:pPr>
      <w:r>
        <w:t>В таблице 1 дана схема расчета себестоимости работ.</w:t>
      </w:r>
    </w:p>
    <w:p w:rsidR="00541864" w:rsidRDefault="00541864" w:rsidP="00541864">
      <w:pPr>
        <w:jc w:val="both"/>
      </w:pPr>
      <w:r>
        <w:t>Таблица 1: “Схема расчета себестоимости работ”</w: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134"/>
        <w:gridCol w:w="3685"/>
      </w:tblGrid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Наименование статей расхода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Затраты тыс.руб.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Обоснование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Заработная плата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5000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См. табл. 2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Материалы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1000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См. табл. 3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Отчисления в фонды социального страхования, занятости, пенсионный фонд, обязательное медицинское страхование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1950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39% от пункта 1, в том числе:</w:t>
            </w:r>
            <w:r w:rsidRPr="00541864">
              <w:t xml:space="preserve"> </w:t>
            </w:r>
            <w:r>
              <w:t>28% пенсионный фонд;</w:t>
            </w:r>
            <w:r w:rsidRPr="00541864">
              <w:t xml:space="preserve"> </w:t>
            </w:r>
            <w:r>
              <w:t>2% фонд занятости;</w:t>
            </w:r>
            <w:r w:rsidRPr="00541864">
              <w:t xml:space="preserve"> </w:t>
            </w:r>
            <w:r>
              <w:t>5,4% соц. страхование;</w:t>
            </w:r>
            <w:r w:rsidRPr="00541864">
              <w:t xml:space="preserve"> </w:t>
            </w:r>
            <w:r>
              <w:t>3,6% мед. Страхование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Расходы на эксплуатацию ЭВМ и офисного оборудования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250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См. табл. 4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Накладные расходы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2050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25% от пунктов 1-4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Плановая себестоимость работ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10250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Сумма пунктов 1-5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Отчисления в бюджет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350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3,4% плановой себестоимости, в том числе: - отчисления во внебюджетный фонд НИОКР Комитета по высшей  школе и Минфина РФ — 1,5%; - отчисления в дорожные фонды — 0,4%;</w:t>
            </w:r>
            <w:r w:rsidRPr="00541864">
              <w:t xml:space="preserve"> </w:t>
            </w:r>
            <w:r>
              <w:t>отчисления на содержание жилищного фонда и объектов соц.культ.быта — 1,5%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8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Полная себестоимость работ</w:t>
            </w:r>
          </w:p>
        </w:tc>
        <w:tc>
          <w:tcPr>
            <w:tcW w:w="1134" w:type="dxa"/>
          </w:tcPr>
          <w:p w:rsidR="00541864" w:rsidRDefault="00541864" w:rsidP="00541864">
            <w:pPr>
              <w:jc w:val="both"/>
            </w:pPr>
            <w:r>
              <w:t>10600</w:t>
            </w:r>
          </w:p>
        </w:tc>
        <w:tc>
          <w:tcPr>
            <w:tcW w:w="3685" w:type="dxa"/>
          </w:tcPr>
          <w:p w:rsidR="00541864" w:rsidRDefault="00541864" w:rsidP="00541864">
            <w:pPr>
              <w:jc w:val="both"/>
            </w:pPr>
            <w:r>
              <w:t>Сумма пунктов 6-7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br w:type="page"/>
        <w:t>Таблица 2: “Расчет заработной платы”</w: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25"/>
        <w:gridCol w:w="2028"/>
        <w:gridCol w:w="1868"/>
        <w:gridCol w:w="1559"/>
      </w:tblGrid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2625" w:type="dxa"/>
          </w:tcPr>
          <w:p w:rsidR="00541864" w:rsidRDefault="00541864" w:rsidP="00541864">
            <w:pPr>
              <w:jc w:val="both"/>
            </w:pPr>
            <w:r>
              <w:t>Наименование должности</w:t>
            </w:r>
          </w:p>
        </w:tc>
        <w:tc>
          <w:tcPr>
            <w:tcW w:w="2028" w:type="dxa"/>
          </w:tcPr>
          <w:p w:rsidR="00541864" w:rsidRDefault="00541864" w:rsidP="00541864">
            <w:pPr>
              <w:jc w:val="both"/>
            </w:pPr>
            <w:r>
              <w:t>Оклад</w:t>
            </w:r>
            <w:r>
              <w:rPr>
                <w:lang w:val="en-US"/>
              </w:rPr>
              <w:t xml:space="preserve"> </w:t>
            </w:r>
            <w:r>
              <w:t>(тыс. руб)</w:t>
            </w:r>
          </w:p>
        </w:tc>
        <w:tc>
          <w:tcPr>
            <w:tcW w:w="1868" w:type="dxa"/>
          </w:tcPr>
          <w:p w:rsidR="00541864" w:rsidRDefault="00541864" w:rsidP="00541864">
            <w:pPr>
              <w:jc w:val="both"/>
            </w:pPr>
            <w:r>
              <w:t>Время работы (чел. месяц)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Сумма зарплаты (тыс. руб.)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2625" w:type="dxa"/>
          </w:tcPr>
          <w:p w:rsidR="00541864" w:rsidRDefault="00541864" w:rsidP="00541864">
            <w:pPr>
              <w:jc w:val="both"/>
            </w:pPr>
            <w:r>
              <w:t>Студент-дипломник</w:t>
            </w:r>
          </w:p>
        </w:tc>
        <w:tc>
          <w:tcPr>
            <w:tcW w:w="2028" w:type="dxa"/>
          </w:tcPr>
          <w:p w:rsidR="00541864" w:rsidRDefault="00541864" w:rsidP="00541864">
            <w:pPr>
              <w:jc w:val="both"/>
            </w:pPr>
            <w:r>
              <w:t>2500</w:t>
            </w:r>
          </w:p>
        </w:tc>
        <w:tc>
          <w:tcPr>
            <w:tcW w:w="1868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5000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Таблица 3: “Расчет затрат на материалы”</w: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99"/>
        <w:gridCol w:w="1467"/>
        <w:gridCol w:w="1554"/>
        <w:gridCol w:w="1701"/>
        <w:gridCol w:w="1559"/>
      </w:tblGrid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1799" w:type="dxa"/>
          </w:tcPr>
          <w:p w:rsidR="00541864" w:rsidRDefault="00541864" w:rsidP="00541864">
            <w:pPr>
              <w:jc w:val="both"/>
            </w:pPr>
            <w:r>
              <w:t>Наименование материала</w:t>
            </w:r>
          </w:p>
        </w:tc>
        <w:tc>
          <w:tcPr>
            <w:tcW w:w="1467" w:type="dxa"/>
          </w:tcPr>
          <w:p w:rsidR="00541864" w:rsidRDefault="00541864" w:rsidP="00541864">
            <w:pPr>
              <w:jc w:val="both"/>
            </w:pPr>
            <w:r>
              <w:t>Единица измерения</w:t>
            </w:r>
          </w:p>
        </w:tc>
        <w:tc>
          <w:tcPr>
            <w:tcW w:w="1554" w:type="dxa"/>
          </w:tcPr>
          <w:p w:rsidR="00541864" w:rsidRDefault="00541864" w:rsidP="00541864">
            <w:pPr>
              <w:jc w:val="both"/>
            </w:pPr>
            <w:r>
              <w:t>Количество</w:t>
            </w:r>
          </w:p>
        </w:tc>
        <w:tc>
          <w:tcPr>
            <w:tcW w:w="1701" w:type="dxa"/>
          </w:tcPr>
          <w:p w:rsidR="00541864" w:rsidRDefault="00541864" w:rsidP="00541864">
            <w:pPr>
              <w:jc w:val="both"/>
            </w:pPr>
            <w:r>
              <w:t>Цена единицы (тыс. руб.)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Всего сумма (тыс.руб.)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1799" w:type="dxa"/>
          </w:tcPr>
          <w:p w:rsidR="00541864" w:rsidRDefault="00541864" w:rsidP="00541864">
            <w:pPr>
              <w:jc w:val="both"/>
            </w:pPr>
            <w:r>
              <w:t>Бумага</w:t>
            </w:r>
          </w:p>
        </w:tc>
        <w:tc>
          <w:tcPr>
            <w:tcW w:w="1467" w:type="dxa"/>
          </w:tcPr>
          <w:p w:rsidR="00541864" w:rsidRDefault="00541864" w:rsidP="00541864">
            <w:pPr>
              <w:jc w:val="both"/>
            </w:pPr>
            <w:r>
              <w:t>коробка</w:t>
            </w:r>
          </w:p>
        </w:tc>
        <w:tc>
          <w:tcPr>
            <w:tcW w:w="1554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541864" w:rsidRDefault="00541864" w:rsidP="00541864">
            <w:pPr>
              <w:jc w:val="both"/>
            </w:pPr>
            <w:r>
              <w:t>150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150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1799" w:type="dxa"/>
          </w:tcPr>
          <w:p w:rsidR="00541864" w:rsidRDefault="00541864" w:rsidP="00541864">
            <w:pPr>
              <w:jc w:val="both"/>
            </w:pPr>
            <w:r>
              <w:t>Прозрачные пленки</w:t>
            </w:r>
          </w:p>
        </w:tc>
        <w:tc>
          <w:tcPr>
            <w:tcW w:w="1467" w:type="dxa"/>
          </w:tcPr>
          <w:p w:rsidR="00541864" w:rsidRDefault="00541864" w:rsidP="00541864">
            <w:pPr>
              <w:jc w:val="both"/>
            </w:pPr>
            <w:r>
              <w:t>упаковка</w:t>
            </w:r>
          </w:p>
        </w:tc>
        <w:tc>
          <w:tcPr>
            <w:tcW w:w="1554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541864" w:rsidRDefault="00541864" w:rsidP="00541864">
            <w:pPr>
              <w:jc w:val="both"/>
            </w:pPr>
            <w:r>
              <w:t>50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200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3</w:t>
            </w:r>
          </w:p>
        </w:tc>
        <w:tc>
          <w:tcPr>
            <w:tcW w:w="1799" w:type="dxa"/>
          </w:tcPr>
          <w:p w:rsidR="00541864" w:rsidRDefault="00541864" w:rsidP="00541864">
            <w:pPr>
              <w:jc w:val="both"/>
            </w:pPr>
            <w:r>
              <w:t>Картриджи для принтеров</w:t>
            </w:r>
          </w:p>
        </w:tc>
        <w:tc>
          <w:tcPr>
            <w:tcW w:w="1467" w:type="dxa"/>
          </w:tcPr>
          <w:p w:rsidR="00541864" w:rsidRDefault="00541864" w:rsidP="00541864">
            <w:pPr>
              <w:jc w:val="both"/>
            </w:pPr>
            <w:r>
              <w:t>штука</w:t>
            </w:r>
          </w:p>
        </w:tc>
        <w:tc>
          <w:tcPr>
            <w:tcW w:w="1554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541864" w:rsidRDefault="00541864" w:rsidP="00541864">
            <w:pPr>
              <w:jc w:val="both"/>
            </w:pPr>
            <w:r>
              <w:t>550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550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4</w:t>
            </w:r>
          </w:p>
        </w:tc>
        <w:tc>
          <w:tcPr>
            <w:tcW w:w="1799" w:type="dxa"/>
          </w:tcPr>
          <w:p w:rsidR="00541864" w:rsidRDefault="00541864" w:rsidP="00541864">
            <w:pPr>
              <w:jc w:val="both"/>
            </w:pPr>
            <w:r>
              <w:t>Дискеты</w:t>
            </w:r>
          </w:p>
        </w:tc>
        <w:tc>
          <w:tcPr>
            <w:tcW w:w="1467" w:type="dxa"/>
          </w:tcPr>
          <w:p w:rsidR="00541864" w:rsidRDefault="00541864" w:rsidP="00541864">
            <w:pPr>
              <w:jc w:val="both"/>
            </w:pPr>
            <w:r>
              <w:t>штука</w:t>
            </w:r>
          </w:p>
        </w:tc>
        <w:tc>
          <w:tcPr>
            <w:tcW w:w="1554" w:type="dxa"/>
          </w:tcPr>
          <w:p w:rsidR="00541864" w:rsidRDefault="00541864" w:rsidP="00541864">
            <w:pPr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541864" w:rsidRDefault="00541864" w:rsidP="00541864">
            <w:pPr>
              <w:jc w:val="both"/>
            </w:pPr>
            <w:r>
              <w:t>5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50</w:t>
            </w:r>
          </w:p>
        </w:tc>
      </w:tr>
      <w:tr w:rsidR="00541864" w:rsidTr="00541864">
        <w:tc>
          <w:tcPr>
            <w:tcW w:w="7338" w:type="dxa"/>
            <w:gridSpan w:val="5"/>
          </w:tcPr>
          <w:p w:rsidR="00541864" w:rsidRDefault="00541864" w:rsidP="00541864">
            <w:pPr>
              <w:jc w:val="both"/>
            </w:pPr>
            <w:r>
              <w:t>Итого:</w:t>
            </w:r>
            <w:r w:rsidRPr="00541864">
              <w:t xml:space="preserve"> </w:t>
            </w:r>
            <w:r>
              <w:t>(с учетом транспортных затрат 5% от стоимости материалов)</w:t>
            </w:r>
          </w:p>
        </w:tc>
        <w:tc>
          <w:tcPr>
            <w:tcW w:w="1559" w:type="dxa"/>
          </w:tcPr>
          <w:p w:rsidR="00541864" w:rsidRDefault="00541864" w:rsidP="00541864">
            <w:pPr>
              <w:jc w:val="both"/>
            </w:pPr>
            <w:r>
              <w:t>1000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Таблица 4. “Расчет затрат на эксплуатацию ЭВМ и офисного оборудования”</w: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452"/>
        <w:gridCol w:w="1241"/>
        <w:gridCol w:w="1843"/>
        <w:gridCol w:w="1641"/>
      </w:tblGrid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Наименование оборудования</w:t>
            </w:r>
          </w:p>
        </w:tc>
        <w:tc>
          <w:tcPr>
            <w:tcW w:w="1452" w:type="dxa"/>
          </w:tcPr>
          <w:p w:rsidR="00541864" w:rsidRDefault="00541864" w:rsidP="00541864">
            <w:pPr>
              <w:jc w:val="both"/>
            </w:pPr>
            <w:r>
              <w:t>Цена прибора</w:t>
            </w:r>
            <w:r>
              <w:rPr>
                <w:lang w:val="en-US"/>
              </w:rPr>
              <w:t xml:space="preserve"> </w:t>
            </w:r>
            <w:r>
              <w:t>(тыс. руб.)</w:t>
            </w:r>
          </w:p>
        </w:tc>
        <w:tc>
          <w:tcPr>
            <w:tcW w:w="1241" w:type="dxa"/>
          </w:tcPr>
          <w:p w:rsidR="00541864" w:rsidRDefault="00541864" w:rsidP="00541864">
            <w:pPr>
              <w:jc w:val="both"/>
            </w:pPr>
            <w:r>
              <w:t>Срок службы (гг)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Время использования (час)</w:t>
            </w:r>
          </w:p>
        </w:tc>
        <w:tc>
          <w:tcPr>
            <w:tcW w:w="1641" w:type="dxa"/>
          </w:tcPr>
          <w:p w:rsidR="00541864" w:rsidRDefault="00541864" w:rsidP="00541864">
            <w:pPr>
              <w:jc w:val="both"/>
            </w:pPr>
            <w:r>
              <w:t>Затраты на аренду (тыс. руб)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 xml:space="preserve">ПЭВМ </w:t>
            </w:r>
          </w:p>
        </w:tc>
        <w:tc>
          <w:tcPr>
            <w:tcW w:w="1452" w:type="dxa"/>
          </w:tcPr>
          <w:p w:rsidR="00541864" w:rsidRDefault="00541864" w:rsidP="00541864">
            <w:pPr>
              <w:jc w:val="both"/>
            </w:pPr>
            <w:r>
              <w:t>7200</w:t>
            </w:r>
          </w:p>
        </w:tc>
        <w:tc>
          <w:tcPr>
            <w:tcW w:w="1241" w:type="dxa"/>
          </w:tcPr>
          <w:p w:rsidR="00541864" w:rsidRDefault="00541864" w:rsidP="00541864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640</w:t>
            </w:r>
          </w:p>
        </w:tc>
        <w:tc>
          <w:tcPr>
            <w:tcW w:w="1641" w:type="dxa"/>
          </w:tcPr>
          <w:p w:rsidR="00541864" w:rsidRDefault="00541864" w:rsidP="00541864">
            <w:pPr>
              <w:jc w:val="both"/>
            </w:pPr>
            <w:r>
              <w:t>50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Лазерный принтер</w:t>
            </w:r>
          </w:p>
        </w:tc>
        <w:tc>
          <w:tcPr>
            <w:tcW w:w="1452" w:type="dxa"/>
          </w:tcPr>
          <w:p w:rsidR="00541864" w:rsidRDefault="00541864" w:rsidP="00541864">
            <w:pPr>
              <w:jc w:val="both"/>
            </w:pPr>
            <w:r>
              <w:t>5400</w:t>
            </w:r>
          </w:p>
        </w:tc>
        <w:tc>
          <w:tcPr>
            <w:tcW w:w="1241" w:type="dxa"/>
          </w:tcPr>
          <w:p w:rsidR="00541864" w:rsidRDefault="00541864" w:rsidP="00541864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640</w:t>
            </w:r>
          </w:p>
        </w:tc>
        <w:tc>
          <w:tcPr>
            <w:tcW w:w="1641" w:type="dxa"/>
          </w:tcPr>
          <w:p w:rsidR="00541864" w:rsidRDefault="00541864" w:rsidP="00541864">
            <w:pPr>
              <w:jc w:val="both"/>
            </w:pPr>
            <w:r>
              <w:t>40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Ксерокс</w:t>
            </w:r>
          </w:p>
        </w:tc>
        <w:tc>
          <w:tcPr>
            <w:tcW w:w="1452" w:type="dxa"/>
          </w:tcPr>
          <w:p w:rsidR="00541864" w:rsidRDefault="00541864" w:rsidP="00541864">
            <w:pPr>
              <w:jc w:val="both"/>
            </w:pPr>
            <w:r>
              <w:t>36000</w:t>
            </w:r>
          </w:p>
        </w:tc>
        <w:tc>
          <w:tcPr>
            <w:tcW w:w="1241" w:type="dxa"/>
          </w:tcPr>
          <w:p w:rsidR="00541864" w:rsidRDefault="00541864" w:rsidP="00541864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541864" w:rsidRDefault="00541864" w:rsidP="00541864">
            <w:pPr>
              <w:jc w:val="both"/>
            </w:pPr>
            <w:r>
              <w:t>400</w:t>
            </w:r>
          </w:p>
        </w:tc>
        <w:tc>
          <w:tcPr>
            <w:tcW w:w="1641" w:type="dxa"/>
          </w:tcPr>
          <w:p w:rsidR="00541864" w:rsidRDefault="00541864" w:rsidP="00541864">
            <w:pPr>
              <w:jc w:val="both"/>
            </w:pPr>
            <w:r>
              <w:t>160</w:t>
            </w:r>
          </w:p>
        </w:tc>
      </w:tr>
      <w:tr w:rsidR="00541864" w:rsidTr="00541864">
        <w:tc>
          <w:tcPr>
            <w:tcW w:w="7196" w:type="dxa"/>
            <w:gridSpan w:val="5"/>
          </w:tcPr>
          <w:p w:rsidR="00541864" w:rsidRDefault="00541864" w:rsidP="00541864">
            <w:pPr>
              <w:jc w:val="both"/>
            </w:pPr>
            <w:r>
              <w:t>Итого:</w:t>
            </w:r>
          </w:p>
        </w:tc>
        <w:tc>
          <w:tcPr>
            <w:tcW w:w="1641" w:type="dxa"/>
          </w:tcPr>
          <w:p w:rsidR="00541864" w:rsidRDefault="00541864" w:rsidP="00541864">
            <w:pPr>
              <w:jc w:val="both"/>
            </w:pPr>
            <w:r>
              <w:t>250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Прогноз объемов (3 года)</w:t>
      </w:r>
    </w:p>
    <w:p w:rsidR="00541864" w:rsidRDefault="00541864" w:rsidP="00541864">
      <w:pPr>
        <w:jc w:val="both"/>
      </w:pPr>
      <w:r>
        <w:t>Таблица 5: “Прогнозируемые объемы продаж”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1543"/>
        <w:gridCol w:w="1543"/>
        <w:gridCol w:w="1737"/>
      </w:tblGrid>
      <w:tr w:rsidR="00541864" w:rsidTr="00541864"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1 год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2 год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3 год</w:t>
            </w:r>
          </w:p>
        </w:tc>
      </w:tr>
      <w:tr w:rsidR="00541864" w:rsidTr="00541864">
        <w:tc>
          <w:tcPr>
            <w:tcW w:w="1101" w:type="dxa"/>
            <w:tcBorders>
              <w:top w:val="nil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Объем реализации, шт (кол-во проведений курса)</w:t>
            </w:r>
          </w:p>
        </w:tc>
        <w:tc>
          <w:tcPr>
            <w:tcW w:w="1543" w:type="dxa"/>
            <w:tcBorders>
              <w:top w:val="nil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24</w:t>
            </w:r>
          </w:p>
        </w:tc>
        <w:tc>
          <w:tcPr>
            <w:tcW w:w="1543" w:type="dxa"/>
            <w:tcBorders>
              <w:top w:val="nil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24</w:t>
            </w:r>
          </w:p>
        </w:tc>
        <w:tc>
          <w:tcPr>
            <w:tcW w:w="1737" w:type="dxa"/>
            <w:tcBorders>
              <w:top w:val="nil"/>
              <w:bottom w:val="single" w:sz="12" w:space="0" w:color="auto"/>
            </w:tcBorders>
          </w:tcPr>
          <w:p w:rsidR="00541864" w:rsidRDefault="00541864" w:rsidP="00541864">
            <w:pPr>
              <w:jc w:val="both"/>
            </w:pPr>
            <w:r>
              <w:t>24</w:t>
            </w:r>
          </w:p>
        </w:tc>
      </w:tr>
    </w:tbl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План денежных поступлений и выплат</w:t>
      </w:r>
    </w:p>
    <w:p w:rsidR="00541864" w:rsidRDefault="00541864" w:rsidP="00541864">
      <w:pPr>
        <w:jc w:val="both"/>
      </w:pPr>
      <w:r>
        <w:t>Таблица 6: “План денежных поступлений и выплат”</w: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2"/>
        <w:gridCol w:w="1418"/>
        <w:gridCol w:w="1418"/>
      </w:tblGrid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Выплаты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Год до освоения</w:t>
            </w:r>
          </w:p>
        </w:tc>
        <w:tc>
          <w:tcPr>
            <w:tcW w:w="2836" w:type="dxa"/>
            <w:gridSpan w:val="2"/>
          </w:tcPr>
          <w:p w:rsidR="00541864" w:rsidRDefault="00541864" w:rsidP="00541864">
            <w:pPr>
              <w:jc w:val="both"/>
            </w:pPr>
            <w:r>
              <w:t>Годы эксплуатации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Выручка от курсов,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240000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240000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Зарплата инструкторов,</w:t>
            </w:r>
            <w:r>
              <w:rPr>
                <w:lang w:val="en-US"/>
              </w:rPr>
              <w:t xml:space="preserve"> </w:t>
            </w:r>
            <w:r>
              <w:t>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Арендная плата,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50000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50000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50000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Себестоимость разработки,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10600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Оплата единовременных расходов,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Оплата рекламы,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Налоги и другие обязательные выплаты,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8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Всего платежей,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90600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90000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90000</w:t>
            </w:r>
          </w:p>
        </w:tc>
      </w:tr>
      <w:tr w:rsidR="00541864" w:rsidT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9</w:t>
            </w:r>
          </w:p>
        </w:tc>
        <w:tc>
          <w:tcPr>
            <w:tcW w:w="3686" w:type="dxa"/>
          </w:tcPr>
          <w:p w:rsidR="00541864" w:rsidRDefault="00541864" w:rsidP="00541864">
            <w:pPr>
              <w:jc w:val="both"/>
            </w:pPr>
            <w:r>
              <w:t>Баланс платежей, тыс. Руб.</w:t>
            </w:r>
          </w:p>
        </w:tc>
        <w:tc>
          <w:tcPr>
            <w:tcW w:w="1412" w:type="dxa"/>
          </w:tcPr>
          <w:p w:rsidR="00541864" w:rsidRDefault="00541864" w:rsidP="00541864">
            <w:pPr>
              <w:jc w:val="both"/>
            </w:pPr>
            <w:r>
              <w:t>-90600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150000</w:t>
            </w:r>
          </w:p>
        </w:tc>
        <w:tc>
          <w:tcPr>
            <w:tcW w:w="1418" w:type="dxa"/>
          </w:tcPr>
          <w:p w:rsidR="00541864" w:rsidRDefault="00541864" w:rsidP="00541864">
            <w:pPr>
              <w:jc w:val="both"/>
            </w:pPr>
            <w:r>
              <w:t>150000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Баланс доходов и расходов по продукту</w:t>
      </w: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Таблица 7: “Баланс доходов и расходов по продукту”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271"/>
        <w:gridCol w:w="1277"/>
        <w:gridCol w:w="1277"/>
      </w:tblGrid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№ п/п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Показатели</w:t>
            </w:r>
          </w:p>
        </w:tc>
        <w:tc>
          <w:tcPr>
            <w:tcW w:w="3820" w:type="dxa"/>
            <w:gridSpan w:val="3"/>
          </w:tcPr>
          <w:p w:rsidR="00541864" w:rsidRDefault="00541864" w:rsidP="00541864">
            <w:pPr>
              <w:jc w:val="both"/>
            </w:pPr>
            <w:r>
              <w:t>Годы эксплуатации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3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Объем реализации, чел.</w:t>
            </w: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240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240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240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Цена за единицу, тыс. руб.</w:t>
            </w: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1000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1000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1000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Выручка, тыс. руб.</w:t>
            </w: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240000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240000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240000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4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Накладные расходы, тыс. руб.</w:t>
            </w: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80000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80000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80000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5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Прямые расходы, тыс. руб.</w:t>
            </w: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10000</w:t>
            </w:r>
          </w:p>
        </w:tc>
      </w:tr>
      <w:tr w:rsidR="00541864">
        <w:tc>
          <w:tcPr>
            <w:tcW w:w="817" w:type="dxa"/>
          </w:tcPr>
          <w:p w:rsidR="00541864" w:rsidRDefault="00541864" w:rsidP="00541864">
            <w:pPr>
              <w:jc w:val="both"/>
            </w:pPr>
            <w:r>
              <w:t>6</w:t>
            </w:r>
          </w:p>
        </w:tc>
        <w:tc>
          <w:tcPr>
            <w:tcW w:w="4111" w:type="dxa"/>
          </w:tcPr>
          <w:p w:rsidR="00541864" w:rsidRDefault="00541864" w:rsidP="00541864">
            <w:pPr>
              <w:jc w:val="both"/>
            </w:pPr>
            <w:r>
              <w:t>Точка самоокупаемости</w:t>
            </w:r>
          </w:p>
        </w:tc>
        <w:tc>
          <w:tcPr>
            <w:tcW w:w="1271" w:type="dxa"/>
          </w:tcPr>
          <w:p w:rsidR="00541864" w:rsidRDefault="00541864" w:rsidP="00541864">
            <w:pPr>
              <w:jc w:val="both"/>
            </w:pPr>
            <w:r>
              <w:t>83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83</w:t>
            </w:r>
          </w:p>
        </w:tc>
        <w:tc>
          <w:tcPr>
            <w:tcW w:w="1277" w:type="dxa"/>
          </w:tcPr>
          <w:p w:rsidR="00541864" w:rsidRDefault="00541864" w:rsidP="00541864">
            <w:pPr>
              <w:jc w:val="both"/>
            </w:pPr>
            <w:r>
              <w:t>83</w:t>
            </w:r>
          </w:p>
        </w:tc>
      </w:tr>
    </w:tbl>
    <w:p w:rsidR="00541864" w:rsidRDefault="00541864" w:rsidP="00541864">
      <w:pPr>
        <w:jc w:val="both"/>
      </w:pP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Расчет показателей оценки эффективности</w:t>
      </w:r>
    </w:p>
    <w:p w:rsidR="00541864" w:rsidRDefault="00541864" w:rsidP="00541864">
      <w:pPr>
        <w:jc w:val="both"/>
      </w:pPr>
    </w:p>
    <w:p w:rsidR="00541864" w:rsidRDefault="00907058" w:rsidP="00541864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38.5pt">
            <v:imagedata r:id="rId7" o:title=""/>
          </v:shape>
        </w:pict>
      </w:r>
    </w:p>
    <w:p w:rsidR="00541864" w:rsidRDefault="00541864" w:rsidP="00541864">
      <w:pPr>
        <w:jc w:val="both"/>
      </w:pPr>
    </w:p>
    <w:p w:rsidR="00541864" w:rsidRDefault="00541864" w:rsidP="00541864">
      <w:pPr>
        <w:jc w:val="both"/>
      </w:pPr>
      <w:r>
        <w:t>Точка пересечения кривой выручки и кривой текущих издержек характеризует объем производства, при котором фирма работает без убытков. Дальнейший рост объемов производства будет приносить прибыль.</w:t>
      </w:r>
      <w:r w:rsidRPr="00541864">
        <w:t xml:space="preserve"> </w:t>
      </w:r>
      <w:r>
        <w:t>Если на курсы приходят в течение года 80 человек, то проведение этого курса является безубыточным. Если же количество слушателей больше указанного числа, то проведение курса приносит прибыль.</w:t>
      </w:r>
    </w:p>
    <w:p w:rsidR="00541864" w:rsidRDefault="00541864" w:rsidP="00541864">
      <w:pPr>
        <w:jc w:val="both"/>
      </w:pPr>
    </w:p>
    <w:p w:rsidR="00541864" w:rsidRDefault="00907058" w:rsidP="00541864">
      <w:pPr>
        <w:jc w:val="both"/>
      </w:pPr>
      <w:r>
        <w:pict>
          <v:shape id="_x0000_i1026" type="#_x0000_t75" style="width:412.5pt;height:238.5pt">
            <v:imagedata r:id="rId8" o:title=""/>
          </v:shape>
        </w:pict>
      </w:r>
    </w:p>
    <w:p w:rsidR="00541864" w:rsidRDefault="00541864" w:rsidP="00541864">
      <w:pPr>
        <w:jc w:val="both"/>
      </w:pPr>
      <w:r>
        <w:t>По построенному на основании таблицы 6 графику расчета срока окупаемости можно определить срок окупаемости разработанного курса. Срок окупаемости курса равен 7 месяцам.</w:t>
      </w:r>
    </w:p>
    <w:p w:rsidR="00541864" w:rsidRDefault="00541864" w:rsidP="00541864">
      <w:pPr>
        <w:jc w:val="both"/>
        <w:rPr>
          <w:i/>
          <w:iCs/>
        </w:rPr>
      </w:pPr>
      <w:r>
        <w:rPr>
          <w:i/>
          <w:iCs/>
        </w:rPr>
        <w:t>Правовые аспекты</w:t>
      </w:r>
    </w:p>
    <w:p w:rsidR="00541864" w:rsidRDefault="00541864" w:rsidP="00541864">
      <w:pPr>
        <w:jc w:val="both"/>
        <w:rPr>
          <w:lang w:val="en-US"/>
        </w:rPr>
      </w:pPr>
      <w:r>
        <w:t xml:space="preserve">Курс разработан с использованием только оригинальных материалов фирмы IBM. Было получено разрешение на использование этих материалов при создании учебного курса. В ходе работ были проведены перевод этих материалов на русский язык и их переработка с учетом требований IBM и КУДИЦ-ОБРАЗ. Авторские права принадлежат фирмам </w:t>
      </w:r>
      <w:r>
        <w:rPr>
          <w:lang w:val="en-US"/>
        </w:rPr>
        <w:t>IBM</w:t>
      </w:r>
      <w:r>
        <w:t xml:space="preserve"> и АО КУДИЦ-ОБРАЗ.</w:t>
      </w:r>
    </w:p>
    <w:p w:rsidR="00541864" w:rsidRDefault="00541864" w:rsidP="00541864">
      <w:bookmarkStart w:id="0" w:name="_GoBack"/>
      <w:bookmarkEnd w:id="0"/>
    </w:p>
    <w:sectPr w:rsidR="00541864" w:rsidSect="00541864">
      <w:headerReference w:type="default" r:id="rId9"/>
      <w:footerReference w:type="default" r:id="rId10"/>
      <w:pgSz w:w="11907" w:h="16840" w:code="9"/>
      <w:pgMar w:top="1134" w:right="567" w:bottom="1134" w:left="1701" w:header="680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5A" w:rsidRDefault="0098485A">
      <w:r>
        <w:separator/>
      </w:r>
    </w:p>
  </w:endnote>
  <w:endnote w:type="continuationSeparator" w:id="0">
    <w:p w:rsidR="0098485A" w:rsidRDefault="0098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64" w:rsidRDefault="0046029F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41864" w:rsidRDefault="005418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5A" w:rsidRDefault="0098485A">
      <w:r>
        <w:separator/>
      </w:r>
    </w:p>
  </w:footnote>
  <w:footnote w:type="continuationSeparator" w:id="0">
    <w:p w:rsidR="0098485A" w:rsidRDefault="0098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64" w:rsidRPr="00541864" w:rsidRDefault="00541864" w:rsidP="00541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0EC476C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E9B"/>
    <w:rsid w:val="0046029F"/>
    <w:rsid w:val="00541864"/>
    <w:rsid w:val="00907058"/>
    <w:rsid w:val="0098485A"/>
    <w:rsid w:val="00D9187F"/>
    <w:rsid w:val="00D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3E7C18E-9F12-4EF3-93F8-E25D9B7E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РАЗРАБОТКИ УЧЕБНОГО КУРСА ПО OS/2 WARP CONNECT 4</vt:lpstr>
    </vt:vector>
  </TitlesOfParts>
  <Company>УрСЭИ</Company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РАЗРАБОТКИ УЧЕБНОГО КУРСА ПО OS/2 WARP CONNECT 4</dc:title>
  <dc:subject/>
  <dc:creator>УрСЭИ</dc:creator>
  <cp:keywords/>
  <dc:description/>
  <cp:lastModifiedBy>admin</cp:lastModifiedBy>
  <cp:revision>2</cp:revision>
  <dcterms:created xsi:type="dcterms:W3CDTF">2014-02-23T03:08:00Z</dcterms:created>
  <dcterms:modified xsi:type="dcterms:W3CDTF">2014-02-23T03:08:00Z</dcterms:modified>
</cp:coreProperties>
</file>