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60516">
        <w:rPr>
          <w:sz w:val="28"/>
          <w:szCs w:val="32"/>
        </w:rPr>
        <w:t>Министерство образования Российской Федерации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60516">
        <w:rPr>
          <w:sz w:val="28"/>
          <w:szCs w:val="32"/>
        </w:rPr>
        <w:t>Пензенский Государственный Университет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60516">
        <w:rPr>
          <w:sz w:val="28"/>
          <w:szCs w:val="32"/>
        </w:rPr>
        <w:t>Медицинский Институт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060516">
        <w:rPr>
          <w:sz w:val="28"/>
          <w:szCs w:val="32"/>
        </w:rPr>
        <w:t>Кафедра Хирургии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60516">
        <w:rPr>
          <w:sz w:val="28"/>
          <w:szCs w:val="28"/>
        </w:rPr>
        <w:t>Зав. кафедрой д.м.н., -------------------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60516">
        <w:rPr>
          <w:b/>
          <w:sz w:val="28"/>
          <w:szCs w:val="36"/>
        </w:rPr>
        <w:t>Реферат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60516">
        <w:rPr>
          <w:b/>
          <w:sz w:val="28"/>
          <w:szCs w:val="36"/>
        </w:rPr>
        <w:t>на тему:</w:t>
      </w:r>
    </w:p>
    <w:p w:rsidR="008E10B9" w:rsidRPr="00060516" w:rsidRDefault="008E10B9" w:rsidP="00060516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060516">
        <w:rPr>
          <w:b/>
          <w:sz w:val="28"/>
          <w:szCs w:val="36"/>
        </w:rPr>
        <w:t>«Боль в животе при урологической и эндокринологической патологии»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60516">
        <w:rPr>
          <w:sz w:val="28"/>
          <w:szCs w:val="28"/>
        </w:rPr>
        <w:t xml:space="preserve">Выполнила: студентка </w:t>
      </w:r>
      <w:r w:rsidRPr="00060516">
        <w:rPr>
          <w:sz w:val="28"/>
          <w:szCs w:val="28"/>
          <w:lang w:val="en-US"/>
        </w:rPr>
        <w:t>V</w:t>
      </w:r>
      <w:r w:rsidRPr="00060516">
        <w:rPr>
          <w:sz w:val="28"/>
          <w:szCs w:val="28"/>
        </w:rPr>
        <w:t xml:space="preserve"> курса ----------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60516">
        <w:rPr>
          <w:sz w:val="28"/>
          <w:szCs w:val="28"/>
        </w:rPr>
        <w:t>----------------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60516">
        <w:rPr>
          <w:sz w:val="28"/>
          <w:szCs w:val="28"/>
        </w:rPr>
        <w:t>Проверил: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к.м.н., доцент -------------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60516">
        <w:rPr>
          <w:sz w:val="28"/>
          <w:szCs w:val="32"/>
        </w:rPr>
        <w:t>Пенза</w:t>
      </w:r>
    </w:p>
    <w:p w:rsidR="008E10B9" w:rsidRPr="00060516" w:rsidRDefault="008E10B9" w:rsidP="00060516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60516">
        <w:rPr>
          <w:sz w:val="28"/>
          <w:szCs w:val="32"/>
        </w:rPr>
        <w:t>2008</w:t>
      </w:r>
    </w:p>
    <w:p w:rsidR="00060516" w:rsidRPr="00060516" w:rsidRDefault="00060516" w:rsidP="00060516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8E10B9" w:rsidRPr="00060516">
        <w:rPr>
          <w:b/>
          <w:szCs w:val="32"/>
        </w:rPr>
        <w:t>План</w:t>
      </w:r>
    </w:p>
    <w:p w:rsidR="00060516" w:rsidRDefault="00060516" w:rsidP="0006051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0516">
        <w:rPr>
          <w:sz w:val="28"/>
          <w:szCs w:val="28"/>
          <w:lang w:val="en-US"/>
        </w:rPr>
        <w:t>I</w:t>
      </w:r>
      <w:r w:rsidRPr="00060516">
        <w:rPr>
          <w:sz w:val="28"/>
          <w:szCs w:val="28"/>
        </w:rPr>
        <w:t>. Боль в животе при заболеваниях мочеточников и мочевого пузыря</w:t>
      </w:r>
    </w:p>
    <w:p w:rsidR="008E10B9" w:rsidRPr="00060516" w:rsidRDefault="008E10B9" w:rsidP="00060516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60516">
        <w:rPr>
          <w:sz w:val="28"/>
          <w:szCs w:val="28"/>
        </w:rPr>
        <w:t>Заболевания мочеточников</w:t>
      </w:r>
    </w:p>
    <w:p w:rsidR="008E10B9" w:rsidRPr="00060516" w:rsidRDefault="008E10B9" w:rsidP="00060516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60516">
        <w:rPr>
          <w:sz w:val="28"/>
          <w:szCs w:val="28"/>
        </w:rPr>
        <w:t>Заболевания мочевого пузыря</w:t>
      </w:r>
    </w:p>
    <w:p w:rsidR="008E10B9" w:rsidRPr="00060516" w:rsidRDefault="008E10B9" w:rsidP="00060516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0516">
        <w:rPr>
          <w:sz w:val="28"/>
          <w:szCs w:val="28"/>
          <w:lang w:val="en-US"/>
        </w:rPr>
        <w:t>II</w:t>
      </w:r>
      <w:r w:rsidRPr="00060516">
        <w:rPr>
          <w:sz w:val="28"/>
          <w:szCs w:val="28"/>
        </w:rPr>
        <w:t>. Боль в животе при эндокринных заболеваниях</w:t>
      </w:r>
    </w:p>
    <w:p w:rsidR="008E10B9" w:rsidRPr="00060516" w:rsidRDefault="008E10B9" w:rsidP="00060516">
      <w:pPr>
        <w:keepNext/>
        <w:widowControl w:val="0"/>
        <w:numPr>
          <w:ilvl w:val="0"/>
          <w:numId w:val="2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60516">
        <w:rPr>
          <w:sz w:val="28"/>
          <w:szCs w:val="28"/>
        </w:rPr>
        <w:t>Гиперкальциемический криз</w:t>
      </w:r>
    </w:p>
    <w:p w:rsidR="008E10B9" w:rsidRPr="00060516" w:rsidRDefault="008E10B9" w:rsidP="00060516">
      <w:pPr>
        <w:keepNext/>
        <w:widowControl w:val="0"/>
        <w:shd w:val="clear" w:color="auto" w:fill="FFFFFF"/>
        <w:tabs>
          <w:tab w:val="num" w:pos="1620"/>
        </w:tabs>
        <w:spacing w:line="360" w:lineRule="auto"/>
        <w:rPr>
          <w:sz w:val="28"/>
          <w:szCs w:val="28"/>
        </w:rPr>
      </w:pPr>
      <w:r w:rsidRPr="00060516">
        <w:rPr>
          <w:sz w:val="28"/>
          <w:szCs w:val="28"/>
        </w:rPr>
        <w:t>Литература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E10B9" w:rsidRPr="00060516">
        <w:rPr>
          <w:b/>
          <w:sz w:val="28"/>
          <w:szCs w:val="32"/>
          <w:lang w:val="en-US"/>
        </w:rPr>
        <w:t>I</w:t>
      </w:r>
      <w:r w:rsidR="008E10B9" w:rsidRPr="00060516">
        <w:rPr>
          <w:b/>
          <w:sz w:val="28"/>
          <w:szCs w:val="32"/>
        </w:rPr>
        <w:t>. Боль в животе при заболеваниях мочеточников и мочевого пузыря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60516">
        <w:rPr>
          <w:b/>
          <w:sz w:val="28"/>
          <w:szCs w:val="32"/>
        </w:rPr>
        <w:t>1. ЗАБОЛЕВАНИЯ МОЧЕТОЧНИКОВ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При заболевании мочеточников боль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ходу их, кроме случаев почечной колики,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возникает при камнях мочеточников, туберкулезе, эмпиеме культи мочеточника.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при заболевании мочеточника локализуется по его проекции. Для определения локализации боли соответственно по ходу мочеточника следует производить пальпацию в определенных точках. Верхние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мочеточниковые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точки располагаются на три пальца слева и справа от пупка; средние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мочеточниковые точки находятся на месте перекрестка горизонтали, соединяющей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обе передневерхние ости подвздошных костей с вертикальными линиями, проходящими по границе внутренней и средней трети пупартовой связки; нижние мочеточниковые точки доступны пальпации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вагинальном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ректальном исследовании. В случае изменений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юкставезикального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отдела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мочеточника таким путем можно прощупать болезненный тяж или конкремент.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в животе, обусловленная заболеваниями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мочеточников, иррадиирует в мочевой пузырь и половые органы; в большинстве случаев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им сопутствует дизурия, которая при заболеваниях мочеточников связана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либо с одновременным поражением мочевого пузыря, либо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рефлекторными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воздействиями (камень в нижнем отделе мочеточника). Боль по ходу мочеточника иногда возникает при заболеваниях почек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мочевого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пузыря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(пузырно-мочеточниковый рефлюкс) и, таким образом, может быть не связана с поражением собственно мочеточника.</w:t>
      </w:r>
    </w:p>
    <w:p w:rsidR="00060516" w:rsidRDefault="00060516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E10B9" w:rsidRPr="00060516">
        <w:rPr>
          <w:b/>
          <w:sz w:val="28"/>
          <w:szCs w:val="32"/>
        </w:rPr>
        <w:t>2. ЗАБОЛЕВАНИЯ МОЧЕВОГО ПУЗЫРЯ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В значительном большинстве случаев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в области мочевого пузыря носит отраженный характер и связана 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заболеваниями почек, предстательной железы и уретры, поэтому если причина боли не может быть объяснена непосредственным поражением мочевого пузыря,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ее следует искать в возможном заболевании перечисленных органов. Боль в области мочевого пузыря может быть постоянной, не зависящей от акта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мочеиспускания, или же периодической, возникающей в связи с мочеиспусканием.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В последнем случае, если боль ощущается до начала мочеиспускания, то она обусловлена наполнением мочевого пузыря и растяжением его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стенок.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может появляться во время мочеиспускания или, что бывает наиболее часто, в конце его.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Боль, не зависящая от акта мочеиспускания,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появляется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 езде по плохой дороге, во время физической работы. Боль,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возникающая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 области мочевого пузыря при движении, характерна для камней мочевого пузыря и объясняется их перемещением в полости пузыря. Боль при камнях мочевого пузыря у мужчин, особенно у детей, иррадиирует в головку полового члена. Поэтому если ребенок жалуется на боль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головке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полового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члена при отсутствии местных изменений (баланопостит, фимоз), которые могли бы объяснить эту боль, его необходимо обследовать в стационаре для установления возможного наличия конкремента в мочевом пузыре. При камнях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мочевого пузыря в моче обычно обнаруживают эритроциты и лейкоциты.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острой задержке мочи, которая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может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осложнить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течение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аденомы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предстательной железы или стриктур уретры либо возникает в связи с застреванием конкремента в просвете уретры, боль в области мочевого пузыря носит острый, нестерпимый характер, больной мечется в постели и охотно соглашается на любые манипуляции, вплоть до операции, лишь бы снять боль.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Обычно больной указывает, что не может помочиться, несмотря на настойчивые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позывы. Над лоном определяется растянутый мочевой пузырь. Постоянная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 в области мочевого пузыря может быть вызвана инфильтрирующим ростом злокачественного новообразования. Эта боль резко усиливается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явлениях распада опухоли с вторичным циститом.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 в области мочевого пузыря при мочеиспускании характерна для различных форм цистита. При диффузном воспалении слизистой оболочки мочевого пузыря боль возникает по мере накопления в нем мочи. Она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усиливается в конце мочеиспускания и сразу же после него, а затем стихает до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нового наполнения пузыря и появления нового позыва к мочеиспусканию.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тяжелых формах цистита это происходит через короткие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промежутки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времени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боль принимает почти постоянный характер.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случаях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шеечного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цистита, когда воспалительный процесс ограничивается в основном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областью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выхода из мочевого пузыря, боль возникает в конце мочеиспускания и длится некоторое время после его окончания. Это объясняется судорожными сокращениями сфинктера мочевого пузыря, которые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продолжаются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после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выведения последней порции мочи из мочевого пузыря и травмируют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воспаленную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слизистую оболочку. Для цистита характерна триада симптомов: учащенное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мочеиспускание, болезненность его, наличие гноя в моче.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Боль, связанная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мочеиспусканием,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встречается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цисталгии.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Субъективная симптоматика последней воспроизводит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значительной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мере субъективную симптоматику цистита, но воспалительные изменения слизистой оболочки мочевого пузыря либо полностью отсутствуют, либо ничтожны,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отсутствует и пиурия. Тем не менее, при цисталгии боль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может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быть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весьма интенсивной. Диагноз цисталгии ставят на основании жалоб,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типичных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для цистита, при отсутствии пиурии и характерных для цистита изменений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слизистой оболочки мочевого пузыря, выявляется при цистоскопии.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Часто острая боль в области мочевого пузыря, сопровождающаяся нарушениями мочеиспускания, возникает при патологических процессах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женских половых органах. Это имеет место при аднекситах, пара - 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периметритах, причем нередко обнаруживаются воспалительные изменения слизистой оболочки мочевого пузыря, вызванные распространением инфекции из органов женской половой сферы.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Неотложная помощь. При почечной колике: тепло, ванна,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обезболивающие средства (1 мл 1% раствора промедола, 1 мл 1% раствора папаверина, 1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мл 0,1% раствора атропина подкожно, но-шпа - </w:t>
      </w:r>
      <w:smartTag w:uri="urn:schemas-microsoft-com:office:smarttags" w:element="metricconverter">
        <w:smartTagPr>
          <w:attr w:name="ProductID" w:val="0,04 г"/>
        </w:smartTagPr>
        <w:r w:rsidRPr="00060516">
          <w:rPr>
            <w:sz w:val="28"/>
            <w:szCs w:val="28"/>
          </w:rPr>
          <w:t>0,04 г</w:t>
        </w:r>
      </w:smartTag>
      <w:r w:rsidRPr="00060516">
        <w:rPr>
          <w:sz w:val="28"/>
          <w:szCs w:val="28"/>
        </w:rPr>
        <w:t xml:space="preserve"> 4 раза в день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внутрь), антиоиотики (пенициллин по 300000 ЕД 6 раз в день внутримышечно,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стрептомицин по 250000 ЕД 2 раза в день внутримышечно, фурадонин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3-4 раза в день, этазол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внутрь).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Блокада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семенного канатика или круглой связки по Лорину-Эпштейну (см. Врачебная техника).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 xml:space="preserve">При циститах и камнях мочевого пузыря назначают антибактериальную терапию: фурадонин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 раза в день, 5-НОК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4 раза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день, левомицетин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день, этазол по </w:t>
      </w:r>
      <w:smartTag w:uri="urn:schemas-microsoft-com:office:smarttags" w:element="metricconverter">
        <w:smartTagPr>
          <w:attr w:name="ProductID" w:val="0,5 г"/>
        </w:smartTagPr>
        <w:r w:rsidRPr="00060516">
          <w:rPr>
            <w:sz w:val="28"/>
            <w:szCs w:val="28"/>
          </w:rPr>
          <w:t>0,5 г</w:t>
        </w:r>
      </w:smartTag>
      <w:r w:rsidRPr="00060516">
        <w:rPr>
          <w:sz w:val="28"/>
          <w:szCs w:val="28"/>
        </w:rPr>
        <w:t xml:space="preserve"> 4 раза в день, метиленовый синий по </w:t>
      </w:r>
      <w:smartTag w:uri="urn:schemas-microsoft-com:office:smarttags" w:element="metricconverter">
        <w:smartTagPr>
          <w:attr w:name="ProductID" w:val="0,1 г"/>
        </w:smartTagPr>
        <w:r w:rsidRPr="00060516">
          <w:rPr>
            <w:sz w:val="28"/>
            <w:szCs w:val="28"/>
          </w:rPr>
          <w:t>0,1 г</w:t>
        </w:r>
      </w:smartTag>
      <w:r w:rsidRPr="00060516">
        <w:rPr>
          <w:sz w:val="28"/>
          <w:szCs w:val="28"/>
        </w:rPr>
        <w:t xml:space="preserve"> 3 раза в день внутрь; спазмолитические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средства: 2 мл 2% раствора папаверина, 1 мл 0,1ёо раствора атропина подкожно; тепло на низ живота.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Госпитализация. Обязательной госпитализации подлежат больные с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некупирующейся почечной коликой, острой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задержкой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мочи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геморрагическим циститом. В остальных случаях больные должны быть направлены к урологу.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8E10B9" w:rsidRPr="00060516">
        <w:rPr>
          <w:b/>
          <w:sz w:val="28"/>
          <w:szCs w:val="32"/>
          <w:lang w:val="en-US"/>
        </w:rPr>
        <w:t>II</w:t>
      </w:r>
      <w:r w:rsidR="008E10B9" w:rsidRPr="00060516">
        <w:rPr>
          <w:b/>
          <w:sz w:val="28"/>
          <w:szCs w:val="32"/>
        </w:rPr>
        <w:t>. Боль в животе при эндокринных заболеваниях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60516">
        <w:rPr>
          <w:b/>
          <w:sz w:val="28"/>
          <w:szCs w:val="32"/>
        </w:rPr>
        <w:t>1. ГИПЕРКАЛЬЦИЕМИЧЕСКИЙ КРИЗ</w:t>
      </w:r>
    </w:p>
    <w:p w:rsidR="00060516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Обусловлен резким повышением уровня кальция в крови (нормальный уровень 2,1-2,6 ммоль/л). Гиперкальциемия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возникает при гиперпаратиреозе, миеломной болезни и при метастазах злокачественных опухолей в кости (саркома, лимфома, рак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молочной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железы).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Непостоянно гиперкальциемия встречается при тиреотоксикозе,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передозировке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витамина D, приеме препаратов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лития,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тиазидовых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диуретиков,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саркоидозе,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длительной иммобилизации, острой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Редко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гиперкальциемия возникает 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птотиреозе, гипофосфатемии, щелочномолочном синдроме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(синдром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Бернетта),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семейной гипокальциурической гиперкальциемии. Ведущие признаки гиперкальциемического криза определяются нарушением функции тех органов,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которых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процессы кальциноза выражены в наибольшей степени, например острая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сердечная недостаточность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острая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почечная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развиваются вследствие массивного насыщения кальцием миокарда 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почек.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Для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гиперкальциемии характерны следующие симптомы: общая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слабость,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полидиписия, уменьшение массы тела, снижение аппетита, тошнота, рвота, запоры,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признаки нарушения функции центральной нервной системы (снижение способности концентрировать внимание, снижение памяти, сонливость, апатия,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головная боль), костно-мышечной системы (оссалгия, миалгия,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артралгия)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почек (гематурия, полиурия).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Для гиперкальциемического криза характерно быстрое развитие болей в эпигастральной области (ведущий признак), рвота,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жажда,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олигурия, высокая температура. Развиваются психоневрологические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нарушения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 виде спутанности сознания, которая может переходить в ступор или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психомоторное возбуждение. Дальнейшее повышение уровня кальция - опасное состояние, при котором наступает глубокое подавление функции ЦНС, угнетение дыхательного и сосудодвигательного центров.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Диагноз гиперкальциемического криза базируется на данных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клинической картины, а также экстренного определения в условиях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стационара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уровней кальция и фосфора в сыворотке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Неотложная помощь. Необходимо начать внутривенное введение 0,9% раствора натрия хлорида со скоростью 10-15 мл в 1 мин; увеличению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экскреции кальция с мочой способствует форсированный диурез - одновременное применение петлевых диуретиков (100 мг фуросемида или 50 мг этакриновой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кислоты). Тиазидовые диуретики противопоказаны, так как они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уменьшают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почечный клиренс кальция. Объем внутривенной инфузии изотонического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 xml:space="preserve">раствора натрия хлорида может при этом достигать </w:t>
      </w:r>
      <w:smartTag w:uri="urn:schemas-microsoft-com:office:smarttags" w:element="metricconverter">
        <w:smartTagPr>
          <w:attr w:name="ProductID" w:val="3 л"/>
        </w:smartTagPr>
        <w:r w:rsidRPr="00060516">
          <w:rPr>
            <w:sz w:val="28"/>
            <w:szCs w:val="28"/>
          </w:rPr>
          <w:t>3 л</w:t>
        </w:r>
      </w:smartTag>
      <w:r w:rsidRPr="00060516">
        <w:rPr>
          <w:sz w:val="28"/>
          <w:szCs w:val="28"/>
        </w:rPr>
        <w:t xml:space="preserve"> в первые 2-3 ч, а в течение суток - 8-</w:t>
      </w:r>
      <w:smartTag w:uri="urn:schemas-microsoft-com:office:smarttags" w:element="metricconverter">
        <w:smartTagPr>
          <w:attr w:name="ProductID" w:val="9 л"/>
        </w:smartTagPr>
        <w:r w:rsidRPr="00060516">
          <w:rPr>
            <w:sz w:val="28"/>
            <w:szCs w:val="28"/>
          </w:rPr>
          <w:t>9 л</w:t>
        </w:r>
      </w:smartTag>
      <w:r w:rsidRPr="00060516">
        <w:rPr>
          <w:sz w:val="28"/>
          <w:szCs w:val="28"/>
        </w:rPr>
        <w:t xml:space="preserve"> при сохранной функции почек. Рекомендуется повторный прием диуретиков в указанных выше дозах. Такой режим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позволяет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вывести из организма 500-1000 мг кальция в течение суток, что приводит 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снижению уровня кальция в сыворотке крови за этот период на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0,5-1,5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ммоль/л (26 мг%). Необходим постоянный контроль за уровнем не только кальция, но и магния, натрия и калия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сыворотке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крови.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После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уровень кальция окажется ниже 3,24 ммоль/л (13 мг%), больному рекомендуется прием таблеток фуросемида (40-160 мг/сут) или этакриновой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кислоты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(50-200 мг/сут), таблетки поваренной соли (400-600 мэкв/сут) и прием не менее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3 л жидкости в сутки. При снижении уровней калия и магния в сыворотке крови ниже нормальных значений требуется их коррекция. Внутривенная инфузия фосфатов (250-750 мг каждые 6 ч, суточная доза 3-</w:t>
      </w:r>
      <w:smartTag w:uri="urn:schemas-microsoft-com:office:smarttags" w:element="metricconverter">
        <w:smartTagPr>
          <w:attr w:name="ProductID" w:val="4 л"/>
        </w:smartTagPr>
        <w:r w:rsidRPr="00060516">
          <w:rPr>
            <w:sz w:val="28"/>
            <w:szCs w:val="28"/>
          </w:rPr>
          <w:t>4 г</w:t>
        </w:r>
      </w:smartTag>
      <w:r w:rsidRPr="00060516">
        <w:rPr>
          <w:sz w:val="28"/>
          <w:szCs w:val="28"/>
        </w:rPr>
        <w:t>)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эффективности уступает методу форсированного диуреза, однако довольно широко используется для борьбы с гиперкальциемией.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Необходимо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помнить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возможности развития гипотонии и острой почечной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поэтому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инфузию фосфатов необходимо проводить под контролем содержания фосфора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сыворотке крови. В тяжелых случаях рекомендуется проведение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перитонеального диализа и гемодиализа. В дальнейшем может проводиться лечение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индометацином, ацетилсалициловой кислотой, глюкокортикостероидами.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 в эндокринологическое или терапевтическое отделение при резком снижении или полном выключении функции коры надпочечников.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Выделяют первичную и вторичную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надпочечниковую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недостаточность.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Первичная недостаточность развивается при следующих заболеваниях: аутоиммунном поражении коры надпочечников, инфекции (туберкулез, гистоплазмоз),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кровоизлиянии в надпочечники, новообразовании надпочечников, гемохроматозе, И также после адреналэктомии. Существует редкая форма острой 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-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синдром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Уотерхауса-Фридериксена,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являющийся следствием интранатального кровоизлияния в надпочечники плода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время тяжелых и осложненных родов. Кровоизлияния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наблюдаются при менингококковой и другой тяжелой инфекции,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детей,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у взрослых, а также при тромбозе сосудов надпочечников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как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осложнение лечения антикоагулянтами. Поражения гипоталамуса и гипофиза, вызывая нарушение секреции АКТГ, являются причиной вторичной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недостаточности, для которой характерно уменьшение секреции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андрогенов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кортизола при нормальной секреции альдостерона. Вторичная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надпочечниковая недостаточность развивается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при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следующих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заболеваниях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гипоталамо-гипофизарной системы: опухоли, гранулематозном процессе, а также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является следствием гипофизэктомии и инфекции. Лечение глюкокортикостероидами приводит к угнетению гипоталамо-гипофизарно-надпочечниковой системы и может привести к развитию вторичной надпочечниковой недостаточности.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Резкая боль в животе, сопровождающаяся тошнотой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рвотой, частый жидкий стул, резкая мышечная слабость,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похолодание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конечностей, падение АД, нарушения психики, появление галлюцинаций, делириозного состояния. Рвота и частый жидкий стул вызывают потерю жидкости и электролитов. Снижается содержание натрия и хлоридов в сыворотке крови. Вместе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 тем концентрация калия в крови повышается. Повышаются уровни остаточного азота и мочевины в крови, снижается содержание сахара в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Неотложная помощь. Инфузия гидрокортизона в дозе 100 мг каждые 6-8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 вместе с 0,9% раствором натрия хлорида и 5% раствором глюкозы (для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коррекции гипогликемии) в таком количестве, чтобы в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течение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первых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суток было введено 3-</w:t>
      </w:r>
      <w:smartTag w:uri="urn:schemas-microsoft-com:office:smarttags" w:element="metricconverter">
        <w:smartTagPr>
          <w:attr w:name="ProductID" w:val="4 л"/>
        </w:smartTagPr>
        <w:r w:rsidRPr="00060516">
          <w:rPr>
            <w:sz w:val="28"/>
            <w:szCs w:val="28"/>
          </w:rPr>
          <w:t>4 л</w:t>
        </w:r>
      </w:smartTag>
      <w:r w:rsidRPr="00060516">
        <w:rPr>
          <w:sz w:val="28"/>
          <w:szCs w:val="28"/>
        </w:rPr>
        <w:t xml:space="preserve"> жидкости. На вторые сутки жидкости вводятся внутрь. В последующем после стабилизации состояния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больного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дозу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гидрокортизона снижают на 1/3 от исходной дозы каждый день до достижения поддерживающих доз (индивидуально для каждого больного) к 5-6-му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дню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и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переходят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на прием кортикостероидов. Лечение проводится под контролем уровней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электролитов в крови.</w:t>
      </w:r>
    </w:p>
    <w:p w:rsidR="008E10B9" w:rsidRPr="00060516" w:rsidRDefault="008E10B9" w:rsidP="0006051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516">
        <w:rPr>
          <w:sz w:val="28"/>
          <w:szCs w:val="28"/>
        </w:rPr>
        <w:t>Госпитализация срочная в эндокринологическое или терапевтическое</w:t>
      </w:r>
      <w:r w:rsidR="00060516">
        <w:rPr>
          <w:sz w:val="28"/>
          <w:szCs w:val="28"/>
        </w:rPr>
        <w:t xml:space="preserve"> </w:t>
      </w:r>
      <w:r w:rsidRPr="00060516">
        <w:rPr>
          <w:sz w:val="28"/>
          <w:szCs w:val="28"/>
        </w:rPr>
        <w:t>отделение.</w:t>
      </w:r>
    </w:p>
    <w:p w:rsidR="008E10B9" w:rsidRPr="00060516" w:rsidRDefault="00060516" w:rsidP="0006051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E10B9" w:rsidRPr="00060516">
        <w:rPr>
          <w:b/>
          <w:sz w:val="28"/>
          <w:szCs w:val="32"/>
        </w:rPr>
        <w:t>ЛИТЕРАТУРА</w:t>
      </w:r>
    </w:p>
    <w:p w:rsidR="00060516" w:rsidRPr="00060516" w:rsidRDefault="00060516" w:rsidP="00060516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8E10B9" w:rsidRPr="00060516" w:rsidRDefault="008E10B9" w:rsidP="00060516">
      <w:pPr>
        <w:keepNext/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60516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060516">
        <w:rPr>
          <w:iCs/>
          <w:sz w:val="28"/>
          <w:szCs w:val="28"/>
        </w:rPr>
        <w:t>Перевод с английского д-ра мед. наук В.И.Кандрора,</w:t>
      </w:r>
      <w:r w:rsidRPr="00060516">
        <w:rPr>
          <w:sz w:val="28"/>
        </w:rPr>
        <w:t xml:space="preserve"> </w:t>
      </w:r>
      <w:r w:rsidRPr="00060516">
        <w:rPr>
          <w:iCs/>
          <w:sz w:val="28"/>
          <w:szCs w:val="28"/>
        </w:rPr>
        <w:t>д. м. н. М.В.Неверовой, д-ра мед. наук А.В.Сучкова,</w:t>
      </w:r>
      <w:r w:rsidRPr="00060516">
        <w:rPr>
          <w:sz w:val="28"/>
        </w:rPr>
        <w:t xml:space="preserve"> </w:t>
      </w:r>
      <w:r w:rsidRPr="00060516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E10B9" w:rsidRPr="00060516" w:rsidRDefault="008E10B9" w:rsidP="00060516">
      <w:pPr>
        <w:keepNext/>
        <w:widowControl w:val="0"/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060516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8E10B9" w:rsidRPr="00060516" w:rsidSect="00060516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EC" w:rsidRDefault="00407EEC">
      <w:r>
        <w:separator/>
      </w:r>
    </w:p>
  </w:endnote>
  <w:endnote w:type="continuationSeparator" w:id="0">
    <w:p w:rsidR="00407EEC" w:rsidRDefault="0040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B9" w:rsidRDefault="008E10B9" w:rsidP="00493EB6">
    <w:pPr>
      <w:pStyle w:val="a4"/>
      <w:framePr w:wrap="around" w:vAnchor="text" w:hAnchor="margin" w:xAlign="right" w:y="1"/>
      <w:rPr>
        <w:rStyle w:val="a6"/>
      </w:rPr>
    </w:pPr>
  </w:p>
  <w:p w:rsidR="008E10B9" w:rsidRDefault="008E10B9" w:rsidP="008E10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EC" w:rsidRDefault="00407EEC">
      <w:r>
        <w:separator/>
      </w:r>
    </w:p>
  </w:footnote>
  <w:footnote w:type="continuationSeparator" w:id="0">
    <w:p w:rsidR="00407EEC" w:rsidRDefault="0040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0B9"/>
    <w:rsid w:val="000044FA"/>
    <w:rsid w:val="00060516"/>
    <w:rsid w:val="00392708"/>
    <w:rsid w:val="00407EEC"/>
    <w:rsid w:val="00454E7B"/>
    <w:rsid w:val="00493EB6"/>
    <w:rsid w:val="008E10B9"/>
    <w:rsid w:val="00C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FC1AEB-ED19-4545-A485-F83566A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10B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E10B9"/>
  </w:style>
  <w:style w:type="paragraph" w:styleId="a4">
    <w:name w:val="footer"/>
    <w:basedOn w:val="a"/>
    <w:link w:val="a5"/>
    <w:uiPriority w:val="99"/>
    <w:rsid w:val="008E10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E10B9"/>
    <w:rPr>
      <w:rFonts w:cs="Times New Roman"/>
    </w:rPr>
  </w:style>
  <w:style w:type="paragraph" w:styleId="a7">
    <w:name w:val="header"/>
    <w:basedOn w:val="a"/>
    <w:link w:val="a8"/>
    <w:uiPriority w:val="99"/>
    <w:rsid w:val="00060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605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2014-02-23T06:31:00Z</dcterms:created>
  <dcterms:modified xsi:type="dcterms:W3CDTF">2014-02-23T06:31:00Z</dcterms:modified>
</cp:coreProperties>
</file>