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19B" w:rsidRDefault="008C59CF">
      <w:pPr>
        <w:pStyle w:val="a3"/>
        <w:rPr>
          <w:b/>
          <w:bCs/>
        </w:rPr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История</w:t>
      </w:r>
      <w:r>
        <w:br/>
      </w:r>
      <w:r>
        <w:rPr>
          <w:b/>
          <w:bCs/>
        </w:rPr>
        <w:t>2 Ход событий</w:t>
      </w:r>
      <w:r>
        <w:br/>
      </w:r>
      <w:r>
        <w:rPr>
          <w:b/>
          <w:bCs/>
        </w:rPr>
        <w:t>3 Последствия</w:t>
      </w:r>
      <w:r>
        <w:br/>
      </w:r>
      <w:r>
        <w:rPr>
          <w:b/>
          <w:bCs/>
        </w:rPr>
        <w:t>4 Значение</w:t>
      </w:r>
      <w:r>
        <w:br/>
      </w:r>
      <w:r>
        <w:br/>
      </w:r>
      <w:r>
        <w:rPr>
          <w:b/>
          <w:bCs/>
        </w:rPr>
        <w:t>Список литературы</w:t>
      </w:r>
    </w:p>
    <w:p w:rsidR="0059219B" w:rsidRDefault="008C59CF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59219B" w:rsidRDefault="008C59CF">
      <w:pPr>
        <w:pStyle w:val="a3"/>
      </w:pPr>
      <w:r>
        <w:t>Брабантская революция 1789—1790 годов — буржуазная революция, начавшаяся в Брабанте. Явилась попыткой освобождения от австрийской власти бельгийских провинций, входивших с 1714 года в состав Габсбургской монархии.</w:t>
      </w:r>
    </w:p>
    <w:p w:rsidR="0059219B" w:rsidRDefault="008C59CF">
      <w:pPr>
        <w:pStyle w:val="21"/>
        <w:pageBreakBefore/>
        <w:numPr>
          <w:ilvl w:val="0"/>
          <w:numId w:val="0"/>
        </w:numPr>
      </w:pPr>
      <w:r>
        <w:t>1. История</w:t>
      </w:r>
    </w:p>
    <w:p w:rsidR="0059219B" w:rsidRDefault="008C59CF">
      <w:pPr>
        <w:pStyle w:val="a3"/>
      </w:pPr>
      <w:r>
        <w:t xml:space="preserve">С восшествием на престол в 1765 году, император Священной Римской империи Иосиф II поставил задачу централизации администрации владений в Нидерландах. Согласно эдиктам от 1 января 1787 года независимые провинции заменялись на 9 </w:t>
      </w:r>
      <w:r>
        <w:rPr>
          <w:i/>
          <w:iCs/>
        </w:rPr>
        <w:t>kreitsen</w:t>
      </w:r>
      <w:r>
        <w:t xml:space="preserve"> и 35 </w:t>
      </w:r>
      <w:r>
        <w:rPr>
          <w:i/>
          <w:iCs/>
        </w:rPr>
        <w:t>districten</w:t>
      </w:r>
      <w:r>
        <w:t xml:space="preserve">, а сложная судебная система униформизировалась. Южные Нидерланды увидели в этих эдиктах покушение на вековые привилегии и формальную независимость регионов в Нидерландах. Генеральные штаты (парламент) герцогства Брабанта счёл предложенные Иосифом II налоги противоречащими хартии </w:t>
      </w:r>
      <w:r>
        <w:rPr>
          <w:i/>
          <w:iCs/>
        </w:rPr>
        <w:t>Joyeuse entrée</w:t>
      </w:r>
      <w:r>
        <w:t xml:space="preserve">, своего рода конституции </w:t>
      </w:r>
      <w:r>
        <w:rPr>
          <w:position w:val="10"/>
        </w:rPr>
        <w:t>[1]</w:t>
      </w:r>
      <w:r>
        <w:t xml:space="preserve"> Брабанта, на верность которой начиная с 1356 года присягали герцоги брабантские и лимбургские. В силу этого 19 апреля 1787 года Брабант и Эно отказались утвердить налоги </w:t>
      </w:r>
      <w:r>
        <w:rPr>
          <w:position w:val="10"/>
        </w:rPr>
        <w:t>[2]</w:t>
      </w:r>
      <w:r>
        <w:t xml:space="preserve">. Наместники Нидерландов сестра Иосифа II Мария Кристина и её супруг Альберт Казимир, герцог Саксен-Тешенский в мае 1787 года попытались отменить действие эдиктов, однако император продолжил настаивать на реформе и 7 января 1789 года запретил созыв парламентов Брабант и Эно </w:t>
      </w:r>
      <w:r>
        <w:rPr>
          <w:position w:val="10"/>
        </w:rPr>
        <w:t>[2]</w:t>
      </w:r>
      <w:r>
        <w:t xml:space="preserve">. Продолжающийся конфликт между императором и Нидерландскими провинциями привёл к отмене императором </w:t>
      </w:r>
      <w:r>
        <w:rPr>
          <w:i/>
          <w:iCs/>
        </w:rPr>
        <w:t>Joyeuse entrée</w:t>
      </w:r>
      <w:r>
        <w:t xml:space="preserve"> 18 июня 1789 года.</w:t>
      </w:r>
    </w:p>
    <w:p w:rsidR="0059219B" w:rsidRDefault="008C59CF">
      <w:pPr>
        <w:pStyle w:val="a3"/>
      </w:pPr>
      <w:r>
        <w:t>Еще в начале 1787 года при широком участии городской бедноты и крестьянства в провинциях образовался антиавстрийский национальный фронт, во главе которого встали представители буржуазных партий — консервативной, защищавшей интересы католической церкви, крупных землевладельцев и цеховых корпораций (ноотисты, лидер — Анри ван дер Ноот), и либеральной, объединявшей часть средней и мелкой городской буржуазии (вонкисты, лидер — Ян Франс Вонк). В отличие от более консервативных статистов вонкисты в начале поддерживали реформы Иосифа II, однако то, как эти реформы проводились перевели и вонкистов в ряды оппозиции.</w:t>
      </w:r>
    </w:p>
    <w:p w:rsidR="0059219B" w:rsidRDefault="008C59CF">
      <w:pPr>
        <w:pStyle w:val="a3"/>
      </w:pPr>
      <w:r>
        <w:t xml:space="preserve">Под влиянием Великой французской революции антиавстрийское движение усилилось; в мае 1789 года вонкистами было создано тайное общество </w:t>
      </w:r>
      <w:r>
        <w:rPr>
          <w:i/>
          <w:iCs/>
        </w:rPr>
        <w:t>Pro aris et focis</w:t>
      </w:r>
      <w:r>
        <w:t>; в сентябре 1789 года в городе Бреда был создан революционный комитет из представителей ноотистов и вонкистов.</w:t>
      </w:r>
    </w:p>
    <w:p w:rsidR="0059219B" w:rsidRDefault="008C59CF">
      <w:pPr>
        <w:pStyle w:val="21"/>
        <w:pageBreakBefore/>
        <w:numPr>
          <w:ilvl w:val="0"/>
          <w:numId w:val="0"/>
        </w:numPr>
      </w:pPr>
      <w:r>
        <w:t>2. Ход событий</w:t>
      </w:r>
    </w:p>
    <w:p w:rsidR="0059219B" w:rsidRDefault="008C59CF">
      <w:pPr>
        <w:pStyle w:val="a3"/>
      </w:pPr>
      <w:r>
        <w:t xml:space="preserve">Отмена </w:t>
      </w:r>
      <w:r>
        <w:rPr>
          <w:i/>
          <w:iCs/>
        </w:rPr>
        <w:t>Joyeuse entrée</w:t>
      </w:r>
      <w:r>
        <w:t xml:space="preserve"> послужила поводом для открытого неповиновения в Брабанте. Ван дер Нот бежал в Бреду, в часть исторического Брабанта находившегося под контролем республики Соединённых провинций, где ему удалось сплотить группу единомышленников и собрать небольшую армию. В октябре 1789 года ведомая генералом Яном Андрисом Вандер Мерсом армия перешла границу Южных Нидерландов и 24 октября 1789 года к ним перешёл первый город — Хогстратен. В тот же день Ван дер Нот опубликовал «Манифест брабантцев» (фр. </w:t>
      </w:r>
      <w:r>
        <w:rPr>
          <w:i/>
          <w:iCs/>
        </w:rPr>
        <w:t>Manifeste des Brabançons</w:t>
      </w:r>
      <w:r>
        <w:t xml:space="preserve"> </w:t>
      </w:r>
      <w:r>
        <w:rPr>
          <w:position w:val="10"/>
        </w:rPr>
        <w:t>[3]</w:t>
      </w:r>
      <w:r>
        <w:t>), в котором призывал к оружию во имя свободы и родины.</w:t>
      </w:r>
    </w:p>
    <w:p w:rsidR="0059219B" w:rsidRDefault="008C59CF">
      <w:pPr>
        <w:pStyle w:val="a3"/>
      </w:pPr>
      <w:r>
        <w:t>Через три дня, 27 октября состоялась битва при Тюрнхауте. Генерал Вандер Мерс осознавал, что битва на открытом пространстве была бы заведомо проигрышной для повстанцев. С помощью жителей города его армии удалось проникнуть в город и навязать австрийским войскам уличные бои. Подобная тактика оказалась успешной и город был покорён. Успех при Тюрнхауте придал повстанцам уверенности в себе: 13 ноября им покоряется Гент, несколькими днями позднее Тинен и Дист. 17 ноября наместники Нидерландов вместе с австрийской администрацией покидают Брюссель, солдаты массово дезертируют из имперских войск. 10 декабря начинается восстание в Брюсселе: остатки имперской армии отходят в крепости Люксембурга и Антверпена (Антверпренский гарнизон перешёл на строну восставших 29 марта 1790 года).</w:t>
      </w:r>
    </w:p>
    <w:p w:rsidR="0059219B" w:rsidRDefault="008C59CF">
      <w:pPr>
        <w:pStyle w:val="a3"/>
      </w:pPr>
      <w:r>
        <w:t xml:space="preserve">18 декабря Ван дер Нот торжественно вошёл в украшенный трёхцветными флагами Брюссель. Все провинции за исключением Люксембурга объявили о своей независимости и сформировали 11 января 1790 года конфедерацию, известную как Бельгийские соединённые штаты </w:t>
      </w:r>
      <w:r>
        <w:rPr>
          <w:position w:val="10"/>
        </w:rPr>
        <w:t>[4]</w:t>
      </w:r>
      <w:r>
        <w:t>. Каждая провинция сохраняла свой суверенитет, однако делегировала защиту общих интересов конгрессу. Льежское епископство, участвовавшее в восстании, не вошло в конфедерацию.</w:t>
      </w:r>
    </w:p>
    <w:p w:rsidR="0059219B" w:rsidRDefault="008C59CF">
      <w:pPr>
        <w:pStyle w:val="21"/>
        <w:pageBreakBefore/>
        <w:numPr>
          <w:ilvl w:val="0"/>
          <w:numId w:val="0"/>
        </w:numPr>
      </w:pPr>
      <w:r>
        <w:t>3. Последствия</w:t>
      </w:r>
    </w:p>
    <w:p w:rsidR="0059219B" w:rsidRDefault="008C59CF">
      <w:pPr>
        <w:pStyle w:val="a3"/>
      </w:pPr>
      <w:r>
        <w:t>Достаточно быстро выяснились серьёзные различия между ноотистами и вонкистами. Правительство ноотистов опиралось на крупные брабантские города: Брюссель, Антверпен, Лёвен, в то время как вонкисты были более популярны в Эно и Фландрии. Вонкисты стремились создать унитарное централизованное государство на пример конституционной монархии во Франции, возможно даже в рамках империи. Ван дер Нот искал сближения и в будущем объединения с Соединёнными провинциями, а также расширения революции на юге. Кроме этого ван дер Ноот искал сближения с Пруссией, имевшей с ноября 1789 года войска в Льежском епископстве. Поддержка его усилий, однако, была весьма ограниченной. Более того, отмена налогов под давлением населения привела к финансовым сложностям и невозможности собрать армию.</w:t>
      </w:r>
    </w:p>
    <w:p w:rsidR="0059219B" w:rsidRDefault="008C59CF">
      <w:pPr>
        <w:pStyle w:val="a3"/>
      </w:pPr>
      <w:r>
        <w:t xml:space="preserve">После смерти Иосифа II 20 февраля 1790 года, императором стал его брат, более дипломатичный Леопольд II. По результатам Рейхенбахского соглашения между Пруссией и Австрией (27 июля 1790 года) Пруссия гарантировала Австрии контроль над Нидерландами. 24 ноября имперские войска вошли в графство Намюр, двумя днями позднее власть императора признала Фландрия. В остальном реставрация имперской власти прошла практически бескровно. Ван дер Ноот бежал в республику Соединённых провинций и больше не занимался политикой </w:t>
      </w:r>
      <w:r>
        <w:rPr>
          <w:position w:val="10"/>
        </w:rPr>
        <w:t>[5]</w:t>
      </w:r>
      <w:r>
        <w:t>.</w:t>
      </w:r>
    </w:p>
    <w:p w:rsidR="0059219B" w:rsidRDefault="008C59CF">
      <w:pPr>
        <w:pStyle w:val="21"/>
        <w:pageBreakBefore/>
        <w:numPr>
          <w:ilvl w:val="0"/>
          <w:numId w:val="0"/>
        </w:numPr>
      </w:pPr>
      <w:r>
        <w:t>4. Значение</w:t>
      </w:r>
    </w:p>
    <w:p w:rsidR="0059219B" w:rsidRDefault="008C59CF">
      <w:pPr>
        <w:pStyle w:val="a3"/>
      </w:pPr>
      <w:r>
        <w:t>Хотя Бельгийские соединённые штаты просуществовали немногим менее года, описанные события оказали значительное влияние на дальнейшую историю региона. С одной стороны, планы ван дер Ноота по объединению южных и северных провинций привели к созданию Объединённого королевства Нидерландов; с другой, они явились предвестником Бельгийской революции 1830 года.</w:t>
      </w:r>
    </w:p>
    <w:p w:rsidR="0059219B" w:rsidRDefault="0059219B">
      <w:pPr>
        <w:pStyle w:val="a3"/>
      </w:pPr>
    </w:p>
    <w:p w:rsidR="0059219B" w:rsidRDefault="008C59CF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59219B" w:rsidRDefault="008C59CF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Natalis Briavonne, «De l’Industrie en Belgique», том 1, 1839 год, стр. 100</w:t>
      </w:r>
    </w:p>
    <w:p w:rsidR="0059219B" w:rsidRDefault="008C59CF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R.C. Bakhuizen van den Brink, L.Ph.C. van den Bergh, J.K.J. de Jonge «Het Nederlandsche Rijks-archief: Verzamelung van onuitgegeven oorkonden en bescheiden door de geschiedenis des vaderlands», 1857, стр. 338</w:t>
      </w:r>
    </w:p>
    <w:p w:rsidR="0059219B" w:rsidRDefault="008C59CF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Manifeste des Brabançons</w:t>
      </w:r>
    </w:p>
    <w:p w:rsidR="0059219B" w:rsidRDefault="008C59CF">
      <w:pPr>
        <w:pStyle w:val="a3"/>
        <w:numPr>
          <w:ilvl w:val="0"/>
          <w:numId w:val="1"/>
        </w:numPr>
        <w:tabs>
          <w:tab w:val="left" w:pos="707"/>
        </w:tabs>
        <w:spacing w:after="0"/>
        <w:rPr>
          <w:i/>
          <w:iCs/>
        </w:rPr>
      </w:pPr>
      <w:r>
        <w:t xml:space="preserve">Traité d’union des Provinces belgiques, , du 11 janvier 1790: </w:t>
      </w:r>
      <w:r>
        <w:rPr>
          <w:i/>
          <w:iCs/>
        </w:rPr>
        <w:t>Art. I. Toutes ces provinces s’unissent et se confédèrent sous la dénomination d’Etats-Belgiques-Unis</w:t>
      </w:r>
    </w:p>
    <w:p w:rsidR="0059219B" w:rsidRDefault="008C59CF">
      <w:pPr>
        <w:pStyle w:val="a3"/>
        <w:numPr>
          <w:ilvl w:val="0"/>
          <w:numId w:val="1"/>
        </w:numPr>
        <w:tabs>
          <w:tab w:val="left" w:pos="707"/>
        </w:tabs>
      </w:pPr>
      <w:r>
        <w:t>Советская историческая энциклопедия</w:t>
      </w:r>
    </w:p>
    <w:p w:rsidR="0059219B" w:rsidRDefault="008C59CF">
      <w:pPr>
        <w:pStyle w:val="a3"/>
        <w:spacing w:after="0"/>
      </w:pPr>
      <w:r>
        <w:t>Источник: http://ru.wikipedia.org/wiki/Брабантская_революция</w:t>
      </w:r>
      <w:bookmarkStart w:id="0" w:name="_GoBack"/>
      <w:bookmarkEnd w:id="0"/>
    </w:p>
    <w:sectPr w:rsidR="0059219B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59CF"/>
    <w:rsid w:val="0059219B"/>
    <w:rsid w:val="008C59CF"/>
    <w:rsid w:val="00F31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C77992-FC94-48D2-9213-0955BE83F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2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2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963</Words>
  <Characters>5491</Characters>
  <Application>Microsoft Office Word</Application>
  <DocSecurity>0</DocSecurity>
  <Lines>45</Lines>
  <Paragraphs>12</Paragraphs>
  <ScaleCrop>false</ScaleCrop>
  <Company/>
  <LinksUpToDate>false</LinksUpToDate>
  <CharactersWithSpaces>6442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2014-04-06T00:06:00Z</dcterms:created>
  <dcterms:modified xsi:type="dcterms:W3CDTF">2014-04-06T00:06:00Z</dcterms:modified>
</cp:coreProperties>
</file>