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 w:type="dxa"/>
        <w:tblCellSpacing w:w="0" w:type="dxa"/>
        <w:tblCellMar>
          <w:left w:w="0" w:type="dxa"/>
          <w:right w:w="0" w:type="dxa"/>
        </w:tblCellMar>
        <w:tblLook w:val="0000" w:firstRow="0" w:lastRow="0" w:firstColumn="0" w:lastColumn="0" w:noHBand="0" w:noVBand="0"/>
      </w:tblPr>
      <w:tblGrid>
        <w:gridCol w:w="2973"/>
        <w:gridCol w:w="600"/>
      </w:tblGrid>
      <w:tr w:rsidR="00B724E5" w:rsidRPr="00B724E5" w:rsidTr="00B724E5">
        <w:trPr>
          <w:tblCellSpacing w:w="0" w:type="dxa"/>
        </w:trPr>
        <w:tc>
          <w:tcPr>
            <w:tcW w:w="0" w:type="auto"/>
            <w:vAlign w:val="center"/>
          </w:tcPr>
          <w:p w:rsidR="00833BB1" w:rsidRDefault="00833BB1" w:rsidP="00B724E5">
            <w:pPr>
              <w:spacing w:line="360" w:lineRule="auto"/>
              <w:jc w:val="both"/>
              <w:rPr>
                <w:rFonts w:ascii="Tahoma" w:hAnsi="Tahoma" w:cs="Tahoma"/>
                <w:color w:val="191970"/>
                <w:sz w:val="28"/>
                <w:szCs w:val="28"/>
              </w:rPr>
            </w:pPr>
          </w:p>
          <w:p w:rsidR="00B724E5" w:rsidRPr="00B724E5" w:rsidRDefault="00EB2247" w:rsidP="00B724E5">
            <w:pPr>
              <w:spacing w:line="360" w:lineRule="auto"/>
              <w:jc w:val="both"/>
              <w:rPr>
                <w:rFonts w:ascii="Tahoma" w:hAnsi="Tahoma" w:cs="Tahoma"/>
                <w:color w:val="191970"/>
                <w:sz w:val="28"/>
                <w:szCs w:val="28"/>
              </w:rPr>
            </w:pPr>
            <w:r>
              <w:rPr>
                <w:rFonts w:ascii="Tahoma" w:hAnsi="Tahoma" w:cs="Tahoma"/>
                <w:color w:val="19197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5pt;height:165pt">
                  <v:imagedata r:id="rId4" o:title=""/>
                </v:shape>
              </w:pict>
            </w:r>
          </w:p>
        </w:tc>
        <w:tc>
          <w:tcPr>
            <w:tcW w:w="0" w:type="auto"/>
            <w:vAlign w:val="center"/>
          </w:tcPr>
          <w:p w:rsidR="00B724E5" w:rsidRPr="00B724E5" w:rsidRDefault="00B724E5" w:rsidP="00B724E5">
            <w:pPr>
              <w:spacing w:line="360" w:lineRule="auto"/>
              <w:jc w:val="both"/>
              <w:rPr>
                <w:rFonts w:ascii="Tahoma" w:hAnsi="Tahoma" w:cs="Tahoma"/>
                <w:color w:val="191970"/>
                <w:sz w:val="28"/>
                <w:szCs w:val="28"/>
              </w:rPr>
            </w:pPr>
          </w:p>
        </w:tc>
      </w:tr>
    </w:tbl>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b/>
          <w:bCs/>
          <w:color w:val="191970"/>
          <w:sz w:val="28"/>
          <w:szCs w:val="28"/>
        </w:rPr>
        <w:t>Леонид Ильич Брежнев</w:t>
      </w:r>
      <w:r w:rsidRPr="00B724E5">
        <w:rPr>
          <w:rFonts w:ascii="Tahoma" w:hAnsi="Tahoma" w:cs="Tahoma"/>
          <w:color w:val="191970"/>
          <w:sz w:val="28"/>
          <w:szCs w:val="28"/>
        </w:rPr>
        <w:t xml:space="preserve"> (1906-82) — советский государственный и политический деятель, 1-й (1964-1966) и генеральный (1966-1982) секретарь ЦК КПСС, председатель Президиума ВС СССР (1960-1964, 1977-1982), Маршал Советского Союза (1976), Герой Социалистического Труда (1961), Герой Советского Союза (1966, 1976, 1978, 1981). В Великую Отечественную войну на политработе в Советской Армии. С 1946 1-й секретарь Запорожского, Днепропетровского обкомов КП(б) Украины. В 1950-52 1-й секретарь ЦК КП(б) Молдавии.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С 1953 заместитель начальника Главного политуправления Советской Армии и ВМФ. В 1954-56 2-й секретарь, 1-й секретарь ЦК КП Казахстана. В 1952-53, 1956-60, 1960-64 секретарь ЦК КПСС, председатель Совета обороны СССР. Один из основных организаторов смещения </w:t>
      </w:r>
      <w:r w:rsidRPr="00B724E5">
        <w:rPr>
          <w:rFonts w:ascii="Tahoma" w:hAnsi="Tahoma" w:cs="Tahoma"/>
          <w:color w:val="0000FF"/>
          <w:sz w:val="28"/>
          <w:u w:val="single"/>
        </w:rPr>
        <w:t>Никиты Сергеевича Хрущева</w:t>
      </w:r>
      <w:r w:rsidRPr="00B724E5">
        <w:rPr>
          <w:rFonts w:ascii="Tahoma" w:hAnsi="Tahoma" w:cs="Tahoma"/>
          <w:color w:val="191970"/>
          <w:sz w:val="28"/>
          <w:szCs w:val="28"/>
        </w:rPr>
        <w:t xml:space="preserve"> (1964). В период пребывания Брежнева на посту генерального секретаря в стране возобладали консервативные тенденции, нарастали негативные процессы в экономике, социальной и духовной сферах жизни общества, предпринята интервенция в Чехословакию (1968), введены советские войска в Афганистан (1979).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Леонид Брежнев родился </w:t>
      </w:r>
      <w:r w:rsidRPr="00B724E5">
        <w:rPr>
          <w:rFonts w:ascii="Tahoma" w:hAnsi="Tahoma" w:cs="Tahoma"/>
          <w:color w:val="0000FF"/>
          <w:sz w:val="28"/>
          <w:u w:val="single"/>
        </w:rPr>
        <w:t>6 (19) декабря</w:t>
      </w:r>
      <w:r w:rsidRPr="00B724E5">
        <w:rPr>
          <w:rFonts w:ascii="Tahoma" w:hAnsi="Tahoma" w:cs="Tahoma"/>
          <w:color w:val="191970"/>
          <w:sz w:val="28"/>
          <w:szCs w:val="28"/>
        </w:rPr>
        <w:t xml:space="preserve"> 1906, село Каменское (ныне г. Днепродзержинск), Украина. Скончался </w:t>
      </w:r>
      <w:r w:rsidRPr="00B724E5">
        <w:rPr>
          <w:rFonts w:ascii="Tahoma" w:hAnsi="Tahoma" w:cs="Tahoma"/>
          <w:color w:val="0000FF"/>
          <w:sz w:val="28"/>
          <w:u w:val="single"/>
        </w:rPr>
        <w:t>10 ноября</w:t>
      </w:r>
      <w:r w:rsidRPr="00B724E5">
        <w:rPr>
          <w:rFonts w:ascii="Tahoma" w:hAnsi="Tahoma" w:cs="Tahoma"/>
          <w:color w:val="191970"/>
          <w:sz w:val="28"/>
          <w:szCs w:val="28"/>
        </w:rPr>
        <w:t xml:space="preserve"> 1982, в Москве.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i/>
          <w:iCs/>
          <w:color w:val="191970"/>
          <w:sz w:val="28"/>
          <w:szCs w:val="28"/>
        </w:rPr>
        <w:t xml:space="preserve">Партийная карьера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Леонид Брежнев родом из семьи рабочего. С 1921 работал на Курском маслобойном заводе. Окончил Курский землеустроительный техникум (1927) и Днепродзержинский металлургический институт (1935). Работал заместителем председателя Бисерского райисполкома Свердловской обл. (1929-30), директором металлургического техникума в Днепродзержинске (1936-37). Член КПСС с 1931. В 1935-36 служил в армии. С 1938 заведующий отделом Днепропетровского обкома компартии Украины, с 1939 — секретарь обкома.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годы войны 1941-45 Леонид Брежнев был заместителем начальника политуправления Южного фронта, с 1943 — начальником политотдела 18-й армии. С 1945 — начальник политуправления 4-го Украинского фронта. Закончил войну в звании генерал-майора (1943).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1946-50 первый секретарь Запорожского, затем Днепропетровского обкомов. С 1950 первый секретарь Молдавии. На 19 съезде партии (1952) по рекомендации </w:t>
      </w:r>
      <w:r w:rsidRPr="00B724E5">
        <w:rPr>
          <w:rFonts w:ascii="Tahoma" w:hAnsi="Tahoma" w:cs="Tahoma"/>
          <w:color w:val="0000FF"/>
          <w:sz w:val="28"/>
          <w:u w:val="single"/>
        </w:rPr>
        <w:t>Сталина</w:t>
      </w:r>
      <w:r w:rsidRPr="00B724E5">
        <w:rPr>
          <w:rFonts w:ascii="Tahoma" w:hAnsi="Tahoma" w:cs="Tahoma"/>
          <w:color w:val="191970"/>
          <w:sz w:val="28"/>
          <w:szCs w:val="28"/>
        </w:rPr>
        <w:t xml:space="preserve"> Брежнев был избран секретарем ЦК и кандидатом в члены президиума ЦК партии. В 1953-54 заместитель начальника Главного политического управления Советской Армии и Военно-морского флота.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1954 по предложению Н. С. Хрущева Брежнев переводится в Казахстан, где сначала работает вторым, а с 1955 — первым секретарем компартии республики. С 1957 член президиума и секретарь ЦК КПСС. Как лицо, пользующееся полным доверием Хрущева, в 1960 он назначается председателем Президиума Верховного Совета СССР.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i/>
          <w:iCs/>
          <w:color w:val="191970"/>
          <w:sz w:val="28"/>
          <w:szCs w:val="28"/>
        </w:rPr>
        <w:t xml:space="preserve">Приход к власти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1964 Леонид Брежнев возглавляет заговор против Хрущева, после смещения которого занимает пост первого секретаря ЦК КПСС. Брежнев был наделен инстинктом власти: в ходе аппаратной борьбы за власть и влияние в партии он своевременно устранял своих явных и потенциальных противников (например А. Н. Шелепина, Н. В. Подгорного), расставляя на ключевые посты лично преданных ему людей (Ю. В. Андропова, Н. А. Тихонова, Н. А. Щелокова, К. У. Черненко, С. К. Цвигуна). К началу 1970-х гг. партийный аппарат поверил в Брежнева, рассматривая его как своего ставленника и защитника системы. Всесильная партийная номенклатура отвергала любые реформы, стремилась сохранить режим, обеспечивающий ей власть, стабильность и широкие привилегии.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i/>
          <w:iCs/>
          <w:color w:val="191970"/>
          <w:sz w:val="28"/>
          <w:szCs w:val="28"/>
        </w:rPr>
        <w:t xml:space="preserve">Период застоя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Для стиля правления Леонида Брежнева был характерен консерватизм. Он не обладал ни политической волей, ни видением перспектив развития страны. В экономике проявлялись тенденции стагнации, которые в 1970-х гг. компенсировались благоприятной для СССР внешнеэкономической конъюнктурой. Львиную долю ресурсов поглощал военно-промышленный комплекс (ВПК) — область особой заботы Брежнева. При нем ВПК достиг своего апогея, что приносило ущерб развитию экономики в целом и усугубляло кризис. Экономические реформы 1960-х гг. были свернуты, темпы роста промышленности и сельского хозяйства резко снизились, научно-технический прогресс замедлился. Советский Союз все больше отставал в своем развитии от ведущих мировых держав.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Политическая жизнь характеризовалась ростом бюрократического аппарата, усилением его произвола. В партийных и советских кругах (прежде всего в ближайшем окружении Брежнева) процветали злоупотребление служебным положением, казнокрадство, коррупция, очковтирательство.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Вместе с тем органы госбезопасности усилили борьбу с инакомыслием. Брежнев лично одобрял репрессивные меры, направленные против активистов правозащитного движения в СССР.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области внешней политики Л. Брежнев немало сделал для достижения политической разрядки в 1970-х гг. Были заключены американо-советские договоры об ограничении стратегических наступательных вооружений, которые, однако, не подкреплялись адекватными мерами доверия и контроля. Процесс разрядки был перечеркнут введением советских войск в Афганистан (1979) и другими агрессивными акциями СССР.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В отношениях с социалистическими странами Леонид Ильия Брежнев стал инициатором доктрины «ограниченного суверенитета», предусматривающей акции устрашения вплоть до военного вторжения в те страны, которые пытались проводить независимую от СССР внутреннюю и внешнюю политику. В 1968 Брежнев дал согласие на оккупацию Чехословакии войсками стран Варшавского договора. В 1980 готовилась военная интервенция в Польшу.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i/>
          <w:iCs/>
          <w:color w:val="191970"/>
          <w:sz w:val="28"/>
          <w:szCs w:val="28"/>
        </w:rPr>
        <w:t>Последние годы жизни Брежнева</w:t>
      </w:r>
      <w:r w:rsidRPr="00B724E5">
        <w:rPr>
          <w:rFonts w:ascii="Tahoma" w:hAnsi="Tahoma" w:cs="Tahoma"/>
          <w:color w:val="191970"/>
          <w:sz w:val="28"/>
          <w:szCs w:val="28"/>
        </w:rPr>
        <w:t xml:space="preserve">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Будучи крайне тщеславным человеком, Леонид Брежнев испытывал неуемную страсть к наградам, почетным титулам и званиям. Он стал четырежды Героем Советского Союза (1966, 1976, 1978, 1981) и Маршалом Советского Союза (1976). Неумеренные славословия в его адрес были зачастую нелепы и смешны, порождали множество анекдотов. Группе известных советских журналистов было поручено написать воспоминания Брежнева («Малая земля», «Возрождение», «Целина»), призванные укрепить его политический авторитет. Включив мемуары генсека во все школьные и вузовские программы и сделав их обязательными для «положительного» обсуждения во всех трудовых коллективах, партийные идеологи добились прямо противоположного результата. </w:t>
      </w:r>
    </w:p>
    <w:p w:rsidR="00B724E5" w:rsidRPr="00B724E5" w:rsidRDefault="00B724E5" w:rsidP="00B724E5">
      <w:pPr>
        <w:spacing w:before="100" w:beforeAutospacing="1" w:after="100" w:afterAutospacing="1" w:line="360" w:lineRule="auto"/>
        <w:jc w:val="both"/>
        <w:rPr>
          <w:rFonts w:ascii="Tahoma" w:hAnsi="Tahoma" w:cs="Tahoma"/>
          <w:color w:val="191970"/>
          <w:sz w:val="28"/>
          <w:szCs w:val="28"/>
        </w:rPr>
      </w:pPr>
      <w:r w:rsidRPr="00B724E5">
        <w:rPr>
          <w:rFonts w:ascii="Tahoma" w:hAnsi="Tahoma" w:cs="Tahoma"/>
          <w:color w:val="191970"/>
          <w:sz w:val="28"/>
          <w:szCs w:val="28"/>
        </w:rPr>
        <w:t xml:space="preserve">С середины 1970-х гг. </w:t>
      </w:r>
      <w:r w:rsidRPr="00B724E5">
        <w:rPr>
          <w:rFonts w:ascii="Tahoma" w:hAnsi="Tahoma" w:cs="Tahoma"/>
          <w:color w:val="0000FF"/>
          <w:sz w:val="28"/>
          <w:u w:val="single"/>
        </w:rPr>
        <w:t>здоровье</w:t>
      </w:r>
      <w:r w:rsidRPr="00B724E5">
        <w:rPr>
          <w:rFonts w:ascii="Tahoma" w:hAnsi="Tahoma" w:cs="Tahoma"/>
          <w:color w:val="191970"/>
          <w:sz w:val="28"/>
          <w:szCs w:val="28"/>
        </w:rPr>
        <w:t xml:space="preserve"> Леонида Брежнева резко ухудшилось, а к началу 1980-х гг. он был уже по существу недееспособен как политик. Его физическую немощность, неспособность руководить страной и адекватно оценивать ситуацию использовали в своих интересах в ходе борьбы за власть влиятельные члены политического руководства. </w:t>
      </w:r>
      <w:r w:rsidRPr="00B724E5">
        <w:rPr>
          <w:rFonts w:ascii="Tahoma" w:hAnsi="Tahoma" w:cs="Tahoma"/>
          <w:i/>
          <w:iCs/>
          <w:color w:val="191970"/>
          <w:sz w:val="20"/>
          <w:szCs w:val="20"/>
        </w:rPr>
        <w:t>(Л. А. Молчанов)</w:t>
      </w:r>
      <w:r w:rsidRPr="00B724E5">
        <w:rPr>
          <w:rFonts w:ascii="Tahoma" w:hAnsi="Tahoma" w:cs="Tahoma"/>
          <w:color w:val="191970"/>
          <w:sz w:val="28"/>
          <w:szCs w:val="28"/>
        </w:rPr>
        <w:t xml:space="preserve"> </w:t>
      </w:r>
    </w:p>
    <w:p w:rsidR="00B724E5" w:rsidRDefault="00B724E5">
      <w:bookmarkStart w:id="0" w:name="_GoBack"/>
      <w:bookmarkEnd w:id="0"/>
    </w:p>
    <w:sectPr w:rsidR="00B72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4E5"/>
    <w:rsid w:val="00833BB1"/>
    <w:rsid w:val="00A365BC"/>
    <w:rsid w:val="00B724E5"/>
    <w:rsid w:val="00EB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FC606D9-132C-4752-8C49-B34D5546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24E5"/>
    <w:pPr>
      <w:spacing w:before="100" w:beforeAutospacing="1" w:after="100" w:afterAutospacing="1"/>
    </w:pPr>
  </w:style>
  <w:style w:type="character" w:styleId="a4">
    <w:name w:val="Hyperlink"/>
    <w:basedOn w:val="a0"/>
    <w:rsid w:val="00B72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80887">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6436</CharactersWithSpaces>
  <SharedDoc>false</SharedDoc>
  <HLinks>
    <vt:vector size="30" baseType="variant">
      <vt:variant>
        <vt:i4>1703958</vt:i4>
      </vt:variant>
      <vt:variant>
        <vt:i4>15</vt:i4>
      </vt:variant>
      <vt:variant>
        <vt:i4>0</vt:i4>
      </vt:variant>
      <vt:variant>
        <vt:i4>5</vt:i4>
      </vt:variant>
      <vt:variant>
        <vt:lpwstr>http://www.doctorate.ru/</vt:lpwstr>
      </vt:variant>
      <vt:variant>
        <vt:lpwstr/>
      </vt:variant>
      <vt:variant>
        <vt:i4>7929960</vt:i4>
      </vt:variant>
      <vt:variant>
        <vt:i4>12</vt:i4>
      </vt:variant>
      <vt:variant>
        <vt:i4>0</vt:i4>
      </vt:variant>
      <vt:variant>
        <vt:i4>5</vt:i4>
      </vt:variant>
      <vt:variant>
        <vt:lpwstr>http://www.taina.aib.ru/biography/iosif-stalin.htm</vt:lpwstr>
      </vt:variant>
      <vt:variant>
        <vt:lpwstr/>
      </vt:variant>
      <vt:variant>
        <vt:i4>1507344</vt:i4>
      </vt:variant>
      <vt:variant>
        <vt:i4>9</vt:i4>
      </vt:variant>
      <vt:variant>
        <vt:i4>0</vt:i4>
      </vt:variant>
      <vt:variant>
        <vt:i4>5</vt:i4>
      </vt:variant>
      <vt:variant>
        <vt:lpwstr>http://www.taina.aib.ru/primeti/11/10.htm</vt:lpwstr>
      </vt:variant>
      <vt:variant>
        <vt:lpwstr/>
      </vt:variant>
      <vt:variant>
        <vt:i4>1376278</vt:i4>
      </vt:variant>
      <vt:variant>
        <vt:i4>6</vt:i4>
      </vt:variant>
      <vt:variant>
        <vt:i4>0</vt:i4>
      </vt:variant>
      <vt:variant>
        <vt:i4>5</vt:i4>
      </vt:variant>
      <vt:variant>
        <vt:lpwstr>http://www.taina.aib.ru/primeti/12/06.htm</vt:lpwstr>
      </vt:variant>
      <vt:variant>
        <vt:lpwstr/>
      </vt:variant>
      <vt:variant>
        <vt:i4>65566</vt:i4>
      </vt:variant>
      <vt:variant>
        <vt:i4>3</vt:i4>
      </vt:variant>
      <vt:variant>
        <vt:i4>0</vt:i4>
      </vt:variant>
      <vt:variant>
        <vt:i4>5</vt:i4>
      </vt:variant>
      <vt:variant>
        <vt:lpwstr>http://www.taina.aib.ru/biography/nikita-hruschev.htm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Borbet</dc:creator>
  <cp:keywords/>
  <dc:description/>
  <cp:lastModifiedBy>Irina</cp:lastModifiedBy>
  <cp:revision>2</cp:revision>
  <dcterms:created xsi:type="dcterms:W3CDTF">2014-08-16T17:45:00Z</dcterms:created>
  <dcterms:modified xsi:type="dcterms:W3CDTF">2014-08-16T17:45:00Z</dcterms:modified>
</cp:coreProperties>
</file>