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64" w:rsidRDefault="00AC4F64">
      <w:pPr>
        <w:pStyle w:val="1"/>
      </w:pPr>
      <w:bookmarkStart w:id="0" w:name="_Toc185267976"/>
    </w:p>
    <w:p w:rsidR="00B076A1" w:rsidRDefault="00B076A1">
      <w:pPr>
        <w:pStyle w:val="1"/>
      </w:pPr>
      <w:r>
        <w:t>Теоретические основы бухгалтерского учета в страховой организации</w:t>
      </w:r>
      <w:bookmarkEnd w:id="0"/>
    </w:p>
    <w:p w:rsidR="00B076A1" w:rsidRDefault="00B076A1">
      <w:pPr>
        <w:pStyle w:val="2"/>
      </w:pPr>
      <w:bookmarkStart w:id="1" w:name="_Toc185267977"/>
      <w:r>
        <w:t>Учет и бухгалтерская отчетность страховых организаций</w:t>
      </w:r>
      <w:bookmarkEnd w:id="1"/>
    </w:p>
    <w:p w:rsidR="00B076A1" w:rsidRDefault="00B076A1">
      <w:r>
        <w:t xml:space="preserve"> Бухгалтерская отчетность в России в последние годы претерпела значительные изменения в связи  с постепенной унификацией отчетности в соответствии с международными стандартами финансовой отчетности (МСФО). Наблюдается сокращение отраслевой специфики и определенная унификация показателей и форм отчетности для предприятий различных отраслей. Тем не менее, специфичность отдельных видов деятельности сохраняется.</w:t>
      </w:r>
    </w:p>
    <w:p w:rsidR="00B076A1" w:rsidRDefault="00B076A1">
      <w:r>
        <w:t>В силу специфики страховой деятельности в ряде стран система бухгалтерского учета в страховом секторе существенно отличается от других отраслей экономики. Кроме того, страхование затрагивает финансовые интересы большого количества потребителей, в том числе значительной части населения, и поэтому является одним из наиболее регулируемых видов бизнеса, к которому предъявляются повышенные требования к финансовой отчетности.</w:t>
      </w:r>
    </w:p>
    <w:p w:rsidR="00B076A1" w:rsidRDefault="00B076A1">
      <w:pPr>
        <w:pStyle w:val="23"/>
        <w:ind w:firstLine="720"/>
        <w:jc w:val="both"/>
        <w:rPr>
          <w:szCs w:val="24"/>
        </w:rPr>
      </w:pPr>
      <w:r>
        <w:rPr>
          <w:szCs w:val="24"/>
        </w:rPr>
        <w:t>Данные бухгалтерской отчетности страховой организации включают показатели деятельности всех филиалов, представительств и иных подразделений, выделенных на отдельный баланс и не являющихся юридическими лицами. Показатели об отдельных активах, обязательствах, доходах, расходах и хозяйственных операциях, а также составляющих капитала приводятся в бухгалтерской отчетности обособленно в случае их существенности и если без знания о них невозможна оценка финансового положения страховой организации заинтересованными пользователями. Каждый существенный показатель представляется в бухгалтерской отчетности отдельно, несущественные суммы могут объединяться. Существенной считается сумма, отношение которой к общему итогу соответствующих данных за отчетный год составляет не менее 5 %.</w:t>
      </w:r>
    </w:p>
    <w:p w:rsidR="00B076A1" w:rsidRDefault="00B076A1">
      <w:r>
        <w:t>Важным требованием, предъявляемым к бухгалтерской отчетности страховой организации, является её открытость для учредителей ( участников ), инвесторов, кредиторов, банков, страхователей . Данная информация должна быть доступна для всех заинтересованных лиц, что обусловлено социальным фактором страховой защиты. Это позволяет клиентам получить необходимые сведения о финансовом положении страховой компании. Некоторыми страховщиками (особенно крупными) публикация основных показателей финансово-хозяйственной деятельности используется в рекламных целях. Публикуемая в сокращенной форме бухгалтерская отчетность должна содержать итоговую часть аудиторского заключения независимого аудитора, имеющего лицензию на осуществление аудита в страховании.[</w:t>
      </w:r>
      <w:r>
        <w:fldChar w:fldCharType="begin"/>
      </w:r>
      <w:r>
        <w:instrText xml:space="preserve"> REF _Ref183155398 \r \h </w:instrText>
      </w:r>
      <w:r>
        <w:fldChar w:fldCharType="separate"/>
      </w:r>
      <w:r>
        <w:t>18</w:t>
      </w:r>
      <w:r>
        <w:fldChar w:fldCharType="end"/>
      </w:r>
      <w:r>
        <w:t>]</w:t>
      </w:r>
    </w:p>
    <w:p w:rsidR="00B076A1" w:rsidRDefault="00B076A1">
      <w:r>
        <w:t>Но, несмотря на заинтересованность в бухгалтерской отчетности широкого круга лиц, доступ к полной финансовой информации имеют далеко не все. В отечественной практике существуют следующие уровни доступа к информации. Для широкого пользования основные финансовые документы – баланс и отчет о прибылях и убытках – публикуется ежегодно в официальной печати. Более развернутой информацией располагают собственники, акционеры и, конечно, органы надзора и налоговой инспекции. В последнем случае полные отчеты требуются для обеспечения контроля над деятельностью страховой компании и уплатой налогов.</w:t>
      </w:r>
    </w:p>
    <w:p w:rsidR="00B076A1" w:rsidRDefault="00B076A1">
      <w:r>
        <w:t>Для оперативного управления организацией руководители и менеджеры должны располагать более подробной информацией, чем собственники, которых больше интересует конечный результат. При этом, согласно нормам Федерального закона №129-ФЗ «О бухгалтерском учете» (п.4 ст.10), лица, получившие доступ к информации, содержащейся в регистрах бухгалтерского учета и внутренней отчетности, обязаны хранить коммерческую тайну. [</w:t>
      </w:r>
      <w:r>
        <w:fldChar w:fldCharType="begin"/>
      </w:r>
      <w:r>
        <w:instrText xml:space="preserve"> REF _Ref183153243 \r \h </w:instrText>
      </w:r>
      <w:r>
        <w:fldChar w:fldCharType="separate"/>
      </w:r>
      <w:r>
        <w:t>22</w:t>
      </w:r>
      <w:r>
        <w:fldChar w:fldCharType="end"/>
      </w:r>
      <w:r>
        <w:t>]</w:t>
      </w:r>
    </w:p>
    <w:p w:rsidR="00B076A1" w:rsidRDefault="00B076A1">
      <w:r>
        <w:t>Годовая бухгалтерская отчетность представляется  страховыми организациями в обязательном порядке в Министерство финансов РФ и территориальные органы Министерства финансов РФ, осуществляющие страховой надзор, а также в территориальные органы государственной статистики.</w:t>
      </w:r>
    </w:p>
    <w:p w:rsidR="00B076A1" w:rsidRDefault="00B076A1">
      <w:pPr>
        <w:jc w:val="left"/>
      </w:pPr>
      <w:r>
        <w:rPr>
          <w:color w:val="000000"/>
          <w:szCs w:val="18"/>
        </w:rPr>
        <w:t>Страховыми организациями предоставляются в Федеральную службу страхового надзора и ее территориальные органы, следующие типовые формы отчетности:</w:t>
      </w:r>
      <w:r>
        <w:rPr>
          <w:color w:val="000000"/>
          <w:szCs w:val="18"/>
        </w:rPr>
        <w:br/>
        <w:t>1) отчет о платежеспособности форма № 6 — страховщик;</w:t>
      </w:r>
      <w:r>
        <w:rPr>
          <w:color w:val="000000"/>
          <w:szCs w:val="18"/>
        </w:rPr>
        <w:br/>
        <w:t>2) отчет о размещении страховых резервов форма № 7 — страховщик;</w:t>
      </w:r>
      <w:r>
        <w:rPr>
          <w:color w:val="000000"/>
          <w:szCs w:val="18"/>
        </w:rPr>
        <w:br/>
        <w:t>3) отчет о размещении страховых резервов по обязательному медицинскому страхованию форма № 7а — страховщик</w:t>
      </w:r>
      <w:r>
        <w:rPr>
          <w:rFonts w:ascii="Arial" w:hAnsi="Arial" w:cs="Arial"/>
          <w:color w:val="000000"/>
          <w:sz w:val="18"/>
          <w:szCs w:val="18"/>
        </w:rPr>
        <w:t>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color w:val="000000"/>
          <w:szCs w:val="18"/>
        </w:rPr>
        <w:t>4) отчет о страховых резервах по страхованию иному, чем страхование жизни форма № 8 — страховщик;</w:t>
      </w:r>
      <w:r>
        <w:rPr>
          <w:color w:val="000000"/>
          <w:szCs w:val="18"/>
        </w:rPr>
        <w:br/>
        <w:t>5) отчет об использовании средств резервов предупредительных мероприятий форма № 9 — страховщик;</w:t>
      </w:r>
      <w:r>
        <w:rPr>
          <w:color w:val="000000"/>
          <w:szCs w:val="18"/>
        </w:rPr>
        <w:br/>
        <w:t>6) отчет об операциях перестрахования форма № 10 — страховщик;</w:t>
      </w:r>
      <w:r>
        <w:rPr>
          <w:color w:val="000000"/>
          <w:szCs w:val="18"/>
        </w:rPr>
        <w:br/>
        <w:t>7) информация по операционному сегменту форма № 11 — страховщик;</w:t>
      </w:r>
      <w:r>
        <w:rPr>
          <w:color w:val="000000"/>
          <w:szCs w:val="18"/>
        </w:rPr>
        <w:br/>
        <w:t>8) информация о дочерних и зависимых обществах форма № 12 — страховщик;</w:t>
      </w:r>
      <w:r>
        <w:rPr>
          <w:color w:val="000000"/>
          <w:szCs w:val="18"/>
        </w:rPr>
        <w:br/>
        <w:t>9) информация о филиалах и представительствах форма № 13 — страховщик.[</w:t>
      </w:r>
      <w:r>
        <w:rPr>
          <w:color w:val="000000"/>
          <w:szCs w:val="18"/>
        </w:rPr>
        <w:fldChar w:fldCharType="begin"/>
      </w:r>
      <w:r>
        <w:rPr>
          <w:color w:val="000000"/>
          <w:szCs w:val="18"/>
        </w:rPr>
        <w:instrText xml:space="preserve"> REF _Ref183153288 \r \h </w:instrText>
      </w:r>
      <w:r>
        <w:rPr>
          <w:color w:val="000000"/>
          <w:szCs w:val="18"/>
        </w:rPr>
      </w:r>
      <w:r>
        <w:rPr>
          <w:color w:val="000000"/>
          <w:szCs w:val="18"/>
        </w:rPr>
        <w:fldChar w:fldCharType="separate"/>
      </w:r>
      <w:r>
        <w:rPr>
          <w:color w:val="000000"/>
          <w:szCs w:val="18"/>
        </w:rPr>
        <w:t>51</w:t>
      </w:r>
      <w:r>
        <w:rPr>
          <w:color w:val="000000"/>
          <w:szCs w:val="18"/>
        </w:rPr>
        <w:fldChar w:fldCharType="end"/>
      </w:r>
      <w:r>
        <w:rPr>
          <w:color w:val="000000"/>
          <w:szCs w:val="18"/>
        </w:rPr>
        <w:t>]</w:t>
      </w:r>
    </w:p>
    <w:p w:rsidR="00B076A1" w:rsidRDefault="00B076A1">
      <w:r>
        <w:t>Структура и состав форм бухгалтерской отчетности страховой организации аналогичны отчетности других отраслей экономики. Специфика отчетности страховщиков отражается в содержании определенных разделов, статьях форм бухгалтерской отчетности.</w:t>
      </w:r>
    </w:p>
    <w:p w:rsidR="00B076A1" w:rsidRDefault="00B076A1">
      <w:r>
        <w:t>Баланс страховой организации представляет собой основной итоговый документ финансовой отчетности страховщика. Форма баланса страховой организации утверждена приказом Минфина России от 08.12.2003г. №113.[</w:t>
      </w:r>
      <w:r>
        <w:fldChar w:fldCharType="begin"/>
      </w:r>
      <w:r>
        <w:instrText xml:space="preserve"> REF _Ref183155541 \r \h </w:instrText>
      </w:r>
      <w:r>
        <w:fldChar w:fldCharType="separate"/>
      </w:r>
      <w:r>
        <w:t>4</w:t>
      </w:r>
      <w:r>
        <w:fldChar w:fldCharType="end"/>
      </w:r>
      <w:r>
        <w:t xml:space="preserve">] </w:t>
      </w:r>
    </w:p>
    <w:p w:rsidR="00B076A1" w:rsidRDefault="00B076A1">
      <w:r>
        <w:t xml:space="preserve">Традиционно баланс делится на две части: актив и пассив, которые должны быть равны друг другу. Основа баланса – классическое уравнение бухгалтерского учета: </w:t>
      </w:r>
    </w:p>
    <w:p w:rsidR="00B076A1" w:rsidRDefault="00B076A1">
      <w:pPr>
        <w:jc w:val="center"/>
      </w:pPr>
      <w:r>
        <w:t>Активы = Собственный капитал + Обязательства           (1)</w:t>
      </w:r>
    </w:p>
    <w:p w:rsidR="00B076A1" w:rsidRDefault="00B076A1">
      <w:pPr>
        <w:pStyle w:val="af8"/>
        <w:rPr>
          <w:szCs w:val="24"/>
        </w:rPr>
      </w:pPr>
      <w:r>
        <w:rPr>
          <w:szCs w:val="24"/>
        </w:rPr>
        <w:t>Активы – это ресурсы, находящиеся в собственности или под контролем организации, которые, как ожидается, будут приносить экономическую выгоду. Статьи актива представляют собой вложения страховщика, к которым относятся нематериальные активы, инвестиции, основные средства, денежные средства и дебиторская задолженность. Специфика страховой деятельности находит свое отражение в составе статей активной части баланса. К ним относится депо премий по рискам, принятым в перестрахование, доля перестраховщиков в страховых резервах, дебиторская задолженность по операциям страхования и сострахования и др.</w:t>
      </w:r>
    </w:p>
    <w:p w:rsidR="00B076A1" w:rsidRDefault="00B076A1">
      <w:r>
        <w:t>При активной инвестиционной деятельности страховой организации большую часть ее активов составляют финансовые вложения в ценные бумаги, в дочерние, зависимые общества и другие организации, депозиты в банках, недвижимость и прочие инвестиции.</w:t>
      </w:r>
    </w:p>
    <w:p w:rsidR="00B076A1" w:rsidRDefault="00B076A1">
      <w:r>
        <w:t>Пассив баланса показывает источники средств страховой организации, включая собственные  и заемные средства. В пассивной части баланса элементом, отражающим отраслевую специфику страховой деятельности, является раздел «Страховые резервы», которые представляют собой средства, отложенные страховой организацией в резерв для исполнения будущих обязательств перед страхователями. При значительном, постоянно пополняемом и относительно безубыточном страховом портфеле данный раздел пассива является самым большим. Собственный капитал и страховые резервы являются основными источниками финансирования инвестиционной деятельности страховщика.</w:t>
      </w:r>
    </w:p>
    <w:p w:rsidR="00B076A1" w:rsidRDefault="00B076A1">
      <w:r>
        <w:t>Значительное место среди статей пассива занимает кредиторская задолженность, образованная как по страховой деятельности, так и по операциям, не связанным напрямую с предоставлением страховой защиты (задолженность по оплате труда, по социальному страхованию, перед дочерними и зависимыми предприятиями, перед бюджетом).</w:t>
      </w:r>
    </w:p>
    <w:p w:rsidR="00B076A1" w:rsidRDefault="00B076A1">
      <w:r>
        <w:t xml:space="preserve">С позиций менеджмента страховой организации в балансе представлены конечные результаты всех управленческих решений, принятых организацией в финансовой (пассив баланса) и инвестиционной (актив баланса) областях деятельности. </w:t>
      </w:r>
    </w:p>
    <w:p w:rsidR="00B076A1" w:rsidRDefault="00B076A1">
      <w:r>
        <w:t xml:space="preserve"> Отчет о прибылях и убытках страховой организации отражает финансовые результаты деятельности страховщика от страховых операций, операций сострахования и перестрахования, а также прочих операций. Отчет делится на три раздела, в каждом из которых соизмеряются доходы и расходы, и выявляется конечный финансовый результат: раздел </w:t>
      </w:r>
      <w:r>
        <w:rPr>
          <w:lang w:val="en-US"/>
        </w:rPr>
        <w:t>I</w:t>
      </w:r>
      <w:r>
        <w:t xml:space="preserve"> «Страхование жизни», раздел </w:t>
      </w:r>
      <w:r>
        <w:rPr>
          <w:lang w:val="en-US"/>
        </w:rPr>
        <w:t>II</w:t>
      </w:r>
      <w:r>
        <w:t xml:space="preserve"> «Страхование иное, чем страхование жизни», раздел </w:t>
      </w:r>
      <w:r>
        <w:rPr>
          <w:lang w:val="en-US"/>
        </w:rPr>
        <w:t>III</w:t>
      </w:r>
      <w:r>
        <w:t xml:space="preserve"> «Прочие доходы и расходы».</w:t>
      </w:r>
    </w:p>
    <w:p w:rsidR="00B076A1" w:rsidRDefault="00B076A1">
      <w:r>
        <w:t>В Отчете о прибылях и убытках обеспечивается объективная сопоставимость  расходов  с полученными на них доходами безотносительно к расчетам налогооблагаемой базы. В отчете подробно описываются элементы, из которых формируется чистая прибыль или убыток после уплаты налогов, отражаемая в балансе как изменение собственного капитала за период.</w:t>
      </w:r>
    </w:p>
    <w:p w:rsidR="00B076A1" w:rsidRDefault="00B076A1">
      <w:r>
        <w:t>Отчет о движении денежных средств (форма №4) страховой организации содержит информацию о поступлениях и выплатах денежных средств, прибыльности и способности организации платить по счетам. В Отчете о движении денежных средств выделяются текущая, инвестиционная, финансовая сферы деятельности страховой организации. Текущей считается деятельность, связанная с проведением страхования, сострахования и перестрахования и осуществлением затрат, необходимых для их проведения. Инвестиционная деятельность связана с инвестированием средств страховой организации, в том числе средств страховых резервов, с целью получения дохода в виде процентов, доходов от участия и других доходов в активы, отражаемые в бухгалтерском балансе по группе статей «Инвестиции», а также с продажей этих активов. Финансовой считается деятельность страховой организации, связанная  с выпуском облигаций и иных ценных бумаг, получением кредитов, займов, дивидендов, выплатой дивидендов, процентов по полученным кредитам.[</w:t>
      </w:r>
      <w:r>
        <w:fldChar w:fldCharType="begin"/>
      </w:r>
      <w:r>
        <w:instrText xml:space="preserve"> REF _Ref183153243 \r \h </w:instrText>
      </w:r>
      <w:r>
        <w:fldChar w:fldCharType="separate"/>
      </w:r>
      <w:r>
        <w:t>22</w:t>
      </w:r>
      <w:r>
        <w:fldChar w:fldCharType="end"/>
      </w:r>
      <w:r>
        <w:t>]</w:t>
      </w:r>
    </w:p>
    <w:p w:rsidR="00B076A1" w:rsidRDefault="00B076A1">
      <w:pPr>
        <w:pStyle w:val="2"/>
      </w:pPr>
      <w:bookmarkStart w:id="2" w:name="_Toc185267978"/>
      <w:r>
        <w:t>Законодательные основы бухгалтерского учета в страховых организациях</w:t>
      </w:r>
      <w:bookmarkEnd w:id="2"/>
    </w:p>
    <w:p w:rsidR="00B076A1" w:rsidRDefault="00B076A1">
      <w:r>
        <w:t>Деятельность любой организации находит отражение в бухгалтерской документации. Основные принципы бухгалтерского учета одинаковы для всех предприятий и организаций, независимо от правовой формы  и отраслевой принадлежности. Это достоверность информации, сплошное непрерывное документирование, инвентаризация, двойная запись, взаимосвязь форм обобщения информации, а также ее отражение в периодической отчетности.</w:t>
      </w:r>
    </w:p>
    <w:p w:rsidR="00B076A1" w:rsidRDefault="00B076A1">
      <w:r>
        <w:t>Главными задачами бухгалтерского учета в соответствии с Федеральным законом № 129 «О бухгалтерском учете» от 21 ноября 1996г. (с изменениями от 03.11.2006г.), являются:</w:t>
      </w:r>
    </w:p>
    <w:p w:rsidR="00B076A1" w:rsidRDefault="00B076A1" w:rsidP="00B076A1">
      <w:pPr>
        <w:numPr>
          <w:ilvl w:val="0"/>
          <w:numId w:val="9"/>
        </w:numPr>
      </w:pPr>
      <w:r>
        <w:t>формирование полной и достоверной информации о хозяйственных процессах и результатах деятельности предприятия (организации), необходимой для оперативного руководства и управления, а также для ее использования инвесторами, поставщиками, кредиторами, налоговыми, финансовыми, банковскими и иными заинтересованными организациями и лицами;</w:t>
      </w:r>
    </w:p>
    <w:p w:rsidR="00B076A1" w:rsidRDefault="00B076A1" w:rsidP="00B076A1">
      <w:pPr>
        <w:numPr>
          <w:ilvl w:val="0"/>
          <w:numId w:val="9"/>
        </w:numPr>
      </w:pPr>
      <w:r>
        <w:t>обеспечение контроля за наличием и движением имущества,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B076A1" w:rsidRDefault="00B076A1" w:rsidP="00B076A1">
      <w:pPr>
        <w:numPr>
          <w:ilvl w:val="0"/>
          <w:numId w:val="9"/>
        </w:numPr>
      </w:pPr>
      <w:r>
        <w:t>своевременное предупреждение негативных явлений в хозяйственно-финансовой  деятельности, выявление и мобилизация внутрихозяйственных резервов.[</w:t>
      </w:r>
      <w:r>
        <w:fldChar w:fldCharType="begin"/>
      </w:r>
      <w:r>
        <w:instrText xml:space="preserve"> REF _Ref20766839 \r \h </w:instrText>
      </w:r>
      <w:r>
        <w:fldChar w:fldCharType="separate"/>
      </w:r>
      <w:r>
        <w:t>1</w:t>
      </w:r>
      <w:r>
        <w:fldChar w:fldCharType="end"/>
      </w:r>
      <w:r>
        <w:t>]</w:t>
      </w:r>
    </w:p>
    <w:p w:rsidR="00B076A1" w:rsidRDefault="00B076A1">
      <w:pPr>
        <w:pStyle w:val="32"/>
        <w:rPr>
          <w:szCs w:val="24"/>
        </w:rPr>
      </w:pPr>
      <w:r>
        <w:rPr>
          <w:szCs w:val="24"/>
        </w:rPr>
        <w:t>К  настоящему времени сложилась система нормативного регулирования бухгалтерского учета, представленная четырьмя уровнями.</w:t>
      </w:r>
    </w:p>
    <w:p w:rsidR="00B076A1" w:rsidRDefault="00B076A1" w:rsidP="00B076A1">
      <w:pPr>
        <w:numPr>
          <w:ilvl w:val="0"/>
          <w:numId w:val="8"/>
        </w:numPr>
        <w:tabs>
          <w:tab w:val="clear" w:pos="1815"/>
          <w:tab w:val="num" w:pos="180"/>
        </w:tabs>
        <w:ind w:left="540" w:hanging="540"/>
      </w:pPr>
      <w:r>
        <w:t>Федеральный закон № 129-ФЗ от 21.11.1996г. (с изменениями от 3.11.2006г.)  «О бухгалтерском учете», другие федеральные законы, указы Президента РФ и постановления Правительства РФ по вопросам бухгалтерского учета. Законодательство этого уровня содержит основные нормы – принципы, исходя, из которых строится содержание нормативных актов других уровней, а также императивные, строго определенные правила организаций бухгалтерского учета и подготовки бухгалтерской отчетности.</w:t>
      </w:r>
    </w:p>
    <w:p w:rsidR="00B076A1" w:rsidRDefault="00B076A1" w:rsidP="00B076A1">
      <w:pPr>
        <w:numPr>
          <w:ilvl w:val="0"/>
          <w:numId w:val="8"/>
        </w:numPr>
        <w:tabs>
          <w:tab w:val="clear" w:pos="1815"/>
          <w:tab w:val="num" w:pos="540"/>
        </w:tabs>
        <w:ind w:left="540" w:hanging="540"/>
      </w:pPr>
      <w:r>
        <w:t>Положения по бухгалтерскому учету. Документы второго уровня определяют основную терминологию системы бухгалтерского учета, принципы и правила формирования полной и достоверной информации применительно к конкретным объектам бухгалтерского учета и представления информации  в бухгалтерской отчетности. Это национальные российские бухгалтерские стандарты – положения по бухгалтерскому учету (ПБУ). Согласно приказу Министерства финансов  РФ «О бухгалтерской отчетности страховых организаций и отчетности, представляемой в порядке надзора» от 28.11.2000г. ( в редакции приказа Минфина России от 28 ноября 2001г.), на организацию и ведение бухгалтерского учета в страховых организациях распространено действие следующих ПБУ:</w:t>
      </w:r>
    </w:p>
    <w:p w:rsidR="00B076A1" w:rsidRDefault="00B076A1" w:rsidP="00B076A1">
      <w:pPr>
        <w:numPr>
          <w:ilvl w:val="1"/>
          <w:numId w:val="8"/>
        </w:numPr>
        <w:tabs>
          <w:tab w:val="num" w:pos="540"/>
        </w:tabs>
      </w:pPr>
      <w:r>
        <w:t>Положение по бухгалтерскому учету «Бухгалтерская отчетность» (ПБУ 4/99);</w:t>
      </w:r>
    </w:p>
    <w:p w:rsidR="00B076A1" w:rsidRDefault="00B076A1" w:rsidP="00B076A1">
      <w:pPr>
        <w:numPr>
          <w:ilvl w:val="1"/>
          <w:numId w:val="8"/>
        </w:numPr>
        <w:tabs>
          <w:tab w:val="num" w:pos="540"/>
        </w:tabs>
      </w:pPr>
      <w:r>
        <w:t>Положение по бухгалтерскому учету «Доходы организации» (ПБУ 9/99);</w:t>
      </w:r>
    </w:p>
    <w:p w:rsidR="00B076A1" w:rsidRDefault="00B076A1" w:rsidP="00B076A1">
      <w:pPr>
        <w:numPr>
          <w:ilvl w:val="1"/>
          <w:numId w:val="8"/>
        </w:numPr>
        <w:tabs>
          <w:tab w:val="num" w:pos="540"/>
        </w:tabs>
      </w:pPr>
      <w:r>
        <w:t>Положение по бухгалтерскому  учету «Расходы организации» (ПБУ 10/99),</w:t>
      </w:r>
    </w:p>
    <w:p w:rsidR="00B076A1" w:rsidRDefault="00B076A1" w:rsidP="00B076A1">
      <w:pPr>
        <w:numPr>
          <w:ilvl w:val="1"/>
          <w:numId w:val="8"/>
        </w:numPr>
        <w:tabs>
          <w:tab w:val="num" w:pos="540"/>
        </w:tabs>
      </w:pPr>
      <w:r>
        <w:t>Положение по бухгалтерскому учету «Учетная политика организации» (ПБУ 1/98).</w:t>
      </w:r>
    </w:p>
    <w:p w:rsidR="00B076A1" w:rsidRDefault="00B076A1">
      <w:pPr>
        <w:tabs>
          <w:tab w:val="num" w:pos="540"/>
        </w:tabs>
        <w:ind w:left="540" w:hanging="540"/>
      </w:pPr>
      <w:r>
        <w:t xml:space="preserve">        На втором уровне нормативного регулирования находится также план счетов бухгалтерского учета финансово-хозяйственной деятельности страховых организаций, утвержденный приказом Минфина России от 04.09.2001г. с инструкцией по его применению, введенной в действие с 01.01.2002г.</w:t>
      </w:r>
    </w:p>
    <w:p w:rsidR="00B076A1" w:rsidRDefault="00B076A1" w:rsidP="00B076A1">
      <w:pPr>
        <w:pStyle w:val="af7"/>
        <w:keepNext w:val="0"/>
        <w:keepLines w:val="0"/>
        <w:numPr>
          <w:ilvl w:val="0"/>
          <w:numId w:val="8"/>
        </w:numPr>
        <w:tabs>
          <w:tab w:val="num" w:pos="540"/>
        </w:tabs>
        <w:ind w:left="540" w:hanging="540"/>
      </w:pPr>
      <w:r>
        <w:t>Методические указания, инструкции, рекомендации и иные аналогичные им документы. Документы третьего уровня подготавливаются и утверждаются федеральными органами, общественными объединениями профессиональных бухгалтеров, министерствами и ведомствами на основе и в развитие документов первого и второго уровней.  Правила бухгалтерского учета, определенные документами второго и третьего уровней, реализуются организацией при разработке собственной учетной политики.</w:t>
      </w:r>
    </w:p>
    <w:p w:rsidR="00B076A1" w:rsidRDefault="00B076A1" w:rsidP="00B076A1">
      <w:pPr>
        <w:pStyle w:val="af7"/>
        <w:keepNext w:val="0"/>
        <w:keepLines w:val="0"/>
        <w:numPr>
          <w:ilvl w:val="0"/>
          <w:numId w:val="8"/>
        </w:numPr>
        <w:tabs>
          <w:tab w:val="num" w:pos="540"/>
        </w:tabs>
        <w:ind w:left="540" w:hanging="540"/>
      </w:pPr>
      <w:r>
        <w:t>Рабочие документы организации. Документы четвертого уровня разрабатываются бухгалтерскими, финансовыми и экономическими службами и утверждаются руководителем. Документы данного уровня содержат:</w:t>
      </w:r>
    </w:p>
    <w:p w:rsidR="00B076A1" w:rsidRDefault="00B076A1" w:rsidP="00B076A1">
      <w:pPr>
        <w:pStyle w:val="a1"/>
        <w:numPr>
          <w:ilvl w:val="1"/>
          <w:numId w:val="8"/>
        </w:numPr>
        <w:spacing w:before="0" w:after="0"/>
        <w:ind w:left="179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выбранные организацией способы бухгалтерского учета;</w:t>
      </w:r>
    </w:p>
    <w:p w:rsidR="00B076A1" w:rsidRDefault="00B076A1" w:rsidP="00B076A1">
      <w:pPr>
        <w:numPr>
          <w:ilvl w:val="1"/>
          <w:numId w:val="8"/>
        </w:numPr>
        <w:ind w:left="1797" w:firstLine="0"/>
      </w:pPr>
      <w:r>
        <w:t>способы бухгалтерского учета;</w:t>
      </w:r>
    </w:p>
    <w:p w:rsidR="00B076A1" w:rsidRDefault="00B076A1" w:rsidP="00B076A1">
      <w:pPr>
        <w:numPr>
          <w:ilvl w:val="1"/>
          <w:numId w:val="8"/>
        </w:numPr>
        <w:ind w:firstLine="0"/>
      </w:pPr>
      <w:r>
        <w:t>особенности применения способов бухгалтерского учета.</w:t>
      </w:r>
    </w:p>
    <w:p w:rsidR="00B076A1" w:rsidRDefault="00B076A1">
      <w:pPr>
        <w:pStyle w:val="af8"/>
        <w:rPr>
          <w:szCs w:val="24"/>
        </w:rPr>
      </w:pPr>
      <w:r>
        <w:rPr>
          <w:szCs w:val="24"/>
        </w:rPr>
        <w:t>Согласно Федеральному закону «О бухгалтерском учете» (п.3 ст.6), организациям предоставляются широкие полномочия в организации бухгалтерского учета. Основное условие состоит в том, чтобы содержание рабочих документов не противоречило нормативным актам более высокого уровня.</w:t>
      </w:r>
    </w:p>
    <w:p w:rsidR="00B076A1" w:rsidRDefault="00B076A1">
      <w:r>
        <w:t>Организацией самостоятельно утверждается:</w:t>
      </w:r>
    </w:p>
    <w:p w:rsidR="00B076A1" w:rsidRDefault="00B076A1" w:rsidP="00B076A1">
      <w:pPr>
        <w:numPr>
          <w:ilvl w:val="0"/>
          <w:numId w:val="10"/>
        </w:numPr>
      </w:pPr>
      <w:r>
        <w:t>рабочий план счетов бухгалтерского учета, содержащий синтетические и аналитические счета, необходимые для ведения бухгалтерского учета;</w:t>
      </w:r>
    </w:p>
    <w:p w:rsidR="00B076A1" w:rsidRDefault="00B076A1" w:rsidP="00B076A1">
      <w:pPr>
        <w:numPr>
          <w:ilvl w:val="0"/>
          <w:numId w:val="10"/>
        </w:numPr>
      </w:pPr>
      <w:r>
        <w:t>формы первичных учетных документов;</w:t>
      </w:r>
    </w:p>
    <w:p w:rsidR="00B076A1" w:rsidRDefault="00B076A1" w:rsidP="00B076A1">
      <w:pPr>
        <w:numPr>
          <w:ilvl w:val="0"/>
          <w:numId w:val="10"/>
        </w:numPr>
      </w:pPr>
      <w:r>
        <w:t>порядок проведения инвентаризации и методы оценки видов имущества и обязательств;</w:t>
      </w:r>
    </w:p>
    <w:p w:rsidR="00B076A1" w:rsidRDefault="00B076A1" w:rsidP="00B076A1">
      <w:pPr>
        <w:numPr>
          <w:ilvl w:val="0"/>
          <w:numId w:val="10"/>
        </w:numPr>
      </w:pPr>
      <w:r>
        <w:t>правила документооборота и технологии обработки учетной информации;</w:t>
      </w:r>
    </w:p>
    <w:p w:rsidR="00B076A1" w:rsidRDefault="00B076A1" w:rsidP="00B076A1">
      <w:pPr>
        <w:numPr>
          <w:ilvl w:val="0"/>
          <w:numId w:val="10"/>
        </w:numPr>
      </w:pPr>
      <w:r>
        <w:t>порядок контроля за хозяйственными операциями, а также другие решения, необходимые для организации бухгалтерского учета.[</w:t>
      </w:r>
      <w:r>
        <w:fldChar w:fldCharType="begin"/>
      </w:r>
      <w:r>
        <w:instrText xml:space="preserve"> REF _Ref20766839 \r \h </w:instrText>
      </w:r>
      <w:r>
        <w:fldChar w:fldCharType="separate"/>
      </w:r>
      <w:r>
        <w:t>1</w:t>
      </w:r>
      <w:r>
        <w:fldChar w:fldCharType="end"/>
      </w:r>
      <w:r>
        <w:t>]</w:t>
      </w:r>
    </w:p>
    <w:p w:rsidR="00B076A1" w:rsidRDefault="00B076A1">
      <w:r>
        <w:t>Важнейшим внутренним документом, регламентирующим организацию и порядок ведения бухгалтерского учета, является учетная политика организации. В учетной политике закрепляются методы и способы бухгалтерского учета, порядок применения которых непосредственно влияет на формирование конечных финансовых результатов организации. При формировании учетной политики страховая компания руководствуется Положением по бухгалтерскому учету «Учетная политика организации» (ПБУ 1/98).[</w:t>
      </w:r>
      <w:r>
        <w:fldChar w:fldCharType="begin"/>
      </w:r>
      <w:r>
        <w:instrText xml:space="preserve"> REF _Ref183153243 \r \h </w:instrText>
      </w:r>
      <w:r>
        <w:fldChar w:fldCharType="separate"/>
      </w:r>
      <w:r>
        <w:t>22</w:t>
      </w:r>
      <w:r>
        <w:fldChar w:fldCharType="end"/>
      </w:r>
      <w:r>
        <w:t>]</w:t>
      </w:r>
    </w:p>
    <w:p w:rsidR="00B076A1" w:rsidRDefault="00B076A1">
      <w:pPr>
        <w:pStyle w:val="2"/>
      </w:pPr>
      <w:bookmarkStart w:id="3" w:name="_Toc185267979"/>
      <w:r>
        <w:t>Особенности плана счетов страховых организаций</w:t>
      </w:r>
      <w:bookmarkEnd w:id="3"/>
    </w:p>
    <w:p w:rsidR="00B076A1" w:rsidRDefault="00B076A1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страховыми организациями применяется План счетов бухгалтерского учета финансово-хозяйственной деятельности организаций и Инструкция по его применению, утвержденные Приказом Минфина РФ от 31 октября 2000 г. N 94н с учетом дополнений и особенностей применения.</w:t>
      </w:r>
    </w:p>
    <w:p w:rsidR="00B076A1" w:rsidRDefault="00B076A1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счетов, входящих в стандартный План счетов, вводится счета, применяемые страховыми организациями:</w:t>
      </w:r>
    </w:p>
    <w:p w:rsidR="00B076A1" w:rsidRDefault="00B076A1" w:rsidP="00B076A1">
      <w:pPr>
        <w:pStyle w:val="ConsNormal"/>
        <w:widowControl/>
        <w:numPr>
          <w:ilvl w:val="0"/>
          <w:numId w:val="11"/>
        </w:numPr>
        <w:tabs>
          <w:tab w:val="num" w:pos="14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счет 22</w:t>
      </w:r>
      <w:r>
        <w:rPr>
          <w:rFonts w:ascii="Times New Roman" w:hAnsi="Times New Roman" w:cs="Times New Roman"/>
          <w:sz w:val="28"/>
          <w:szCs w:val="28"/>
        </w:rPr>
        <w:t xml:space="preserve"> «Выплаты по договорам страхования, сострахования и перестрахования»;</w:t>
      </w:r>
    </w:p>
    <w:p w:rsidR="00B076A1" w:rsidRDefault="00B076A1" w:rsidP="00B076A1">
      <w:pPr>
        <w:pStyle w:val="ConsNormal"/>
        <w:widowControl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счет 77 «Расчеты по страхованию, сострахованию и перестрахованию»;</w:t>
      </w:r>
    </w:p>
    <w:p w:rsidR="00B076A1" w:rsidRDefault="00B076A1" w:rsidP="00B076A1">
      <w:pPr>
        <w:pStyle w:val="ConsNormal"/>
        <w:widowControl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счет 92 «Страховые премии (взносы)»;</w:t>
      </w:r>
    </w:p>
    <w:p w:rsidR="00B076A1" w:rsidRDefault="00B076A1" w:rsidP="00B076A1">
      <w:pPr>
        <w:pStyle w:val="ConsNormal"/>
        <w:widowControl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счет 95 «</w:t>
      </w:r>
      <w:r>
        <w:rPr>
          <w:rFonts w:ascii="Times New Roman" w:hAnsi="Times New Roman" w:cs="Times New Roman"/>
          <w:sz w:val="28"/>
          <w:szCs w:val="28"/>
        </w:rPr>
        <w:t>Страховые резервы».</w:t>
      </w:r>
    </w:p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Счет 22 «Выплаты по договорам страхования, сострахования и перестрахования» предназначен для обобщения страховой организацией информации о страховых выплатах за отчетный период в связи с наступлением страхового случая по договорам страхования, сострахования и перестрахования, долях перестраховщиков в страховых выплатах по договорам, переданным страховой организацией в перестрахование, возвращенных страховых премиях (взносах) и выплаченных выкупных суммах, а также оплаченных медицинских услугах, оказанных застрахованным в соответствии с условиями, предусмотренными договорами на предоставление лечебно - профилактической помощи (медицинских услуг) по обязательному медицинскому страхованию.</w:t>
      </w:r>
    </w:p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счету 22 могут быть открыты следующие субсчета:</w:t>
      </w:r>
    </w:p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22-1 «Страховые выплаты по договорам страхования (основным)»;</w:t>
      </w:r>
    </w:p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22-2 «Страховые выплаты по договорам сострахования»;</w:t>
      </w:r>
    </w:p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22-3 </w:t>
      </w:r>
      <w:r>
        <w:rPr>
          <w:rFonts w:ascii="Times New Roman" w:hAnsi="Times New Roman" w:cs="Times New Roman"/>
          <w:spacing w:val="-2"/>
          <w:sz w:val="28"/>
          <w:szCs w:val="28"/>
        </w:rPr>
        <w:t>«Страховые выплаты по договорам, принятым в перестрахование»;</w:t>
      </w:r>
    </w:p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22-4 «Доля перестраховщиков в страховых выплатах»;</w:t>
      </w:r>
    </w:p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22-5 «Возврат страховых премий (взносов) и выкупные суммы» и др.</w:t>
      </w:r>
    </w:p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Аналитический учет по счету 22 ведется по видам страхования, по страхователям, перестрахователям, перестраховщикам и другим направлениям, необходимым для управления страховой организацией и составления отчетности. Корреспонденция счетов представлена в таблице 1.</w:t>
      </w:r>
    </w:p>
    <w:p w:rsidR="00B076A1" w:rsidRDefault="00B076A1">
      <w:pPr>
        <w:pStyle w:val="a2"/>
      </w:pPr>
      <w:r>
        <w:t>Счет 22 «Выплаты по договорам страхования, сострахования и перестрахования» корреспондирует со счетами: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3960"/>
      </w:tblGrid>
      <w:tr w:rsidR="00B076A1">
        <w:tc>
          <w:tcPr>
            <w:tcW w:w="5328" w:type="dxa"/>
          </w:tcPr>
          <w:p w:rsidR="00B076A1" w:rsidRDefault="00B076A1">
            <w:pPr>
              <w:pStyle w:val="af4"/>
            </w:pPr>
            <w:r>
              <w:t>По дебету</w:t>
            </w:r>
          </w:p>
        </w:tc>
        <w:tc>
          <w:tcPr>
            <w:tcW w:w="3960" w:type="dxa"/>
          </w:tcPr>
          <w:p w:rsidR="00B076A1" w:rsidRDefault="00B076A1">
            <w:pPr>
              <w:pStyle w:val="af4"/>
            </w:pPr>
            <w:r>
              <w:t>По кредиту</w:t>
            </w:r>
          </w:p>
        </w:tc>
      </w:tr>
      <w:tr w:rsidR="00B076A1">
        <w:tc>
          <w:tcPr>
            <w:tcW w:w="5328" w:type="dxa"/>
          </w:tcPr>
          <w:p w:rsidR="00B076A1" w:rsidRDefault="00B076A1">
            <w:pPr>
              <w:pStyle w:val="af4"/>
            </w:pPr>
            <w:r>
              <w:t xml:space="preserve">50 Касса </w:t>
            </w:r>
          </w:p>
          <w:p w:rsidR="00B076A1" w:rsidRDefault="00B076A1">
            <w:pPr>
              <w:pStyle w:val="af4"/>
            </w:pPr>
            <w:r>
              <w:t>51 Расчетные счета</w:t>
            </w:r>
          </w:p>
          <w:p w:rsidR="00B076A1" w:rsidRDefault="00B076A1">
            <w:pPr>
              <w:pStyle w:val="af4"/>
            </w:pPr>
            <w:r>
              <w:t>52 Валютные счета</w:t>
            </w:r>
          </w:p>
          <w:p w:rsidR="00B076A1" w:rsidRDefault="00B076A1">
            <w:pPr>
              <w:pStyle w:val="af4"/>
            </w:pPr>
            <w:r>
              <w:t>60 Расчеты с поставщиками и подрядчиками</w:t>
            </w:r>
          </w:p>
          <w:p w:rsidR="00B076A1" w:rsidRDefault="00B076A1">
            <w:pPr>
              <w:pStyle w:val="af4"/>
            </w:pPr>
            <w:r>
              <w:t>68 Расчеты по налогам и сборам</w:t>
            </w:r>
          </w:p>
          <w:p w:rsidR="00B076A1" w:rsidRDefault="00B076A1">
            <w:pPr>
              <w:pStyle w:val="af4"/>
            </w:pPr>
            <w:r>
              <w:t>76 Расчеты с разными дебиторами и кредиторами</w:t>
            </w:r>
          </w:p>
          <w:p w:rsidR="00B076A1" w:rsidRDefault="00B076A1">
            <w:pPr>
              <w:pStyle w:val="af4"/>
            </w:pPr>
            <w:r>
              <w:t>77 Расчеты по страхованию, сострахованию и перестрахованию</w:t>
            </w:r>
          </w:p>
          <w:p w:rsidR="00B076A1" w:rsidRDefault="00B076A1">
            <w:pPr>
              <w:pStyle w:val="af4"/>
            </w:pPr>
            <w:r>
              <w:t>99 Прибыли и убытки</w:t>
            </w:r>
          </w:p>
        </w:tc>
        <w:tc>
          <w:tcPr>
            <w:tcW w:w="3960" w:type="dxa"/>
          </w:tcPr>
          <w:p w:rsidR="00B076A1" w:rsidRDefault="00B076A1">
            <w:pPr>
              <w:pStyle w:val="af4"/>
            </w:pPr>
            <w:r>
              <w:t>76 Расчеты с разными дебиторами и кредиторами</w:t>
            </w:r>
          </w:p>
          <w:p w:rsidR="00B076A1" w:rsidRDefault="00B076A1">
            <w:pPr>
              <w:pStyle w:val="af4"/>
            </w:pPr>
            <w:r>
              <w:t>77 Расчеты по страхованию, сострахованию и перестрахованию</w:t>
            </w:r>
          </w:p>
          <w:p w:rsidR="00B076A1" w:rsidRDefault="00B076A1">
            <w:pPr>
              <w:pStyle w:val="af4"/>
            </w:pPr>
            <w:r>
              <w:t>99 Прибыли и убытки</w:t>
            </w:r>
          </w:p>
        </w:tc>
      </w:tr>
    </w:tbl>
    <w:p w:rsidR="00B076A1" w:rsidRDefault="00B076A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26 «Общехозяйственные расходы» применяется для обобщения информации о расходах страховой организации, связанных с заключением договоров  и прочих расходах, связанных с осуществлением операций по страхованию, сострахованию и перестрахованию, а также по управлению страховой организацией. По окончании отчетного периода дебетовое сальдо счета 26 списывается в дебет счета 99 «Прибыли и убытки».</w:t>
      </w:r>
    </w:p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учет по счету 26 ведется в разрезе расходов, связанных с заключением договоров страхования, сострахования и перестрахования, с осуществлением страховых выплат и по другим направлениям, необходимым для управления страховой организацией и составления отчетности.</w:t>
      </w:r>
    </w:p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77 «Расчеты по страхованию, сострахованию и перестрахованию» предназначен для обобщения информации о расчетах страховой организации со страхователями, перестраховщиками, перестрахователями, состраховщиками, страховыми агентами, страховыми брокерами по заключенным договорам страхования, сострахования и перестрахования, а также с территориальными фондами обязательного медицинского страхования по страховым платежам по обязательному медицинскому страхованию в соответствии с договорами о финансировании.</w:t>
      </w:r>
    </w:p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счету 77 «Расчеты по страхованию, сострахованию и перестрахованию» могут быть открыты субсчета:</w:t>
      </w:r>
    </w:p>
    <w:p w:rsidR="00B076A1" w:rsidRDefault="00B076A1" w:rsidP="00B076A1">
      <w:pPr>
        <w:pStyle w:val="ConsNormal"/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77-1 </w:t>
      </w:r>
      <w:r>
        <w:rPr>
          <w:rFonts w:ascii="Times New Roman" w:hAnsi="Times New Roman" w:cs="Times New Roman"/>
          <w:spacing w:val="-2"/>
          <w:sz w:val="28"/>
          <w:szCs w:val="28"/>
        </w:rPr>
        <w:t>«Расчеты по страховым премиям (взносам) со страхователями»;</w:t>
      </w:r>
    </w:p>
    <w:p w:rsidR="00B076A1" w:rsidRDefault="00B076A1" w:rsidP="00B076A1">
      <w:pPr>
        <w:pStyle w:val="ConsNormal"/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77-2 «Расчеты со страховщиками, участниками договора сострахования»;</w:t>
      </w:r>
    </w:p>
    <w:p w:rsidR="00B076A1" w:rsidRDefault="00B076A1" w:rsidP="00B076A1">
      <w:pPr>
        <w:pStyle w:val="ConsNormal"/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77-3 «Расчеты по договорам, принятым в перестрахование»;</w:t>
      </w:r>
    </w:p>
    <w:p w:rsidR="00B076A1" w:rsidRDefault="00B076A1" w:rsidP="00B076A1">
      <w:pPr>
        <w:pStyle w:val="ConsNormal"/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77-4 «Расчеты по договорам, переданным в перестрахование»;</w:t>
      </w:r>
    </w:p>
    <w:p w:rsidR="00B076A1" w:rsidRDefault="00B076A1" w:rsidP="00B076A1">
      <w:pPr>
        <w:pStyle w:val="ConsNormal"/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77-5 «Расчеты по страховым премиям (взносам) со страховыми агентами, страховыми брокерами»;</w:t>
      </w:r>
    </w:p>
    <w:p w:rsidR="00B076A1" w:rsidRDefault="00B076A1" w:rsidP="00B076A1">
      <w:pPr>
        <w:pStyle w:val="ConsNormal"/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77-6 «Расчеты по депо премий»;</w:t>
      </w:r>
    </w:p>
    <w:p w:rsidR="00B076A1" w:rsidRDefault="00B076A1" w:rsidP="00B076A1">
      <w:pPr>
        <w:pStyle w:val="ConsNormal"/>
        <w:widowControl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77-7 «Расчеты со страховыми агентами, страховыми брокерами по вознаграждению» и др.</w:t>
      </w:r>
    </w:p>
    <w:p w:rsidR="00B076A1" w:rsidRDefault="00B076A1">
      <w:pPr>
        <w:pStyle w:val="a2"/>
      </w:pPr>
      <w:r>
        <w:t>Счет 77 «Расчеты по страхованию, сострахованию и перестрахованию» корреспондирует со счетами: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040"/>
      </w:tblGrid>
      <w:tr w:rsidR="00B076A1">
        <w:tc>
          <w:tcPr>
            <w:tcW w:w="4248" w:type="dxa"/>
          </w:tcPr>
          <w:p w:rsidR="00B076A1" w:rsidRDefault="00B076A1">
            <w:pPr>
              <w:pStyle w:val="af4"/>
            </w:pPr>
            <w:r>
              <w:t>По дебету</w:t>
            </w:r>
          </w:p>
        </w:tc>
        <w:tc>
          <w:tcPr>
            <w:tcW w:w="5040" w:type="dxa"/>
          </w:tcPr>
          <w:p w:rsidR="00B076A1" w:rsidRDefault="00B076A1">
            <w:pPr>
              <w:pStyle w:val="af4"/>
            </w:pPr>
            <w:r>
              <w:t>По кредиту</w:t>
            </w:r>
          </w:p>
        </w:tc>
      </w:tr>
      <w:tr w:rsidR="00B076A1">
        <w:trPr>
          <w:trHeight w:val="2442"/>
        </w:trPr>
        <w:tc>
          <w:tcPr>
            <w:tcW w:w="4248" w:type="dxa"/>
          </w:tcPr>
          <w:p w:rsidR="00B076A1" w:rsidRDefault="00B076A1">
            <w:pPr>
              <w:pStyle w:val="af4"/>
            </w:pPr>
            <w:r>
              <w:t xml:space="preserve">50 Касса </w:t>
            </w:r>
          </w:p>
          <w:p w:rsidR="00B076A1" w:rsidRDefault="00B076A1">
            <w:pPr>
              <w:pStyle w:val="af4"/>
            </w:pPr>
            <w:r>
              <w:t>51 Расчетные счета</w:t>
            </w:r>
          </w:p>
          <w:p w:rsidR="00B076A1" w:rsidRDefault="00B076A1">
            <w:pPr>
              <w:pStyle w:val="af4"/>
            </w:pPr>
            <w:r>
              <w:t>52 Валютные счета</w:t>
            </w:r>
          </w:p>
          <w:p w:rsidR="00B076A1" w:rsidRDefault="00B076A1">
            <w:pPr>
              <w:pStyle w:val="af4"/>
            </w:pPr>
            <w:r>
              <w:t>77 Расчеты по страхованию, сострахованию и перестрахованию</w:t>
            </w:r>
          </w:p>
          <w:p w:rsidR="00B076A1" w:rsidRDefault="00B076A1">
            <w:pPr>
              <w:pStyle w:val="af4"/>
            </w:pPr>
            <w:r>
              <w:t>91 Прочие доходы и расходы</w:t>
            </w:r>
          </w:p>
          <w:p w:rsidR="00B076A1" w:rsidRDefault="00B076A1">
            <w:pPr>
              <w:pStyle w:val="af4"/>
            </w:pPr>
            <w:r>
              <w:t>92 Страховые премии (взносы)</w:t>
            </w:r>
          </w:p>
          <w:p w:rsidR="00B076A1" w:rsidRDefault="00B076A1">
            <w:pPr>
              <w:pStyle w:val="af4"/>
            </w:pPr>
          </w:p>
        </w:tc>
        <w:tc>
          <w:tcPr>
            <w:tcW w:w="5040" w:type="dxa"/>
          </w:tcPr>
          <w:p w:rsidR="00B076A1" w:rsidRDefault="00B076A1">
            <w:pPr>
              <w:pStyle w:val="af4"/>
            </w:pPr>
            <w:r>
              <w:t>26 Общехозяйственные расходы</w:t>
            </w:r>
          </w:p>
          <w:p w:rsidR="00B076A1" w:rsidRDefault="00B076A1">
            <w:pPr>
              <w:pStyle w:val="af4"/>
            </w:pPr>
            <w:r>
              <w:t>50 Касса</w:t>
            </w:r>
          </w:p>
          <w:p w:rsidR="00B076A1" w:rsidRDefault="00B076A1">
            <w:pPr>
              <w:pStyle w:val="af4"/>
            </w:pPr>
            <w:r>
              <w:t>51 Расчетные счета</w:t>
            </w:r>
          </w:p>
          <w:p w:rsidR="00B076A1" w:rsidRDefault="00B076A1">
            <w:pPr>
              <w:pStyle w:val="af4"/>
            </w:pPr>
            <w:r>
              <w:t>52 Валютные счета</w:t>
            </w:r>
          </w:p>
          <w:p w:rsidR="00B076A1" w:rsidRDefault="00B076A1">
            <w:pPr>
              <w:pStyle w:val="af4"/>
            </w:pPr>
            <w:r>
              <w:t>63 Резервы по сомнительным долгам</w:t>
            </w:r>
          </w:p>
          <w:p w:rsidR="00B076A1" w:rsidRDefault="00B076A1">
            <w:pPr>
              <w:pStyle w:val="af4"/>
            </w:pPr>
            <w:r>
              <w:t>77 Расчеты по страхованию, сострахованию и перестрахованию</w:t>
            </w:r>
          </w:p>
          <w:p w:rsidR="00B076A1" w:rsidRDefault="00B076A1">
            <w:pPr>
              <w:pStyle w:val="af4"/>
            </w:pPr>
            <w:r>
              <w:t>91 Прочие доходы и расходы</w:t>
            </w:r>
          </w:p>
          <w:p w:rsidR="00B076A1" w:rsidRDefault="00B076A1">
            <w:pPr>
              <w:pStyle w:val="af4"/>
            </w:pPr>
            <w:r>
              <w:t>92 Страховые премии (взносы)</w:t>
            </w:r>
          </w:p>
          <w:p w:rsidR="00B076A1" w:rsidRDefault="00B076A1">
            <w:pPr>
              <w:pStyle w:val="af4"/>
            </w:pPr>
          </w:p>
        </w:tc>
      </w:tr>
    </w:tbl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учет по счету 77 ведется по видам страхования, по страхователям, перестрахователям, перестраховщикам, страховым агентам, страховым брокерам, территориальным фондам обязательного медицинского страхования и другим направлениям, необходимым для управления страховой организацией и составления отчетности.</w:t>
      </w:r>
    </w:p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Счет 91 «Прочие доходы и расходы» предназначен для обобщения информации о прочих доходах и расходах (по инвестициям, операционных и внереализационных) отчетного периода, кроме чрезвычайных доходов и расходов. По кредиту этого счета в течение отчетного периода также находят отражение:</w:t>
      </w:r>
    </w:p>
    <w:p w:rsidR="00B076A1" w:rsidRDefault="00B076A1">
      <w:pPr>
        <w:pStyle w:val="ConsNormal"/>
        <w:widowControl/>
        <w:tabs>
          <w:tab w:val="left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корреспонденции со счетом учета расчетов по перестрахованию:</w:t>
      </w:r>
    </w:p>
    <w:p w:rsidR="00B076A1" w:rsidRDefault="00B076A1" w:rsidP="00B076A1">
      <w:pPr>
        <w:pStyle w:val="ConsNormal"/>
        <w:widowControl/>
        <w:numPr>
          <w:ilvl w:val="0"/>
          <w:numId w:val="4"/>
        </w:numPr>
        <w:tabs>
          <w:tab w:val="left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проценты, полученные (подлежащие получению) перестраховщиком по депонированным (недоперечисленным) перестрахователем премиям;</w:t>
      </w:r>
    </w:p>
    <w:p w:rsidR="00B076A1" w:rsidRDefault="00B076A1" w:rsidP="00B076A1">
      <w:pPr>
        <w:pStyle w:val="ConsNormal"/>
        <w:widowControl/>
        <w:numPr>
          <w:ilvl w:val="0"/>
          <w:numId w:val="4"/>
        </w:numPr>
        <w:tabs>
          <w:tab w:val="left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вознаграждения и тантьемы, полученные (подлежащие получению) от перестраховщика;</w:t>
      </w:r>
    </w:p>
    <w:p w:rsidR="00B076A1" w:rsidRDefault="00B076A1">
      <w:pPr>
        <w:pStyle w:val="ConsNormal"/>
        <w:widowControl/>
        <w:tabs>
          <w:tab w:val="left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pacing w:val="-2"/>
          <w:sz w:val="28"/>
          <w:szCs w:val="28"/>
        </w:rPr>
        <w:t>в корреспонденции со счетами учета расчетов или денежных средств:</w:t>
      </w:r>
    </w:p>
    <w:p w:rsidR="00B076A1" w:rsidRDefault="00B076A1" w:rsidP="00B076A1">
      <w:pPr>
        <w:pStyle w:val="ConsNormal"/>
        <w:widowControl/>
        <w:numPr>
          <w:ilvl w:val="1"/>
          <w:numId w:val="6"/>
        </w:numPr>
        <w:tabs>
          <w:tab w:val="left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поступления, связанные с оказанием другим страховым организациям услуг страхового агента, сюрвейера и аварийного комиссара;</w:t>
      </w:r>
    </w:p>
    <w:p w:rsidR="00B076A1" w:rsidRDefault="00B076A1" w:rsidP="00B076A1">
      <w:pPr>
        <w:pStyle w:val="ConsNormal"/>
        <w:widowControl/>
        <w:numPr>
          <w:ilvl w:val="0"/>
          <w:numId w:val="5"/>
        </w:numPr>
        <w:tabs>
          <w:tab w:val="left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поступления, связанные с осуществлением перешедшего к страховой организации права требования, которое страхователь (выгодоприобретатель) имеет к лицу, ответственному за убытки, возмещенные в результате страхования;</w:t>
      </w:r>
    </w:p>
    <w:p w:rsidR="00B076A1" w:rsidRDefault="00B076A1" w:rsidP="00B076A1">
      <w:pPr>
        <w:pStyle w:val="ConsNormal"/>
        <w:widowControl/>
        <w:numPr>
          <w:ilvl w:val="0"/>
          <w:numId w:val="5"/>
        </w:numPr>
        <w:tabs>
          <w:tab w:val="left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поступления, связанные с выдачей дубликатов страховых полисов по обязательному медицинскому страхованию;</w:t>
      </w:r>
    </w:p>
    <w:p w:rsidR="00B076A1" w:rsidRDefault="00B076A1" w:rsidP="00B076A1">
      <w:pPr>
        <w:pStyle w:val="ConsNormal"/>
        <w:widowControl/>
        <w:numPr>
          <w:ilvl w:val="0"/>
          <w:numId w:val="5"/>
        </w:numPr>
        <w:tabs>
          <w:tab w:val="left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поступления, связанные с возмещением расходов на оказание застрахованному медицинской помощи от юридических или физических лиц, ответственных за причиненный вред здоровью гражданина.</w:t>
      </w:r>
    </w:p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дебету счета 91 находят отражение:</w:t>
      </w:r>
    </w:p>
    <w:p w:rsidR="00B076A1" w:rsidRDefault="00B076A1">
      <w:pPr>
        <w:pStyle w:val="ConsNormal"/>
        <w:widowControl/>
        <w:tabs>
          <w:tab w:val="left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корреспонденции со счетом учета расчетов по перестрахованию:</w:t>
      </w:r>
    </w:p>
    <w:p w:rsidR="00B076A1" w:rsidRDefault="00B076A1" w:rsidP="00B076A1">
      <w:pPr>
        <w:pStyle w:val="ConsNormal"/>
        <w:widowControl/>
        <w:numPr>
          <w:ilvl w:val="0"/>
          <w:numId w:val="7"/>
        </w:numPr>
        <w:tabs>
          <w:tab w:val="left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проценты, уплачиваемые перестраховщику по депонированным премиям;</w:t>
      </w:r>
    </w:p>
    <w:p w:rsidR="00B076A1" w:rsidRDefault="00B076A1" w:rsidP="00B076A1">
      <w:pPr>
        <w:pStyle w:val="ConsNormal"/>
        <w:widowControl/>
        <w:numPr>
          <w:ilvl w:val="0"/>
          <w:numId w:val="7"/>
        </w:numPr>
        <w:tabs>
          <w:tab w:val="left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тантьемы, уплачиваемые перестрахователю;</w:t>
      </w:r>
    </w:p>
    <w:p w:rsidR="00B076A1" w:rsidRDefault="00B076A1">
      <w:pPr>
        <w:pStyle w:val="ConsNormal"/>
        <w:widowControl/>
        <w:tabs>
          <w:tab w:val="left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pacing w:val="-2"/>
          <w:sz w:val="28"/>
          <w:szCs w:val="28"/>
        </w:rPr>
        <w:t>в корреспонденции со счетами учета расчетов или денежных средств:</w:t>
      </w:r>
    </w:p>
    <w:p w:rsidR="00B076A1" w:rsidRDefault="00B076A1" w:rsidP="00B076A1">
      <w:pPr>
        <w:pStyle w:val="ConsNormal"/>
        <w:widowControl/>
        <w:numPr>
          <w:ilvl w:val="1"/>
          <w:numId w:val="7"/>
        </w:numPr>
        <w:tabs>
          <w:tab w:val="left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оказанием другим страховым организациям услуг страхового агента, сюрвейера и аварийного комиссара;</w:t>
      </w:r>
    </w:p>
    <w:p w:rsidR="00B076A1" w:rsidRDefault="00B076A1" w:rsidP="00B076A1">
      <w:pPr>
        <w:pStyle w:val="ConsNormal"/>
        <w:widowControl/>
        <w:numPr>
          <w:ilvl w:val="1"/>
          <w:numId w:val="7"/>
        </w:numPr>
        <w:tabs>
          <w:tab w:val="left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осуществлением перешедшего к страховой организации права требования, которое страхователь (выгодоприобретатель) имеет к лицу, ответственному за убытки, возмещенные в результате страхования;</w:t>
      </w:r>
    </w:p>
    <w:p w:rsidR="00B076A1" w:rsidRDefault="00B076A1">
      <w:pPr>
        <w:pStyle w:val="ConsNormal"/>
        <w:widowControl/>
        <w:tabs>
          <w:tab w:val="left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расходы, связанные с управлением инвестициями.</w:t>
      </w:r>
    </w:p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92 «Страховые премии (взносы)» предназначен для обобщения информации о начисленных в отчетном периоде страховых премиях (взносах) по договорам страхования, сострахования и перестрахования, заключенным страховой организацией, а также о причитающихся к получению от территориального фонда обязательного медицинского страхования страховых платежах по обязательному медицинскому страхованию в соответствии с заключенными страховой медицинской организацией договорами, в том числе субвенциях.</w:t>
      </w:r>
    </w:p>
    <w:p w:rsidR="00B076A1" w:rsidRDefault="00B076A1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счету 92 могут быть открыты субсчета:</w:t>
      </w:r>
    </w:p>
    <w:p w:rsidR="00B076A1" w:rsidRDefault="00B076A1" w:rsidP="00B076A1">
      <w:pPr>
        <w:pStyle w:val="ConsNormal"/>
        <w:widowControl/>
        <w:numPr>
          <w:ilvl w:val="0"/>
          <w:numId w:val="13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92-1 «Страховые премии (взносы) по договорам страхования (основным)»;</w:t>
      </w:r>
    </w:p>
    <w:p w:rsidR="00B076A1" w:rsidRDefault="00B076A1" w:rsidP="00B076A1">
      <w:pPr>
        <w:pStyle w:val="ConsNormal"/>
        <w:widowControl/>
        <w:numPr>
          <w:ilvl w:val="0"/>
          <w:numId w:val="13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92-2 «Страховые премии (взносы) по договорам сострахования»;</w:t>
      </w:r>
    </w:p>
    <w:p w:rsidR="00B076A1" w:rsidRDefault="00B076A1" w:rsidP="00B076A1">
      <w:pPr>
        <w:pStyle w:val="ConsNormal"/>
        <w:widowControl/>
        <w:numPr>
          <w:ilvl w:val="0"/>
          <w:numId w:val="13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92-3 «Страховые премии (взносы) по договорам, принятым в перестрахование»;</w:t>
      </w:r>
    </w:p>
    <w:p w:rsidR="00B076A1" w:rsidRDefault="00B076A1" w:rsidP="00B076A1">
      <w:pPr>
        <w:pStyle w:val="ConsNormal"/>
        <w:widowControl/>
        <w:numPr>
          <w:ilvl w:val="0"/>
          <w:numId w:val="13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92-4 «Страховые премии (взносы) по договорам, переданным в перестрахование» и др.</w:t>
      </w:r>
    </w:p>
    <w:p w:rsidR="00B076A1" w:rsidRDefault="00B076A1">
      <w:pPr>
        <w:pStyle w:val="a2"/>
        <w:jc w:val="center"/>
      </w:pPr>
      <w:r>
        <w:t>Счет 92 «Страховые премии (взносы)» корреспондирует со счетами: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040"/>
      </w:tblGrid>
      <w:tr w:rsidR="00B076A1">
        <w:tc>
          <w:tcPr>
            <w:tcW w:w="4248" w:type="dxa"/>
          </w:tcPr>
          <w:p w:rsidR="00B076A1" w:rsidRDefault="00B076A1">
            <w:pPr>
              <w:pStyle w:val="af4"/>
            </w:pPr>
            <w:r>
              <w:t>По дебету</w:t>
            </w:r>
          </w:p>
        </w:tc>
        <w:tc>
          <w:tcPr>
            <w:tcW w:w="5040" w:type="dxa"/>
          </w:tcPr>
          <w:p w:rsidR="00B076A1" w:rsidRDefault="00B076A1">
            <w:pPr>
              <w:pStyle w:val="af4"/>
            </w:pPr>
            <w:r>
              <w:t>По кредиту</w:t>
            </w:r>
          </w:p>
        </w:tc>
      </w:tr>
      <w:tr w:rsidR="00B076A1">
        <w:trPr>
          <w:trHeight w:val="946"/>
        </w:trPr>
        <w:tc>
          <w:tcPr>
            <w:tcW w:w="4248" w:type="dxa"/>
          </w:tcPr>
          <w:p w:rsidR="00B076A1" w:rsidRDefault="00B076A1">
            <w:pPr>
              <w:pStyle w:val="af4"/>
            </w:pPr>
            <w:r>
              <w:t>77 Расчеты по страхованию, сострахованию и перестрахованию</w:t>
            </w:r>
          </w:p>
          <w:p w:rsidR="00B076A1" w:rsidRDefault="00B076A1">
            <w:pPr>
              <w:pStyle w:val="af4"/>
            </w:pPr>
            <w:r>
              <w:t>99 Прибыли и убытки</w:t>
            </w:r>
          </w:p>
        </w:tc>
        <w:tc>
          <w:tcPr>
            <w:tcW w:w="5040" w:type="dxa"/>
          </w:tcPr>
          <w:p w:rsidR="00B076A1" w:rsidRDefault="00B076A1">
            <w:pPr>
              <w:pStyle w:val="af4"/>
            </w:pPr>
            <w:r>
              <w:t>77 Расчеты по страхованию, сострахованию и перестрахованию</w:t>
            </w:r>
          </w:p>
          <w:p w:rsidR="00B076A1" w:rsidRDefault="00B076A1">
            <w:pPr>
              <w:pStyle w:val="af4"/>
            </w:pPr>
            <w:r>
              <w:t>99 Прибыли и убытки</w:t>
            </w:r>
          </w:p>
        </w:tc>
      </w:tr>
    </w:tbl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учет по счету 92 ведется по видам страхования, в разрезе договоров перестрахования и по другим направлениям, необходимым для управления страховой организацией и составления отчетности.</w:t>
      </w:r>
    </w:p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95 «Страховые резервы» предназначен для обобщения информации о страховых резервах, образуемых страховой организацией в соответствии с действующим законодательством на основании положений о порядке формирования страховых резервов, утвержденных в установленном порядке, доли перестраховщиков в страховых резервах и результатах изменения страховых резервов. К счету 95 могут быть открыты следующие субсчета:</w:t>
      </w:r>
    </w:p>
    <w:p w:rsidR="00B076A1" w:rsidRDefault="00B076A1" w:rsidP="00B076A1">
      <w:pPr>
        <w:pStyle w:val="Con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95-1 «Резерв незаработанной премии»;</w:t>
      </w:r>
    </w:p>
    <w:p w:rsidR="00B076A1" w:rsidRDefault="00B076A1" w:rsidP="00B076A1">
      <w:pPr>
        <w:pStyle w:val="Con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95-1.1 «Резерв незаработанной премии»</w:t>
      </w:r>
    </w:p>
    <w:p w:rsidR="00B076A1" w:rsidRDefault="00B076A1" w:rsidP="00B076A1">
      <w:pPr>
        <w:pStyle w:val="Con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95-1.2 «Доля перестраховщиков в резерве незаработанной премии»;</w:t>
      </w:r>
    </w:p>
    <w:p w:rsidR="00B076A1" w:rsidRDefault="00B076A1" w:rsidP="00B076A1">
      <w:pPr>
        <w:pStyle w:val="Con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95-1.3 «Результат изменения резерва незаработанной премии»;</w:t>
      </w:r>
    </w:p>
    <w:p w:rsidR="00B076A1" w:rsidRDefault="00B076A1" w:rsidP="00B076A1">
      <w:pPr>
        <w:pStyle w:val="Con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95-1.4 «Результат изменения доли перестраховщиков в резерве незаработанной премии»;</w:t>
      </w:r>
    </w:p>
    <w:p w:rsidR="00B076A1" w:rsidRDefault="00B076A1" w:rsidP="00B076A1">
      <w:pPr>
        <w:pStyle w:val="Con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95-2 «Резерв заявленных убытков»;</w:t>
      </w:r>
    </w:p>
    <w:p w:rsidR="00B076A1" w:rsidRDefault="00B076A1" w:rsidP="00B076A1">
      <w:pPr>
        <w:pStyle w:val="Con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95-2.1 «Резерв заявленных убытков»;</w:t>
      </w:r>
    </w:p>
    <w:p w:rsidR="00B076A1" w:rsidRDefault="00B076A1" w:rsidP="00B076A1">
      <w:pPr>
        <w:pStyle w:val="Con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95-2.2 «Доля перестраховщиков в резерве заявленных убытков»;</w:t>
      </w:r>
    </w:p>
    <w:p w:rsidR="00B076A1" w:rsidRDefault="00B076A1" w:rsidP="00B076A1">
      <w:pPr>
        <w:pStyle w:val="Con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95-2.3 «Результат изменения резерва заявленных убытков»;</w:t>
      </w:r>
    </w:p>
    <w:p w:rsidR="00B076A1" w:rsidRDefault="00B076A1" w:rsidP="00B076A1">
      <w:pPr>
        <w:pStyle w:val="Con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95-2.4 «Результат изменения доли страховщиков в резерве заявленных убытков»;</w:t>
      </w:r>
    </w:p>
    <w:p w:rsidR="00B076A1" w:rsidRDefault="00B076A1" w:rsidP="00B076A1">
      <w:pPr>
        <w:pStyle w:val="Con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95-3 «Резерв произошедших, но незаявленных убытков»;</w:t>
      </w:r>
    </w:p>
    <w:p w:rsidR="00B076A1" w:rsidRDefault="00B076A1" w:rsidP="00B076A1">
      <w:pPr>
        <w:pStyle w:val="Con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95-3.1 «Резерв произошедших, но незаявленных убытков»;</w:t>
      </w:r>
    </w:p>
    <w:p w:rsidR="00B076A1" w:rsidRDefault="00B076A1" w:rsidP="00B076A1">
      <w:pPr>
        <w:pStyle w:val="Con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95-3.2 «Доля перестраховщиков в резерве произошедших, но незаявленных убытков»;</w:t>
      </w:r>
    </w:p>
    <w:p w:rsidR="00B076A1" w:rsidRDefault="00B076A1" w:rsidP="00B076A1">
      <w:pPr>
        <w:pStyle w:val="Con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95-3.3 «Результат изменения резерва произошедших, но незаявленных убытков»;</w:t>
      </w:r>
    </w:p>
    <w:p w:rsidR="00B076A1" w:rsidRDefault="00B076A1" w:rsidP="00B076A1">
      <w:pPr>
        <w:pStyle w:val="Con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95-3.4 «Результат изменения доли перестраховщиков в резерве произошедших, но не заявленных убытков»;</w:t>
      </w:r>
    </w:p>
    <w:p w:rsidR="00B076A1" w:rsidRDefault="00B076A1" w:rsidP="00B076A1">
      <w:pPr>
        <w:pStyle w:val="Con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95-4 «Резерв по страхованию жизни»;</w:t>
      </w:r>
    </w:p>
    <w:p w:rsidR="00B076A1" w:rsidRDefault="00B076A1" w:rsidP="00B076A1">
      <w:pPr>
        <w:pStyle w:val="Con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95-4.1 «Результат изменения резерва по страхованию жизни»;</w:t>
      </w:r>
    </w:p>
    <w:p w:rsidR="00B076A1" w:rsidRDefault="00B076A1" w:rsidP="00B076A1">
      <w:pPr>
        <w:pStyle w:val="Con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95-5 «Стабилизационный резерв»;</w:t>
      </w:r>
    </w:p>
    <w:p w:rsidR="00B076A1" w:rsidRDefault="00B076A1" w:rsidP="00B076A1">
      <w:pPr>
        <w:pStyle w:val="Con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95-5.1 «Результат изменения стабилизационного резерва»;</w:t>
      </w:r>
    </w:p>
    <w:p w:rsidR="00B076A1" w:rsidRDefault="00B076A1" w:rsidP="00B076A1">
      <w:pPr>
        <w:pStyle w:val="Con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95-6 «Резерв выравнивания убытков»;</w:t>
      </w:r>
    </w:p>
    <w:p w:rsidR="00B076A1" w:rsidRDefault="00B076A1" w:rsidP="00B076A1">
      <w:pPr>
        <w:pStyle w:val="Con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95-6.1 «Результат изменения резерва выравнивания убытков».</w:t>
      </w:r>
    </w:p>
    <w:p w:rsidR="00B076A1" w:rsidRDefault="00B076A1" w:rsidP="00B076A1">
      <w:pPr>
        <w:pStyle w:val="ConsNormal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субсчета по видам страховых резервов, по долям перестраховщиков в страховых резервах и по результатам их изменений.</w:t>
      </w:r>
    </w:p>
    <w:p w:rsidR="00B076A1" w:rsidRDefault="00B076A1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Страховая медицинская организация, осуществляющая обязательное медицинское страхование, также использует счет 95 для обобщения информации о состоянии и движении резервов по обязательному медицинскому страхованию (резерва оплаты медицинских услуг и запасного резерва).</w:t>
      </w:r>
    </w:p>
    <w:p w:rsidR="00B076A1" w:rsidRDefault="00B076A1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отчетного периода дебетовое или кредитовое сальдо, образовавшиеся на субсчетах по учету результатов изменений резервов по обязательному медицинскому страхованию, списываются соответственно в дебет или кредит счета 99 «Прибыли и убытки».</w:t>
      </w:r>
    </w:p>
    <w:p w:rsidR="00B076A1" w:rsidRDefault="00B076A1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учет по счету 95 «Страховые резервы» ведется по каждому виду страхования и другим направлениям, необходимым для управления страховой организацией и составления отчетности.</w:t>
      </w:r>
    </w:p>
    <w:p w:rsidR="00B076A1" w:rsidRDefault="00B076A1">
      <w:pPr>
        <w:pStyle w:val="a2"/>
      </w:pPr>
      <w:r>
        <w:t>Счет 95 «Страховые резервы» корреспондирует со счетами: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040"/>
      </w:tblGrid>
      <w:tr w:rsidR="00B076A1">
        <w:tc>
          <w:tcPr>
            <w:tcW w:w="4248" w:type="dxa"/>
          </w:tcPr>
          <w:p w:rsidR="00B076A1" w:rsidRDefault="00B076A1">
            <w:pPr>
              <w:pStyle w:val="af4"/>
            </w:pPr>
            <w:r>
              <w:t>По дебету</w:t>
            </w:r>
          </w:p>
        </w:tc>
        <w:tc>
          <w:tcPr>
            <w:tcW w:w="5040" w:type="dxa"/>
          </w:tcPr>
          <w:p w:rsidR="00B076A1" w:rsidRDefault="00B076A1">
            <w:pPr>
              <w:pStyle w:val="af4"/>
            </w:pPr>
            <w:r>
              <w:t>По кредиту</w:t>
            </w:r>
          </w:p>
        </w:tc>
      </w:tr>
      <w:tr w:rsidR="00B076A1">
        <w:trPr>
          <w:trHeight w:val="780"/>
        </w:trPr>
        <w:tc>
          <w:tcPr>
            <w:tcW w:w="4248" w:type="dxa"/>
          </w:tcPr>
          <w:p w:rsidR="00B076A1" w:rsidRDefault="00B076A1">
            <w:pPr>
              <w:pStyle w:val="af4"/>
            </w:pPr>
            <w:r>
              <w:t>95 Страховые резервы</w:t>
            </w:r>
          </w:p>
          <w:p w:rsidR="00B076A1" w:rsidRDefault="00B076A1">
            <w:pPr>
              <w:pStyle w:val="af4"/>
            </w:pPr>
            <w:r>
              <w:t>99 Прибыли и убытки</w:t>
            </w:r>
          </w:p>
          <w:p w:rsidR="00B076A1" w:rsidRDefault="00B076A1">
            <w:pPr>
              <w:pStyle w:val="af4"/>
            </w:pPr>
          </w:p>
        </w:tc>
        <w:tc>
          <w:tcPr>
            <w:tcW w:w="5040" w:type="dxa"/>
          </w:tcPr>
          <w:p w:rsidR="00B076A1" w:rsidRDefault="00B076A1">
            <w:pPr>
              <w:pStyle w:val="af4"/>
            </w:pPr>
            <w:r>
              <w:t>95 Страховые резервы</w:t>
            </w:r>
          </w:p>
          <w:p w:rsidR="00B076A1" w:rsidRDefault="00B076A1">
            <w:pPr>
              <w:pStyle w:val="af4"/>
            </w:pPr>
            <w:r>
              <w:t>99 Прибыли и убытки</w:t>
            </w:r>
          </w:p>
        </w:tc>
      </w:tr>
    </w:tbl>
    <w:p w:rsidR="00B076A1" w:rsidRDefault="00B076A1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счете 96 «Резервы предстоящих расходов» страховыми организациями также отражаются суммы отчислений от страховых премий (взносов), предназначенные для финансирования мероприятий по предупреждению несчастных случаев, утраты или повреждения застрахованного имущества.</w:t>
      </w:r>
    </w:p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 отчислений от страховых премий (взносов) на предупредительные мероприятия отражаются по кредиту счета 96 субсчет «Резерв предупредительных мероприятий» в корреспонденции с дебетом счета 99 «Прибыли и убытки».</w:t>
      </w:r>
    </w:p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средств на предупредительные мероприятия отражается по дебету субсчета счета 96 субсчет "Резерв предупредительных мероприятий» в корреспонденции со счетами учета расчетов.</w:t>
      </w:r>
    </w:p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учет по субсчету «Резерв предупредительных мероприятий» ведется по направлениям, необходимым для управления страховой организацией и составления отчетности.</w:t>
      </w:r>
    </w:p>
    <w:p w:rsidR="00B076A1" w:rsidRDefault="00B076A1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счете 99 «Прибыли и убытки» в течение отчетного года страховыми организациями отражаются:</w:t>
      </w:r>
    </w:p>
    <w:p w:rsidR="00B076A1" w:rsidRDefault="00B076A1" w:rsidP="00B076A1">
      <w:pPr>
        <w:pStyle w:val="ConsNormal"/>
        <w:widowControl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сальдо страховых премий (взносов) за отчетный период – в корреспонденции со счетом 92 «Страховые премии (взносы)»;</w:t>
      </w:r>
    </w:p>
    <w:p w:rsidR="00B076A1" w:rsidRDefault="00B076A1" w:rsidP="00B076A1">
      <w:pPr>
        <w:pStyle w:val="ConsNormal"/>
        <w:widowControl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сальдо страховых выплат за отчетный период – в корреспонденции со счетом 22 «Выплаты по договорам страхования, сострахования и перестрахования»;</w:t>
      </w:r>
    </w:p>
    <w:p w:rsidR="00B076A1" w:rsidRDefault="00B076A1" w:rsidP="00B076A1">
      <w:pPr>
        <w:pStyle w:val="ConsNormal"/>
        <w:widowControl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сальдо изменения страховых резервов и доли перестраховщиков в страховых резервах – в корреспонденции со счетом 95 «Страховые резервы»;</w:t>
      </w:r>
    </w:p>
    <w:p w:rsidR="00B076A1" w:rsidRDefault="00B076A1" w:rsidP="00B076A1">
      <w:pPr>
        <w:pStyle w:val="ConsNormal"/>
        <w:widowControl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отчисления на предупредительные мероприятия от страховых премий (взносов) – в корреспонденции со счетом 96 «Резервы предстоящих расходов», субсчет «Резерв предупредительных мероприятий»;</w:t>
      </w:r>
    </w:p>
    <w:p w:rsidR="00B076A1" w:rsidRDefault="00B076A1" w:rsidP="00B076A1">
      <w:pPr>
        <w:pStyle w:val="ConsNormal"/>
        <w:widowControl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страховой организации, связанные с заключением договоров страхования, сострахования и перестрахования, прочие расходы, связанные с осуществлением операций по страхованию, сострахованию и перестрахованию, а также по управлению страховой организацией – в корреспонденции со счетом 26 «Общехозяйственные расходы»;</w:t>
      </w:r>
    </w:p>
    <w:p w:rsidR="00B076A1" w:rsidRDefault="00B076A1" w:rsidP="00B076A1">
      <w:pPr>
        <w:pStyle w:val="ConsNormal"/>
        <w:widowControl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сальдо прочих доходов и расходов за отчетный месяц – в корреспонденции со счетом 91 «Прочие доходы и расходы»;</w:t>
      </w:r>
    </w:p>
    <w:p w:rsidR="00B076A1" w:rsidRDefault="00B076A1" w:rsidP="00B076A1">
      <w:pPr>
        <w:pStyle w:val="ConsNormal"/>
        <w:widowControl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потери, расходы и доходы в связи с чрезвычайными обстоятельствами хозяйственной деятельности (стихийное бедствие, пожар, авария, национализация и т.п.) – в корреспонденции со счетами учета материальных ценностей, расчетов с персоналом по оплате труда, денежных средств и т.п.;</w:t>
      </w:r>
    </w:p>
    <w:p w:rsidR="00B076A1" w:rsidRDefault="00B076A1" w:rsidP="00B076A1">
      <w:pPr>
        <w:pStyle w:val="ConsNormal"/>
        <w:widowControl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начисленные платежи налога на прибыль и платежи по перерасчетам по этому налогу из фактической прибыли, а также суммы причитающихся налоговых санкций – в корреспонденции со счетом 68 «Расчеты по налогам и сборам».</w:t>
      </w:r>
    </w:p>
    <w:p w:rsidR="00B076A1" w:rsidRDefault="00B076A1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применении схемы корреспонденции счета 99 «Прибыли и убытки» следует иметь в виду, что в колонку «по дебету» добавляются счета: 22 «Выплаты по договорам страхования, сострахования и перестрахования», 92 «Страховые премии (взносы)», 95 «Страховые резервы», 96 «Резервы предстоящих расходов», в колонку «по кредиту» добавляются счета: 22 «Выплаты по договорам страхования, сострахования и перестрахования», 92 «Страховые премии (взносы)», 95 «Страховые резервы». </w:t>
      </w:r>
    </w:p>
    <w:p w:rsidR="00B076A1" w:rsidRDefault="00B076A1">
      <w:pPr>
        <w:pStyle w:val="ConsNormal"/>
        <w:widowControl/>
        <w:spacing w:line="360" w:lineRule="auto"/>
        <w:jc w:val="both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Еще одна особенность ведения бухгалтерского учета страховыми организациями заключается в том, что они не применяют ПБУ 18/02. Однако страховые организации должны вести аналитический учет по видам страхования, страхователям, договорам страхования, договорам с медицинскими учреждениями, территориальным фондам обязательного медицинского страхования, страховым случаям и др. Страховые организации представляют годовую и промежуточную бухгалтерскую отчетность в налоговые органы и Федеральную службу страхового надзора, и ее территориальные органы. Страховые организации должны раздельно учитывать доходы и расходы по договорам страхования, сострахования и перестрахования</w:t>
      </w:r>
      <w:r>
        <w:rPr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z w:val="28"/>
          <w:szCs w:val="18"/>
        </w:rPr>
        <w:t>[</w:t>
      </w:r>
      <w:r>
        <w:rPr>
          <w:rFonts w:ascii="Times New Roman" w:hAnsi="Times New Roman" w:cs="Times New Roman"/>
          <w:color w:val="000000"/>
          <w:sz w:val="28"/>
          <w:szCs w:val="18"/>
          <w:lang w:val="en-US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18"/>
        </w:rPr>
        <w:instrText xml:space="preserve"> </w:instrText>
      </w:r>
      <w:r>
        <w:rPr>
          <w:rFonts w:ascii="Times New Roman" w:hAnsi="Times New Roman" w:cs="Times New Roman"/>
          <w:color w:val="000000"/>
          <w:sz w:val="28"/>
          <w:szCs w:val="18"/>
          <w:lang w:val="en-US"/>
        </w:rPr>
        <w:instrText>REF</w:instrText>
      </w:r>
      <w:r>
        <w:rPr>
          <w:rFonts w:ascii="Times New Roman" w:hAnsi="Times New Roman" w:cs="Times New Roman"/>
          <w:color w:val="000000"/>
          <w:sz w:val="28"/>
          <w:szCs w:val="18"/>
        </w:rPr>
        <w:instrText xml:space="preserve"> _</w:instrText>
      </w:r>
      <w:r>
        <w:rPr>
          <w:rFonts w:ascii="Times New Roman" w:hAnsi="Times New Roman" w:cs="Times New Roman"/>
          <w:color w:val="000000"/>
          <w:sz w:val="28"/>
          <w:szCs w:val="18"/>
          <w:lang w:val="en-US"/>
        </w:rPr>
        <w:instrText>Ref</w:instrText>
      </w:r>
      <w:r>
        <w:rPr>
          <w:rFonts w:ascii="Times New Roman" w:hAnsi="Times New Roman" w:cs="Times New Roman"/>
          <w:color w:val="000000"/>
          <w:sz w:val="28"/>
          <w:szCs w:val="18"/>
        </w:rPr>
        <w:instrText>183153288 \</w:instrText>
      </w:r>
      <w:r>
        <w:rPr>
          <w:rFonts w:ascii="Times New Roman" w:hAnsi="Times New Roman" w:cs="Times New Roman"/>
          <w:color w:val="000000"/>
          <w:sz w:val="28"/>
          <w:szCs w:val="18"/>
          <w:lang w:val="en-US"/>
        </w:rPr>
        <w:instrText>r</w:instrText>
      </w:r>
      <w:r>
        <w:rPr>
          <w:rFonts w:ascii="Times New Roman" w:hAnsi="Times New Roman" w:cs="Times New Roman"/>
          <w:color w:val="000000"/>
          <w:sz w:val="28"/>
          <w:szCs w:val="18"/>
        </w:rPr>
        <w:instrText xml:space="preserve"> \</w:instrText>
      </w:r>
      <w:r>
        <w:rPr>
          <w:rFonts w:ascii="Times New Roman" w:hAnsi="Times New Roman" w:cs="Times New Roman"/>
          <w:color w:val="000000"/>
          <w:sz w:val="28"/>
          <w:szCs w:val="18"/>
          <w:lang w:val="en-US"/>
        </w:rPr>
        <w:instrText>h</w:instrText>
      </w:r>
      <w:r>
        <w:rPr>
          <w:rFonts w:ascii="Times New Roman" w:hAnsi="Times New Roman" w:cs="Times New Roman"/>
          <w:color w:val="000000"/>
          <w:sz w:val="28"/>
          <w:szCs w:val="18"/>
        </w:rPr>
        <w:instrText xml:space="preserve"> </w:instrText>
      </w:r>
      <w:r>
        <w:rPr>
          <w:rFonts w:ascii="Times New Roman" w:hAnsi="Times New Roman" w:cs="Times New Roman"/>
          <w:color w:val="000000"/>
          <w:sz w:val="28"/>
          <w:szCs w:val="18"/>
          <w:lang w:val="en-US"/>
        </w:rPr>
      </w:r>
      <w:r>
        <w:rPr>
          <w:rFonts w:ascii="Times New Roman" w:hAnsi="Times New Roman" w:cs="Times New Roman"/>
          <w:color w:val="000000"/>
          <w:sz w:val="28"/>
          <w:szCs w:val="18"/>
          <w:lang w:val="en-US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18"/>
          <w:lang w:val="en-US"/>
        </w:rPr>
        <w:t>51</w:t>
      </w:r>
      <w:r>
        <w:rPr>
          <w:rFonts w:ascii="Times New Roman" w:hAnsi="Times New Roman" w:cs="Times New Roman"/>
          <w:color w:val="000000"/>
          <w:sz w:val="28"/>
          <w:szCs w:val="18"/>
          <w:lang w:val="en-US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18"/>
          <w:lang w:val="en-US"/>
        </w:rPr>
        <w:t>]</w:t>
      </w:r>
      <w:r>
        <w:rPr>
          <w:color w:val="000000"/>
          <w:sz w:val="18"/>
          <w:szCs w:val="18"/>
        </w:rPr>
        <w:t xml:space="preserve"> </w:t>
      </w:r>
    </w:p>
    <w:p w:rsidR="00B076A1" w:rsidRDefault="00B076A1"/>
    <w:p w:rsidR="00B076A1" w:rsidRDefault="00B076A1">
      <w:pPr>
        <w:pStyle w:val="ae"/>
      </w:pPr>
      <w:bookmarkStart w:id="4" w:name="_Toc135123294"/>
      <w:bookmarkStart w:id="5" w:name="_Toc135123657"/>
      <w:bookmarkStart w:id="6" w:name="_Toc135123739"/>
      <w:bookmarkStart w:id="7" w:name="_Toc185267993"/>
      <w:bookmarkStart w:id="8" w:name="_Ref183175741"/>
      <w:bookmarkEnd w:id="4"/>
      <w:bookmarkEnd w:id="5"/>
      <w:bookmarkEnd w:id="6"/>
      <w:r>
        <w:t>Список использованных источников</w:t>
      </w:r>
      <w:bookmarkEnd w:id="7"/>
    </w:p>
    <w:p w:rsidR="00B076A1" w:rsidRDefault="00B076A1">
      <w:pPr>
        <w:pStyle w:val="a5"/>
      </w:pPr>
      <w:bookmarkStart w:id="9" w:name="_Ref20766839"/>
      <w:r>
        <w:t>Налоговый кодекс Российской Федерации [Электронный ресурс] : (часть первая) от 31.07.1998 N 146-ФЗ : (принят ГД ФС РФ 16.07.1998) : (ред. от 02.02.2006) / ЗАО «Консультант Плюс» . – ИБ СПС Консультант Плюс</w:t>
      </w:r>
    </w:p>
    <w:p w:rsidR="00B076A1" w:rsidRDefault="00B076A1">
      <w:pPr>
        <w:pStyle w:val="a5"/>
      </w:pPr>
      <w:r>
        <w:t>Федеральный закон №129-ФЗ «О бухгалтерском учете» от 21.11. 1996г. (с изменениями на 03.11.2006г.)</w:t>
      </w:r>
      <w:bookmarkEnd w:id="9"/>
    </w:p>
    <w:p w:rsidR="00B076A1" w:rsidRDefault="00B076A1">
      <w:pPr>
        <w:pStyle w:val="a5"/>
      </w:pPr>
      <w:r>
        <w:t>Приказ Минфина России от 04.09.2001г. №69н «Об особенностях применения страховыми организациями Плана счетов бухгалтерского учета финансово-хозяйственной деятельности организаций и Инструкции по его применению».</w:t>
      </w:r>
    </w:p>
    <w:p w:rsidR="00B076A1" w:rsidRDefault="00B076A1">
      <w:pPr>
        <w:pStyle w:val="a5"/>
      </w:pPr>
      <w:bookmarkStart w:id="10" w:name="_Ref183155541"/>
      <w:r>
        <w:t>Приказ Минфина России от 08.12.2003г. №113н «О формах бухгалтерской отчетности, представляемой в порядке надзора» (с изменениями на 09.04.2007г.)</w:t>
      </w:r>
      <w:bookmarkEnd w:id="10"/>
    </w:p>
    <w:p w:rsidR="00B076A1" w:rsidRDefault="00B076A1">
      <w:pPr>
        <w:pStyle w:val="a5"/>
      </w:pPr>
      <w:r>
        <w:t>Приказ Минфина России от 21.02.1997г. №17 «Об особенностях публикации годовой бухгалтерской отчетности страховыми организациями».</w:t>
      </w:r>
    </w:p>
    <w:p w:rsidR="00B076A1" w:rsidRDefault="00B076A1">
      <w:pPr>
        <w:pStyle w:val="a5"/>
      </w:pPr>
      <w:r>
        <w:t>Письмо Минфина России от 14.08.2007г. № 03-0306/313 «О налогообложении и бухгалтерском учете страховых организаций».</w:t>
      </w:r>
    </w:p>
    <w:p w:rsidR="00B076A1" w:rsidRDefault="00B076A1">
      <w:pPr>
        <w:pStyle w:val="a5"/>
      </w:pPr>
      <w:r>
        <w:t>Письмо Минфина России от 16.09.2005г. №03-03-04/3/8 «О вопросах бухгалтерского учета и налогообложения страховых организаций».</w:t>
      </w:r>
    </w:p>
    <w:p w:rsidR="00B076A1" w:rsidRDefault="00B076A1">
      <w:pPr>
        <w:pStyle w:val="a5"/>
      </w:pPr>
      <w:bookmarkStart w:id="11" w:name="_Ref183265725"/>
      <w:r>
        <w:t>Письмо Департамента страхового надзора Минфина России от 17.03.2000г. № 24-07/06 «О составе типовых форм годовой бухгалтерской отчетности, представляемых страховыми организациями в порядке надзора».</w:t>
      </w:r>
      <w:bookmarkEnd w:id="11"/>
    </w:p>
    <w:p w:rsidR="00B076A1" w:rsidRDefault="00B076A1">
      <w:pPr>
        <w:pStyle w:val="a5"/>
      </w:pPr>
      <w:r>
        <w:t>Положение о порядке расчета страховщиками нормативного соотношения активов и принятых ими страховых обязательств / утверждено Приказом Минфина РФ №90н от 02.11.2001г., с изменениями и дополнениями.</w:t>
      </w:r>
    </w:p>
    <w:p w:rsidR="00B076A1" w:rsidRDefault="00B076A1">
      <w:pPr>
        <w:pStyle w:val="a5"/>
      </w:pPr>
      <w:r>
        <w:t>Правила формирования страховых резервов по страхованию иному, чем страхование жизни/ утв. Приказом Минфина РФ от 11.06.2002г.</w:t>
      </w:r>
    </w:p>
    <w:p w:rsidR="00B076A1" w:rsidRDefault="00B076A1">
      <w:pPr>
        <w:pStyle w:val="a5"/>
      </w:pPr>
      <w:r>
        <w:t>Правила размещения страховщиками средств страховых резервов/ утв. Приказом Минфина РФ № 100н  от 08.08.2005г</w:t>
      </w:r>
    </w:p>
    <w:p w:rsidR="00B076A1" w:rsidRDefault="00B076A1">
      <w:pPr>
        <w:pStyle w:val="a5"/>
      </w:pPr>
      <w:r>
        <w:t>Аудиторская деятельность в страховании: учебное пособие/ под ред. Шеремета А.Д. – М.: ИНФРА-М, 1997г.</w:t>
      </w:r>
    </w:p>
    <w:p w:rsidR="00B076A1" w:rsidRDefault="00B076A1">
      <w:pPr>
        <w:pStyle w:val="a5"/>
      </w:pPr>
      <w:r>
        <w:t>Аудит  страховых компаний/ Алекринский А.Л., Архангельский Т.А., Асабина С.Н. – М.: Финстатинформ, 1995г.</w:t>
      </w:r>
    </w:p>
    <w:p w:rsidR="00B076A1" w:rsidRDefault="00B076A1">
      <w:pPr>
        <w:pStyle w:val="a5"/>
      </w:pPr>
      <w:r>
        <w:t>Страховой рынок России и малое предпринимательство: Учебник/Архангельский В.Д., Кузнецова Н.П.. – СПб.,1995г.</w:t>
      </w:r>
    </w:p>
    <w:p w:rsidR="00B076A1" w:rsidRDefault="00B076A1">
      <w:pPr>
        <w:pStyle w:val="a5"/>
      </w:pPr>
      <w:bookmarkStart w:id="12" w:name="_Ref20767052"/>
      <w:r>
        <w:t xml:space="preserve">Финансовый анализ: методы и процедуры: учебник/ Ковалев В.В. – М.: изд. Финансы и статистика, 2002г. </w:t>
      </w:r>
      <w:bookmarkEnd w:id="12"/>
    </w:p>
    <w:p w:rsidR="00B076A1" w:rsidRDefault="00B076A1">
      <w:pPr>
        <w:pStyle w:val="a5"/>
      </w:pPr>
      <w:r>
        <w:t>Бухгалтерский учет в страховых компаниях: учебное пособие/  Вещунова Н.Л.-М.: Проспект, 2007г.</w:t>
      </w:r>
    </w:p>
    <w:p w:rsidR="00B076A1" w:rsidRDefault="00B076A1">
      <w:pPr>
        <w:pStyle w:val="a5"/>
      </w:pPr>
      <w:r>
        <w:t>Особенности бухгалтерского учета в страховых компаниях/ Кузьминов Н.Н. - и</w:t>
      </w:r>
      <w:r>
        <w:rPr>
          <w:szCs w:val="20"/>
        </w:rPr>
        <w:t>зд. второе, доп. и переработанное. – М.:АНКИЛ, 2000г.</w:t>
      </w:r>
    </w:p>
    <w:p w:rsidR="00B076A1" w:rsidRDefault="00B076A1">
      <w:pPr>
        <w:pStyle w:val="a5"/>
      </w:pPr>
      <w:bookmarkStart w:id="13" w:name="_Ref183155398"/>
      <w:r>
        <w:t>Страхование: учебник/под ред. Т.А.Федоровой – 2-ое издание переработанное и дополненное –М.: изд. ЭКОНОМИСТ, 2004г.</w:t>
      </w:r>
      <w:bookmarkEnd w:id="13"/>
    </w:p>
    <w:p w:rsidR="00B076A1" w:rsidRDefault="00B076A1">
      <w:pPr>
        <w:pStyle w:val="a5"/>
      </w:pPr>
      <w:r>
        <w:t>Особенности бухгалтерского учета в коммерческих страховых организациях/ Каспина Т.И., Логвинова И.Л.- М.:Маркет ДС, 2007г.</w:t>
      </w:r>
    </w:p>
    <w:p w:rsidR="00B076A1" w:rsidRDefault="00B076A1">
      <w:pPr>
        <w:pStyle w:val="a5"/>
      </w:pPr>
      <w:r>
        <w:t>Основы страхования: учебник/ Гвозденко А.А.- М.: изд. Финансы и статистика, 2006г.</w:t>
      </w:r>
    </w:p>
    <w:p w:rsidR="00B076A1" w:rsidRDefault="00B076A1">
      <w:pPr>
        <w:pStyle w:val="a5"/>
      </w:pPr>
      <w:r>
        <w:t>Бухгалтерский учет в страховых компаниях: Учебное пособие/ Бургонова Г. Н., Васина И. Г.  – СПб.: СПбГИЭА, 1999г.</w:t>
      </w:r>
    </w:p>
    <w:p w:rsidR="00B076A1" w:rsidRDefault="00B076A1">
      <w:pPr>
        <w:pStyle w:val="a5"/>
      </w:pPr>
      <w:bookmarkStart w:id="14" w:name="_Ref183153243"/>
      <w:r>
        <w:t>Бухгалтерский учет в страховых компаниях: Учебно-практ. Пособие/ Фомина Л.Ф. -СПб.: Издательский торговый дом «Герда»,2000</w:t>
      </w:r>
      <w:bookmarkStart w:id="15" w:name="_Ref183156130"/>
      <w:bookmarkEnd w:id="14"/>
      <w:r>
        <w:t>г.</w:t>
      </w:r>
    </w:p>
    <w:p w:rsidR="00B076A1" w:rsidRDefault="00B076A1">
      <w:pPr>
        <w:pStyle w:val="a5"/>
      </w:pPr>
      <w:r>
        <w:t>Бухгалтерский учет в страховых организациях: Учебник для ВУЗов/ Дубовина Т.А. - М.: Юнити-Дана, 2000г.</w:t>
      </w:r>
      <w:bookmarkEnd w:id="15"/>
    </w:p>
    <w:p w:rsidR="00B076A1" w:rsidRDefault="00B076A1">
      <w:pPr>
        <w:pStyle w:val="a5"/>
      </w:pPr>
      <w:bookmarkStart w:id="16" w:name="_Ref183589555"/>
      <w:r>
        <w:t>Финансовый анализ в вопросах и ответах: учебное пособие/Миллер Н.Н.- М.: ТК Велби, изд. Проспект, 2005г.</w:t>
      </w:r>
      <w:bookmarkEnd w:id="16"/>
    </w:p>
    <w:p w:rsidR="00B076A1" w:rsidRDefault="00B076A1">
      <w:pPr>
        <w:pStyle w:val="a5"/>
      </w:pPr>
      <w:r>
        <w:t>Аудит: общий, банковский, страховой: учебник/ Суйц В.П., Ахматбеков А.Н., Дубровина Т.А. – М.: ИНФРА-М,2001г.</w:t>
      </w:r>
    </w:p>
    <w:p w:rsidR="00B076A1" w:rsidRDefault="00B076A1">
      <w:pPr>
        <w:pStyle w:val="a5"/>
      </w:pPr>
      <w:r>
        <w:t>Методика  финансового анализа: учебник/ Шеремет А.Д., Негашев Е.В.- М.: ИНФРА-М, 1999г.</w:t>
      </w:r>
    </w:p>
    <w:p w:rsidR="00B076A1" w:rsidRDefault="00B076A1">
      <w:pPr>
        <w:pStyle w:val="a5"/>
      </w:pPr>
      <w:r>
        <w:t>Основы страховой деятельности / Грищенко Н.Н. - М.: изд. Финансы и статистика, 2006г.</w:t>
      </w:r>
    </w:p>
    <w:p w:rsidR="00B076A1" w:rsidRDefault="00B076A1">
      <w:pPr>
        <w:pStyle w:val="a5"/>
      </w:pPr>
      <w:r>
        <w:t>Страховое дело: учебник/ под ред. Рейтмана Л.И. – М.: Рость, 1992г.</w:t>
      </w:r>
    </w:p>
    <w:p w:rsidR="00B076A1" w:rsidRDefault="00B076A1">
      <w:pPr>
        <w:pStyle w:val="a5"/>
      </w:pPr>
      <w:bookmarkStart w:id="17" w:name="_Ref183590965"/>
      <w:r>
        <w:t>Финансовый анализ: учебное пособие/ Маркарьян Э.А., Герасименко Г.П., Маркарьян С.Э.- М.: ИД ФБК-ПРЕСС, 2002г.</w:t>
      </w:r>
      <w:bookmarkEnd w:id="17"/>
    </w:p>
    <w:p w:rsidR="00B076A1" w:rsidRDefault="00B076A1">
      <w:pPr>
        <w:pStyle w:val="a5"/>
      </w:pPr>
      <w:r>
        <w:t>Оценка надежности страховых компаний/ Тихонов С. – Экономика и жизнь, №3, 1996г.</w:t>
      </w:r>
    </w:p>
    <w:p w:rsidR="00B076A1" w:rsidRDefault="00B076A1">
      <w:pPr>
        <w:pStyle w:val="a5"/>
      </w:pPr>
      <w:r>
        <w:t>Отечественная и зарубежная теория и практика анализа финансового состояния страховщиков/ Фадейкина Н.В. – Новосибирск: Аваль: Сибирская финансовая школа, №4,5, 1996г.</w:t>
      </w:r>
    </w:p>
    <w:p w:rsidR="00B076A1" w:rsidRDefault="00B076A1">
      <w:pPr>
        <w:pStyle w:val="a5"/>
      </w:pPr>
      <w:r>
        <w:t>Анализ и управление финансовой устойчивостью предприятия: учебно-практическое пособие/ Грачев А.В.-М.:Финпресс, 2002г.</w:t>
      </w:r>
    </w:p>
    <w:p w:rsidR="00B076A1" w:rsidRDefault="00B076A1">
      <w:pPr>
        <w:pStyle w:val="a5"/>
      </w:pPr>
      <w:r>
        <w:t>Основы страховой деятельности / под ред. Федоровой Т.А. – М.: БЭК, 2002г.</w:t>
      </w:r>
    </w:p>
    <w:p w:rsidR="00B076A1" w:rsidRDefault="00B076A1">
      <w:pPr>
        <w:pStyle w:val="a5"/>
      </w:pPr>
      <w:r>
        <w:t>Финансовый анализ страховых организаций: учебное пособие/ Куликов С.В. – Новосибирск: изд. Сибирское соглашение,2006г.</w:t>
      </w:r>
    </w:p>
    <w:p w:rsidR="00B076A1" w:rsidRDefault="00B076A1">
      <w:pPr>
        <w:pStyle w:val="a5"/>
      </w:pPr>
      <w:r>
        <w:t>Платежеспособность страховой организации: учебник/Орланюк-Малицкая Л.А.-М.:ИЦ СО АНКИЛ,1993г.</w:t>
      </w:r>
    </w:p>
    <w:p w:rsidR="00B076A1" w:rsidRDefault="00B076A1">
      <w:pPr>
        <w:pStyle w:val="a5"/>
      </w:pPr>
      <w:r>
        <w:t>Анализ хозяйственного состояния предприятия/ Ковалев А.Н., Привалов В.П.- М.: Центр экономики и маркетинга, 1999г.</w:t>
      </w:r>
    </w:p>
    <w:p w:rsidR="00B076A1" w:rsidRDefault="00B076A1">
      <w:pPr>
        <w:pStyle w:val="a5"/>
      </w:pPr>
      <w:bookmarkStart w:id="18" w:name="_Ref183592031"/>
      <w:r>
        <w:t>Финансовый анализ страховых организаций: учебное пособие/ Куликов С.В. – Новосибирск: изд. Сибирское соглашение,2006г..</w:t>
      </w:r>
      <w:bookmarkEnd w:id="18"/>
    </w:p>
    <w:p w:rsidR="00B076A1" w:rsidRDefault="00B076A1">
      <w:pPr>
        <w:pStyle w:val="a5"/>
      </w:pPr>
      <w:bookmarkStart w:id="19" w:name="_Ref20962903"/>
      <w:r>
        <w:t>Основы финансового менеджмента: учебное пособие/Балабанов И.Т.-3-е издание, переработанное и дополненное - М.: Финансы и статистика, 2000г.</w:t>
      </w:r>
      <w:bookmarkEnd w:id="19"/>
    </w:p>
    <w:p w:rsidR="00B076A1" w:rsidRDefault="00B076A1">
      <w:pPr>
        <w:pStyle w:val="a5"/>
      </w:pPr>
      <w:r>
        <w:t>Финансовый анализ: управление капиталом. Выбор инвестиций. Анализ отчетности/ Ковалев В.В.- 2ое издание, перераб. и доп.- М.:Финансы и статистика, 1997г.</w:t>
      </w:r>
    </w:p>
    <w:p w:rsidR="00B076A1" w:rsidRDefault="00B076A1">
      <w:pPr>
        <w:pStyle w:val="a5"/>
      </w:pPr>
      <w:r>
        <w:t>Курс финансовых вычислений / Ковалев В.В., Уланов В.А.-М.: Финансы и статистика, 1999г.</w:t>
      </w:r>
    </w:p>
    <w:p w:rsidR="00B076A1" w:rsidRDefault="00B076A1">
      <w:pPr>
        <w:pStyle w:val="a5"/>
      </w:pPr>
      <w:r>
        <w:t>Управление финансами предприятия/ Войтко Т.Г., Казачок И.В. – Новосибирск, 1992г.</w:t>
      </w:r>
    </w:p>
    <w:p w:rsidR="00B076A1" w:rsidRDefault="00B076A1">
      <w:pPr>
        <w:pStyle w:val="a5"/>
      </w:pPr>
      <w:r>
        <w:t xml:space="preserve">Основные финансовые показатели страховой компании/ Гомеля В. – Финансовая газета, №12, 1999г. </w:t>
      </w:r>
    </w:p>
    <w:p w:rsidR="00B076A1" w:rsidRDefault="00B076A1">
      <w:pPr>
        <w:pStyle w:val="a5"/>
      </w:pPr>
      <w:r>
        <w:t>Страхование: бухгалтерские и налоговые аспекты/ Рябенькая Т.Ю.- издательство «Горячая линия бухгалтера», 2005г.</w:t>
      </w:r>
    </w:p>
    <w:p w:rsidR="00B076A1" w:rsidRDefault="00B076A1">
      <w:pPr>
        <w:pStyle w:val="a5"/>
      </w:pPr>
      <w:r>
        <w:t>Финансовый менеджмент страховщика: учебное пособие для вузов/ Юрченко Л.А.-М.: ЮНИТИ-ДАНА, 2001г.</w:t>
      </w:r>
    </w:p>
    <w:p w:rsidR="00B076A1" w:rsidRDefault="00B076A1">
      <w:pPr>
        <w:pStyle w:val="a5"/>
      </w:pPr>
      <w:r>
        <w:t>Текущая финансовая оценка страховщика/ Масленченков Ю., Команов В.- Финансовый бизнес, №8, 1996г.</w:t>
      </w:r>
    </w:p>
    <w:p w:rsidR="00B076A1" w:rsidRDefault="00B076A1">
      <w:pPr>
        <w:pStyle w:val="a5"/>
      </w:pPr>
      <w:r>
        <w:t>Страховой рынок России и малое предпринимательство: Учебник/Архангельский В.Д., Кузнецова Н.П.. – СПб.,1995г.</w:t>
      </w:r>
    </w:p>
    <w:p w:rsidR="00B076A1" w:rsidRDefault="00B076A1">
      <w:pPr>
        <w:pStyle w:val="a5"/>
      </w:pPr>
      <w:r>
        <w:t>Страхование: учебное пособие / Сплетухов Ю.А. - М.: ИНФРА-М, 2006г.</w:t>
      </w:r>
    </w:p>
    <w:p w:rsidR="00B076A1" w:rsidRDefault="00B076A1">
      <w:pPr>
        <w:pStyle w:val="a5"/>
      </w:pPr>
      <w:r>
        <w:t xml:space="preserve">Финансовый анализ: методы и процедуры: учебник/ Ковалев В.В. – М.: изд. Финансы и статистика, 2002г. </w:t>
      </w:r>
    </w:p>
    <w:p w:rsidR="00B076A1" w:rsidRDefault="00B076A1">
      <w:pPr>
        <w:pStyle w:val="a5"/>
      </w:pPr>
      <w:r>
        <w:t>Финансовая бухгалтерия/ Ревеко П., Вольфман Б., Кисилева Т. – М.: Инфо–софт, 1994г.</w:t>
      </w:r>
    </w:p>
    <w:p w:rsidR="00B076A1" w:rsidRDefault="00B076A1">
      <w:pPr>
        <w:pStyle w:val="a5"/>
      </w:pPr>
      <w:bookmarkStart w:id="20" w:name="_Ref184123935"/>
      <w:r>
        <w:t>Платежеспособность страховой организации: учебник/Орланюк-Малицкая Л.А.-М.:ИЦ СО АНКИЛ,1993г.</w:t>
      </w:r>
      <w:bookmarkEnd w:id="20"/>
    </w:p>
    <w:p w:rsidR="00B076A1" w:rsidRDefault="00B076A1">
      <w:pPr>
        <w:pStyle w:val="a5"/>
      </w:pPr>
      <w:bookmarkStart w:id="21" w:name="_Ref183153288"/>
      <w:r>
        <w:t>«Бухгалтерская отчетность страховых организаций»: статья/ Ф.Н. Филина – журнал [электронный ресурс] «Российский бухгалтер»</w:t>
      </w:r>
      <w:bookmarkEnd w:id="21"/>
      <w:r>
        <w:t>, 25.04.2007г.</w:t>
      </w:r>
    </w:p>
    <w:p w:rsidR="00B076A1" w:rsidRDefault="00B076A1">
      <w:pPr>
        <w:pStyle w:val="a5"/>
        <w:numPr>
          <w:ilvl w:val="0"/>
          <w:numId w:val="0"/>
        </w:numPr>
        <w:ind w:left="709"/>
      </w:pPr>
    </w:p>
    <w:p w:rsidR="00B076A1" w:rsidRDefault="00B076A1">
      <w:pPr>
        <w:pStyle w:val="a5"/>
        <w:numPr>
          <w:ilvl w:val="0"/>
          <w:numId w:val="0"/>
        </w:numPr>
        <w:ind w:left="709"/>
      </w:pPr>
    </w:p>
    <w:p w:rsidR="00B076A1" w:rsidRDefault="00B076A1">
      <w:pPr>
        <w:pStyle w:val="a5"/>
        <w:numPr>
          <w:ilvl w:val="0"/>
          <w:numId w:val="0"/>
        </w:numPr>
        <w:ind w:left="709"/>
      </w:pPr>
    </w:p>
    <w:p w:rsidR="00B076A1" w:rsidRDefault="00B076A1">
      <w:bookmarkStart w:id="22" w:name="_Toc185267994"/>
      <w:bookmarkStart w:id="23" w:name="_GoBack"/>
      <w:bookmarkEnd w:id="8"/>
      <w:bookmarkEnd w:id="22"/>
      <w:bookmarkEnd w:id="23"/>
    </w:p>
    <w:sectPr w:rsidR="00B076A1">
      <w:headerReference w:type="even" r:id="rId7"/>
      <w:head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6A1" w:rsidRDefault="00B076A1">
      <w:r>
        <w:separator/>
      </w:r>
    </w:p>
  </w:endnote>
  <w:endnote w:type="continuationSeparator" w:id="0">
    <w:p w:rsidR="00B076A1" w:rsidRDefault="00B0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6A1" w:rsidRDefault="00B076A1">
      <w:r>
        <w:separator/>
      </w:r>
    </w:p>
  </w:footnote>
  <w:footnote w:type="continuationSeparator" w:id="0">
    <w:p w:rsidR="00B076A1" w:rsidRDefault="00B07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A1" w:rsidRDefault="00B076A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076A1" w:rsidRDefault="00B076A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A1" w:rsidRDefault="00B076A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C4F64">
      <w:rPr>
        <w:rStyle w:val="ad"/>
        <w:noProof/>
      </w:rPr>
      <w:t>2</w:t>
    </w:r>
    <w:r>
      <w:rPr>
        <w:rStyle w:val="ad"/>
      </w:rPr>
      <w:fldChar w:fldCharType="end"/>
    </w:r>
  </w:p>
  <w:p w:rsidR="00B076A1" w:rsidRDefault="00B076A1">
    <w:pPr>
      <w:pStyle w:val="aa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A1" w:rsidRDefault="00B076A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51407"/>
    <w:multiLevelType w:val="singleLevel"/>
    <w:tmpl w:val="18EC6D42"/>
    <w:lvl w:ilvl="0">
      <w:start w:val="1"/>
      <w:numFmt w:val="bullet"/>
      <w:pStyle w:val="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">
    <w:nsid w:val="0E5875C9"/>
    <w:multiLevelType w:val="hybridMultilevel"/>
    <w:tmpl w:val="AB92A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C535E3"/>
    <w:multiLevelType w:val="hybridMultilevel"/>
    <w:tmpl w:val="65F4B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7A2254">
      <w:start w:val="1"/>
      <w:numFmt w:val="bullet"/>
      <w:lvlText w:val="-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B1004F"/>
    <w:multiLevelType w:val="hybridMultilevel"/>
    <w:tmpl w:val="FDB4783C"/>
    <w:lvl w:ilvl="0" w:tplc="7C8CA794">
      <w:start w:val="1"/>
      <w:numFmt w:val="bullet"/>
      <w:lvlText w:val="-"/>
      <w:lvlJc w:val="left"/>
      <w:pPr>
        <w:tabs>
          <w:tab w:val="num" w:pos="1559"/>
        </w:tabs>
        <w:ind w:left="1559" w:hanging="425"/>
      </w:pPr>
      <w:rPr>
        <w:rFonts w:ascii="Times New Roman" w:hAnsi="Times New Roman" w:cs="Times New Roman" w:hint="default"/>
      </w:rPr>
    </w:lvl>
    <w:lvl w:ilvl="1" w:tplc="5C54717C">
      <w:start w:val="1"/>
      <w:numFmt w:val="bullet"/>
      <w:lvlText w:val="-"/>
      <w:lvlJc w:val="left"/>
      <w:pPr>
        <w:tabs>
          <w:tab w:val="num" w:pos="1559"/>
        </w:tabs>
        <w:ind w:left="1559" w:hanging="425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1DF2917"/>
    <w:multiLevelType w:val="hybridMultilevel"/>
    <w:tmpl w:val="BB2E8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3C8B9A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37F714F"/>
    <w:multiLevelType w:val="hybridMultilevel"/>
    <w:tmpl w:val="35520C06"/>
    <w:lvl w:ilvl="0" w:tplc="ACEA1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CCCDFA">
      <w:numFmt w:val="none"/>
      <w:lvlText w:val=""/>
      <w:lvlJc w:val="left"/>
      <w:pPr>
        <w:tabs>
          <w:tab w:val="num" w:pos="360"/>
        </w:tabs>
      </w:pPr>
    </w:lvl>
    <w:lvl w:ilvl="2" w:tplc="6966D0B0">
      <w:numFmt w:val="none"/>
      <w:lvlText w:val=""/>
      <w:lvlJc w:val="left"/>
      <w:pPr>
        <w:tabs>
          <w:tab w:val="num" w:pos="360"/>
        </w:tabs>
      </w:pPr>
    </w:lvl>
    <w:lvl w:ilvl="3" w:tplc="94783566">
      <w:numFmt w:val="none"/>
      <w:lvlText w:val=""/>
      <w:lvlJc w:val="left"/>
      <w:pPr>
        <w:tabs>
          <w:tab w:val="num" w:pos="360"/>
        </w:tabs>
      </w:pPr>
    </w:lvl>
    <w:lvl w:ilvl="4" w:tplc="D242B5C2">
      <w:numFmt w:val="none"/>
      <w:lvlText w:val=""/>
      <w:lvlJc w:val="left"/>
      <w:pPr>
        <w:tabs>
          <w:tab w:val="num" w:pos="360"/>
        </w:tabs>
      </w:pPr>
    </w:lvl>
    <w:lvl w:ilvl="5" w:tplc="74881F4C">
      <w:numFmt w:val="none"/>
      <w:lvlText w:val=""/>
      <w:lvlJc w:val="left"/>
      <w:pPr>
        <w:tabs>
          <w:tab w:val="num" w:pos="360"/>
        </w:tabs>
      </w:pPr>
    </w:lvl>
    <w:lvl w:ilvl="6" w:tplc="28D27A7A">
      <w:numFmt w:val="none"/>
      <w:lvlText w:val=""/>
      <w:lvlJc w:val="left"/>
      <w:pPr>
        <w:tabs>
          <w:tab w:val="num" w:pos="360"/>
        </w:tabs>
      </w:pPr>
    </w:lvl>
    <w:lvl w:ilvl="7" w:tplc="04F69B2A">
      <w:numFmt w:val="none"/>
      <w:lvlText w:val=""/>
      <w:lvlJc w:val="left"/>
      <w:pPr>
        <w:tabs>
          <w:tab w:val="num" w:pos="360"/>
        </w:tabs>
      </w:pPr>
    </w:lvl>
    <w:lvl w:ilvl="8" w:tplc="11AA05D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31B3D33"/>
    <w:multiLevelType w:val="hybridMultilevel"/>
    <w:tmpl w:val="2CB6A3EA"/>
    <w:lvl w:ilvl="0" w:tplc="E8EAD5E6">
      <w:start w:val="1"/>
      <w:numFmt w:val="bullet"/>
      <w:lvlText w:val="-"/>
      <w:lvlJc w:val="left"/>
      <w:pPr>
        <w:tabs>
          <w:tab w:val="num" w:pos="1559"/>
        </w:tabs>
        <w:ind w:left="1559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4E6F9E"/>
    <w:multiLevelType w:val="hybridMultilevel"/>
    <w:tmpl w:val="A59CD470"/>
    <w:lvl w:ilvl="0" w:tplc="2AF2FA92">
      <w:start w:val="1"/>
      <w:numFmt w:val="bullet"/>
      <w:lvlText w:val="-"/>
      <w:lvlJc w:val="left"/>
      <w:pPr>
        <w:tabs>
          <w:tab w:val="num" w:pos="1559"/>
        </w:tabs>
        <w:ind w:left="1559" w:hanging="42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340055"/>
    <w:multiLevelType w:val="multilevel"/>
    <w:tmpl w:val="FC1661C0"/>
    <w:name w:val="формулы"/>
    <w:lvl w:ilvl="0">
      <w:start w:val="1"/>
      <w:numFmt w:val="decimal"/>
      <w:pStyle w:val="1"/>
      <w:suff w:val="space"/>
      <w:lvlText w:val="%1"/>
      <w:lvlJc w:val="left"/>
      <w:pPr>
        <w:ind w:left="1276" w:hanging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276" w:hanging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Restart w:val="0"/>
      <w:pStyle w:val="a0"/>
      <w:suff w:val="space"/>
      <w:lvlText w:val="(%6)"/>
      <w:lvlJc w:val="right"/>
      <w:pPr>
        <w:ind w:left="709" w:firstLine="0"/>
      </w:pPr>
      <w:rPr>
        <w:rFonts w:hint="default"/>
      </w:rPr>
    </w:lvl>
    <w:lvl w:ilvl="6">
      <w:start w:val="1"/>
      <w:numFmt w:val="decimal"/>
      <w:lvlRestart w:val="0"/>
      <w:pStyle w:val="a1"/>
      <w:suff w:val="space"/>
      <w:lvlText w:val="Рисунок 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Restart w:val="0"/>
      <w:pStyle w:val="a2"/>
      <w:suff w:val="space"/>
      <w:lvlText w:val="Таблица %8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Restart w:val="0"/>
      <w:pStyle w:val="a3"/>
      <w:suff w:val="space"/>
      <w:lvlText w:val="Продолжение таблицы %8"/>
      <w:lvlJc w:val="left"/>
      <w:pPr>
        <w:ind w:left="284" w:hanging="284"/>
      </w:pPr>
      <w:rPr>
        <w:rFonts w:ascii="Arial" w:hAnsi="Arial" w:hint="default"/>
        <w:sz w:val="26"/>
        <w:szCs w:val="26"/>
      </w:rPr>
    </w:lvl>
  </w:abstractNum>
  <w:abstractNum w:abstractNumId="9">
    <w:nsid w:val="459A7AE4"/>
    <w:multiLevelType w:val="hybridMultilevel"/>
    <w:tmpl w:val="5FDCD1FA"/>
    <w:lvl w:ilvl="0" w:tplc="BF2A3B7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1E4A50A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5930239"/>
    <w:multiLevelType w:val="hybridMultilevel"/>
    <w:tmpl w:val="EE46AD68"/>
    <w:lvl w:ilvl="0" w:tplc="2AF2FA92">
      <w:start w:val="1"/>
      <w:numFmt w:val="bullet"/>
      <w:lvlText w:val="-"/>
      <w:lvlJc w:val="left"/>
      <w:pPr>
        <w:tabs>
          <w:tab w:val="num" w:pos="1559"/>
        </w:tabs>
        <w:ind w:left="1559" w:hanging="425"/>
      </w:pPr>
      <w:rPr>
        <w:rFonts w:ascii="Times New Roman" w:hAnsi="Times New Roman" w:cs="Times New Roman" w:hint="default"/>
      </w:rPr>
    </w:lvl>
    <w:lvl w:ilvl="1" w:tplc="2AF2FA92">
      <w:start w:val="1"/>
      <w:numFmt w:val="bullet"/>
      <w:lvlText w:val="-"/>
      <w:lvlJc w:val="left"/>
      <w:pPr>
        <w:tabs>
          <w:tab w:val="num" w:pos="1505"/>
        </w:tabs>
        <w:ind w:left="1505" w:hanging="425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707B24"/>
    <w:multiLevelType w:val="hybridMultilevel"/>
    <w:tmpl w:val="1A4AE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016307"/>
    <w:multiLevelType w:val="multilevel"/>
    <w:tmpl w:val="EB0EFD5A"/>
    <w:lvl w:ilvl="0">
      <w:start w:val="1"/>
      <w:numFmt w:val="russianUpper"/>
      <w:pStyle w:val="a4"/>
      <w:suff w:val="space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13">
    <w:nsid w:val="7A392B1A"/>
    <w:multiLevelType w:val="hybridMultilevel"/>
    <w:tmpl w:val="7D06EDA6"/>
    <w:lvl w:ilvl="0" w:tplc="D204743E">
      <w:start w:val="1"/>
      <w:numFmt w:val="decimal"/>
      <w:pStyle w:val="a5"/>
      <w:lvlText w:val="%1"/>
      <w:lvlJc w:val="left"/>
      <w:pPr>
        <w:tabs>
          <w:tab w:val="num" w:pos="1134"/>
        </w:tabs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40611"/>
    <w:multiLevelType w:val="hybridMultilevel"/>
    <w:tmpl w:val="240E8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9E73B7"/>
    <w:multiLevelType w:val="hybridMultilevel"/>
    <w:tmpl w:val="21948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6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16C"/>
    <w:rsid w:val="0053216C"/>
    <w:rsid w:val="009226ED"/>
    <w:rsid w:val="00AC4F64"/>
    <w:rsid w:val="00B076A1"/>
    <w:rsid w:val="00F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  <w15:chartTrackingRefBased/>
  <w15:docId w15:val="{BEF7C618-A4C3-45F4-B6C2-BE4CF91D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6"/>
    <w:next w:val="a6"/>
    <w:qFormat/>
    <w:pPr>
      <w:keepNext/>
      <w:keepLines/>
      <w:pageBreakBefore/>
      <w:numPr>
        <w:numId w:val="1"/>
      </w:numPr>
      <w:suppressAutoHyphens/>
      <w:spacing w:before="240" w:after="120" w:line="240" w:lineRule="auto"/>
      <w:contextualSpacing/>
      <w:jc w:val="left"/>
      <w:outlineLvl w:val="0"/>
    </w:pPr>
    <w:rPr>
      <w:rFonts w:ascii="Arial" w:hAnsi="Arial" w:cs="Arial"/>
      <w:bCs/>
      <w:kern w:val="32"/>
      <w:szCs w:val="32"/>
    </w:rPr>
  </w:style>
  <w:style w:type="paragraph" w:styleId="2">
    <w:name w:val="heading 2"/>
    <w:basedOn w:val="a6"/>
    <w:next w:val="a6"/>
    <w:qFormat/>
    <w:pPr>
      <w:keepNext/>
      <w:keepLines/>
      <w:numPr>
        <w:ilvl w:val="1"/>
        <w:numId w:val="1"/>
      </w:numPr>
      <w:suppressAutoHyphens/>
      <w:spacing w:before="240" w:after="120" w:line="240" w:lineRule="auto"/>
      <w:jc w:val="left"/>
      <w:outlineLvl w:val="1"/>
    </w:pPr>
    <w:rPr>
      <w:rFonts w:ascii="Arial" w:hAnsi="Arial" w:cs="Arial"/>
      <w:bCs/>
      <w:iCs/>
      <w:sz w:val="26"/>
      <w:szCs w:val="28"/>
    </w:rPr>
  </w:style>
  <w:style w:type="paragraph" w:styleId="3">
    <w:name w:val="heading 3"/>
    <w:basedOn w:val="a6"/>
    <w:next w:val="a6"/>
    <w:qFormat/>
    <w:pPr>
      <w:keepNext/>
      <w:keepLines/>
      <w:numPr>
        <w:ilvl w:val="2"/>
        <w:numId w:val="1"/>
      </w:numPr>
      <w:suppressAutoHyphens/>
      <w:spacing w:before="240" w:after="120" w:line="240" w:lineRule="auto"/>
      <w:jc w:val="left"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6"/>
    <w:next w:val="a6"/>
    <w:qFormat/>
    <w:pPr>
      <w:keepNext/>
      <w:ind w:firstLine="720"/>
      <w:outlineLvl w:val="3"/>
    </w:pPr>
    <w:rPr>
      <w:szCs w:val="20"/>
      <w:u w:val="single"/>
    </w:rPr>
  </w:style>
  <w:style w:type="paragraph" w:styleId="5">
    <w:name w:val="heading 5"/>
    <w:basedOn w:val="a6"/>
    <w:next w:val="a6"/>
    <w:qFormat/>
    <w:pPr>
      <w:keepNext/>
      <w:ind w:firstLine="0"/>
      <w:outlineLvl w:val="4"/>
    </w:pPr>
    <w:rPr>
      <w:szCs w:val="20"/>
      <w:u w:val="single"/>
    </w:rPr>
  </w:style>
  <w:style w:type="paragraph" w:styleId="7">
    <w:name w:val="heading 7"/>
    <w:basedOn w:val="a6"/>
    <w:next w:val="a6"/>
    <w:qFormat/>
    <w:pPr>
      <w:keepNext/>
      <w:ind w:firstLine="720"/>
      <w:outlineLvl w:val="6"/>
    </w:pPr>
    <w:rPr>
      <w:szCs w:val="20"/>
    </w:rPr>
  </w:style>
  <w:style w:type="paragraph" w:styleId="9">
    <w:name w:val="heading 9"/>
    <w:basedOn w:val="a6"/>
    <w:next w:val="a6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10">
    <w:name w:val="Титлист Реквизит1"/>
    <w:basedOn w:val="a6"/>
    <w:next w:val="a6"/>
    <w:pPr>
      <w:suppressAutoHyphens/>
      <w:spacing w:line="240" w:lineRule="auto"/>
      <w:ind w:firstLine="0"/>
      <w:jc w:val="center"/>
    </w:pPr>
    <w:rPr>
      <w:b/>
      <w:bCs/>
      <w:caps/>
      <w:sz w:val="24"/>
    </w:rPr>
  </w:style>
  <w:style w:type="paragraph" w:customStyle="1" w:styleId="20">
    <w:name w:val="Титлист Реквизит2"/>
    <w:basedOn w:val="a6"/>
    <w:pPr>
      <w:spacing w:after="480" w:line="240" w:lineRule="auto"/>
      <w:ind w:firstLine="0"/>
      <w:jc w:val="center"/>
    </w:pPr>
    <w:rPr>
      <w:b/>
      <w:bCs/>
      <w:caps/>
      <w:szCs w:val="28"/>
    </w:rPr>
  </w:style>
  <w:style w:type="paragraph" w:customStyle="1" w:styleId="30">
    <w:name w:val="ТитлистРеквизиты3"/>
    <w:aliases w:val="4,13,14,12"/>
    <w:basedOn w:val="a6"/>
    <w:pPr>
      <w:ind w:firstLine="0"/>
      <w:jc w:val="left"/>
    </w:pPr>
    <w:rPr>
      <w:szCs w:val="20"/>
    </w:rPr>
  </w:style>
  <w:style w:type="paragraph" w:customStyle="1" w:styleId="50">
    <w:name w:val="ТитлистРеквизиты5"/>
    <w:aliases w:val="15"/>
    <w:basedOn w:val="30"/>
    <w:pPr>
      <w:spacing w:after="1200"/>
    </w:pPr>
  </w:style>
  <w:style w:type="paragraph" w:customStyle="1" w:styleId="51">
    <w:name w:val="Стиль Стиль ТитлистРеквизиты5"/>
    <w:aliases w:val="15 + полужирный"/>
    <w:basedOn w:val="50"/>
    <w:rPr>
      <w:bCs/>
    </w:rPr>
  </w:style>
  <w:style w:type="paragraph" w:customStyle="1" w:styleId="16">
    <w:name w:val="ТитлистРеквизит16"/>
    <w:basedOn w:val="a6"/>
    <w:pPr>
      <w:ind w:firstLine="0"/>
      <w:jc w:val="center"/>
    </w:pPr>
    <w:rPr>
      <w:szCs w:val="20"/>
    </w:rPr>
  </w:style>
  <w:style w:type="paragraph" w:customStyle="1" w:styleId="6">
    <w:name w:val="ТитлистРеквизит6"/>
    <w:basedOn w:val="a6"/>
    <w:pPr>
      <w:suppressAutoHyphens/>
      <w:spacing w:after="480"/>
      <w:ind w:firstLine="0"/>
      <w:jc w:val="center"/>
    </w:pPr>
    <w:rPr>
      <w:b/>
      <w:bCs/>
      <w:caps/>
      <w:szCs w:val="28"/>
    </w:rPr>
  </w:style>
  <w:style w:type="paragraph" w:customStyle="1" w:styleId="70">
    <w:name w:val="ТитлистРеквизиты7"/>
    <w:aliases w:val="10"/>
    <w:basedOn w:val="a6"/>
    <w:pPr>
      <w:ind w:firstLine="0"/>
      <w:jc w:val="right"/>
    </w:pPr>
    <w:rPr>
      <w:b/>
      <w:bCs/>
      <w:sz w:val="32"/>
      <w:szCs w:val="20"/>
    </w:rPr>
  </w:style>
  <w:style w:type="paragraph" w:customStyle="1" w:styleId="8">
    <w:name w:val="ТитлистРеквизиты8"/>
    <w:aliases w:val="9,11"/>
    <w:basedOn w:val="a6"/>
    <w:pPr>
      <w:ind w:firstLine="0"/>
      <w:jc w:val="right"/>
    </w:pPr>
    <w:rPr>
      <w:szCs w:val="20"/>
    </w:rPr>
  </w:style>
  <w:style w:type="paragraph" w:customStyle="1" w:styleId="21">
    <w:name w:val="ТитлистРеквизит2"/>
    <w:basedOn w:val="a6"/>
    <w:pPr>
      <w:suppressAutoHyphens/>
      <w:spacing w:after="480" w:line="240" w:lineRule="auto"/>
      <w:ind w:firstLine="0"/>
      <w:jc w:val="center"/>
    </w:pPr>
    <w:rPr>
      <w:b/>
      <w:bCs/>
      <w:caps/>
      <w:szCs w:val="28"/>
    </w:rPr>
  </w:style>
  <w:style w:type="paragraph" w:customStyle="1" w:styleId="12">
    <w:name w:val="ТитлистРеквизит12"/>
    <w:basedOn w:val="30"/>
  </w:style>
  <w:style w:type="paragraph" w:styleId="aa">
    <w:name w:val="header"/>
    <w:basedOn w:val="a6"/>
    <w:semiHidden/>
    <w:pPr>
      <w:tabs>
        <w:tab w:val="center" w:pos="4677"/>
        <w:tab w:val="right" w:pos="9355"/>
      </w:tabs>
    </w:pPr>
  </w:style>
  <w:style w:type="character" w:customStyle="1" w:styleId="34121314">
    <w:name w:val="ТитлистРеквизиты3;4;12;13;14 Знак"/>
    <w:basedOn w:val="a7"/>
    <w:rPr>
      <w:sz w:val="28"/>
      <w:lang w:val="ru-RU" w:eastAsia="ru-RU" w:bidi="ar-SA"/>
    </w:rPr>
  </w:style>
  <w:style w:type="paragraph" w:styleId="ab">
    <w:name w:val="footer"/>
    <w:basedOn w:val="a6"/>
    <w:semiHidden/>
    <w:pPr>
      <w:tabs>
        <w:tab w:val="center" w:pos="4677"/>
        <w:tab w:val="right" w:pos="9355"/>
      </w:tabs>
    </w:pPr>
  </w:style>
  <w:style w:type="paragraph" w:customStyle="1" w:styleId="ac">
    <w:name w:val="содержание"/>
    <w:basedOn w:val="1"/>
    <w:next w:val="a6"/>
    <w:pPr>
      <w:numPr>
        <w:numId w:val="0"/>
      </w:numPr>
      <w:jc w:val="center"/>
    </w:pPr>
    <w:rPr>
      <w:rFonts w:cs="Times New Roman"/>
      <w:bCs w:val="0"/>
      <w:szCs w:val="20"/>
    </w:rPr>
  </w:style>
  <w:style w:type="character" w:styleId="ad">
    <w:name w:val="page number"/>
    <w:basedOn w:val="a7"/>
    <w:semiHidden/>
  </w:style>
  <w:style w:type="paragraph" w:customStyle="1" w:styleId="ae">
    <w:name w:val="введ_закл_лит"/>
    <w:basedOn w:val="1"/>
    <w:next w:val="a6"/>
    <w:pPr>
      <w:numPr>
        <w:numId w:val="0"/>
      </w:numPr>
      <w:jc w:val="center"/>
    </w:pPr>
    <w:rPr>
      <w:rFonts w:cs="Times New Roman"/>
      <w:bCs w:val="0"/>
      <w:szCs w:val="20"/>
    </w:rPr>
  </w:style>
  <w:style w:type="paragraph" w:styleId="11">
    <w:name w:val="toc 1"/>
    <w:basedOn w:val="a6"/>
    <w:next w:val="a6"/>
    <w:semiHidden/>
    <w:pPr>
      <w:spacing w:before="240" w:after="120" w:line="240" w:lineRule="auto"/>
      <w:jc w:val="left"/>
    </w:pPr>
    <w:rPr>
      <w:bCs/>
      <w:sz w:val="24"/>
      <w:szCs w:val="20"/>
    </w:rPr>
  </w:style>
  <w:style w:type="paragraph" w:styleId="22">
    <w:name w:val="toc 2"/>
    <w:basedOn w:val="a6"/>
    <w:next w:val="a6"/>
    <w:semiHidden/>
    <w:pPr>
      <w:spacing w:before="240" w:after="120" w:line="240" w:lineRule="auto"/>
      <w:ind w:left="278"/>
      <w:jc w:val="left"/>
    </w:pPr>
    <w:rPr>
      <w:sz w:val="24"/>
      <w:szCs w:val="20"/>
    </w:rPr>
  </w:style>
  <w:style w:type="paragraph" w:styleId="31">
    <w:name w:val="toc 3"/>
    <w:basedOn w:val="a6"/>
    <w:next w:val="a6"/>
    <w:semiHidden/>
    <w:pPr>
      <w:tabs>
        <w:tab w:val="left" w:pos="1960"/>
        <w:tab w:val="right" w:leader="dot" w:pos="9628"/>
      </w:tabs>
      <w:spacing w:before="120" w:after="120" w:line="240" w:lineRule="auto"/>
      <w:ind w:left="561"/>
      <w:jc w:val="left"/>
    </w:pPr>
    <w:rPr>
      <w:iCs/>
      <w:sz w:val="24"/>
      <w:szCs w:val="20"/>
    </w:rPr>
  </w:style>
  <w:style w:type="paragraph" w:styleId="40">
    <w:name w:val="toc 4"/>
    <w:basedOn w:val="a6"/>
    <w:next w:val="a6"/>
    <w:autoRedefine/>
    <w:semiHidden/>
    <w:pPr>
      <w:ind w:left="840"/>
      <w:jc w:val="left"/>
    </w:pPr>
    <w:rPr>
      <w:sz w:val="18"/>
      <w:szCs w:val="18"/>
    </w:rPr>
  </w:style>
  <w:style w:type="paragraph" w:styleId="52">
    <w:name w:val="toc 5"/>
    <w:basedOn w:val="a6"/>
    <w:next w:val="a6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6"/>
    <w:next w:val="a6"/>
    <w:autoRedefine/>
    <w:semiHidden/>
    <w:pPr>
      <w:ind w:left="1400"/>
      <w:jc w:val="left"/>
    </w:pPr>
    <w:rPr>
      <w:sz w:val="18"/>
      <w:szCs w:val="18"/>
    </w:rPr>
  </w:style>
  <w:style w:type="paragraph" w:styleId="71">
    <w:name w:val="toc 7"/>
    <w:basedOn w:val="a6"/>
    <w:next w:val="a6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6"/>
    <w:next w:val="a6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6"/>
    <w:next w:val="a6"/>
    <w:autoRedefine/>
    <w:semiHidden/>
    <w:pPr>
      <w:ind w:left="2240"/>
      <w:jc w:val="left"/>
    </w:pPr>
    <w:rPr>
      <w:sz w:val="18"/>
      <w:szCs w:val="18"/>
    </w:rPr>
  </w:style>
  <w:style w:type="character" w:styleId="af">
    <w:name w:val="annotation reference"/>
    <w:basedOn w:val="a7"/>
    <w:semiHidden/>
    <w:rPr>
      <w:sz w:val="16"/>
      <w:szCs w:val="16"/>
    </w:rPr>
  </w:style>
  <w:style w:type="paragraph" w:styleId="af0">
    <w:name w:val="annotation text"/>
    <w:basedOn w:val="a6"/>
    <w:semiHidden/>
    <w:rPr>
      <w:sz w:val="20"/>
      <w:szCs w:val="20"/>
    </w:r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alloon Text"/>
    <w:basedOn w:val="a6"/>
    <w:semiHidden/>
    <w:rPr>
      <w:rFonts w:ascii="Tahoma" w:hAnsi="Tahoma" w:cs="Tahoma"/>
      <w:sz w:val="16"/>
      <w:szCs w:val="16"/>
    </w:rPr>
  </w:style>
  <w:style w:type="paragraph" w:styleId="af3">
    <w:name w:val="Document Map"/>
    <w:basedOn w:val="a6"/>
    <w:semiHidden/>
    <w:pPr>
      <w:shd w:val="clear" w:color="auto" w:fill="000080"/>
    </w:pPr>
    <w:rPr>
      <w:rFonts w:ascii="Tahoma" w:hAnsi="Tahoma" w:cs="Tahoma"/>
    </w:rPr>
  </w:style>
  <w:style w:type="paragraph" w:styleId="32">
    <w:name w:val="Body Text Indent 3"/>
    <w:basedOn w:val="a6"/>
    <w:semiHidden/>
    <w:pPr>
      <w:ind w:firstLine="720"/>
    </w:pPr>
    <w:rPr>
      <w:szCs w:val="20"/>
    </w:rPr>
  </w:style>
  <w:style w:type="paragraph" w:customStyle="1" w:styleId="a2">
    <w:name w:val="Название таблицы"/>
    <w:basedOn w:val="a6"/>
    <w:next w:val="af4"/>
    <w:pPr>
      <w:keepNext/>
      <w:keepLines/>
      <w:numPr>
        <w:ilvl w:val="7"/>
        <w:numId w:val="1"/>
      </w:numPr>
      <w:suppressAutoHyphens/>
      <w:spacing w:before="240" w:after="120"/>
      <w:jc w:val="left"/>
      <w:outlineLvl w:val="7"/>
    </w:pPr>
    <w:rPr>
      <w:rFonts w:ascii="Arial" w:hAnsi="Arial"/>
      <w:sz w:val="26"/>
      <w:szCs w:val="20"/>
    </w:rPr>
  </w:style>
  <w:style w:type="paragraph" w:customStyle="1" w:styleId="af4">
    <w:name w:val="таблица"/>
    <w:basedOn w:val="a6"/>
    <w:pPr>
      <w:keepLines/>
      <w:spacing w:line="240" w:lineRule="auto"/>
      <w:ind w:firstLine="0"/>
      <w:jc w:val="left"/>
    </w:pPr>
    <w:rPr>
      <w:sz w:val="24"/>
      <w:szCs w:val="20"/>
    </w:rPr>
  </w:style>
  <w:style w:type="paragraph" w:styleId="af5">
    <w:name w:val="footnote text"/>
    <w:basedOn w:val="a6"/>
    <w:semiHidden/>
    <w:rPr>
      <w:sz w:val="20"/>
      <w:szCs w:val="20"/>
    </w:rPr>
  </w:style>
  <w:style w:type="character" w:styleId="af6">
    <w:name w:val="footnote reference"/>
    <w:basedOn w:val="a7"/>
    <w:semiHidden/>
    <w:rPr>
      <w:vertAlign w:val="superscript"/>
    </w:rPr>
  </w:style>
  <w:style w:type="paragraph" w:customStyle="1" w:styleId="af7">
    <w:name w:val="рисунок"/>
    <w:basedOn w:val="a6"/>
    <w:next w:val="a1"/>
    <w:pPr>
      <w:keepNext/>
      <w:keepLines/>
      <w:ind w:firstLine="0"/>
    </w:pPr>
  </w:style>
  <w:style w:type="paragraph" w:customStyle="1" w:styleId="a1">
    <w:name w:val="Название рисунка"/>
    <w:basedOn w:val="a6"/>
    <w:next w:val="a6"/>
    <w:pPr>
      <w:keepLines/>
      <w:numPr>
        <w:ilvl w:val="6"/>
        <w:numId w:val="1"/>
      </w:numPr>
      <w:suppressAutoHyphens/>
      <w:spacing w:before="120" w:after="240"/>
      <w:jc w:val="center"/>
      <w:outlineLvl w:val="6"/>
    </w:pPr>
    <w:rPr>
      <w:rFonts w:ascii="Arial" w:hAnsi="Arial"/>
      <w:sz w:val="26"/>
      <w:szCs w:val="20"/>
    </w:rPr>
  </w:style>
  <w:style w:type="paragraph" w:styleId="af8">
    <w:name w:val="Body Text Indent"/>
    <w:basedOn w:val="a6"/>
    <w:semiHidden/>
    <w:rPr>
      <w:szCs w:val="20"/>
    </w:rPr>
  </w:style>
  <w:style w:type="paragraph" w:customStyle="1" w:styleId="a3">
    <w:name w:val="перенос таблицы"/>
    <w:basedOn w:val="a6"/>
    <w:pPr>
      <w:numPr>
        <w:ilvl w:val="8"/>
        <w:numId w:val="1"/>
      </w:numPr>
    </w:pPr>
    <w:rPr>
      <w:rFonts w:ascii="Arial" w:hAnsi="Arial"/>
      <w:sz w:val="26"/>
      <w:szCs w:val="20"/>
    </w:rPr>
  </w:style>
  <w:style w:type="paragraph" w:customStyle="1" w:styleId="af9">
    <w:name w:val="формула"/>
    <w:basedOn w:val="a6"/>
    <w:pPr>
      <w:spacing w:before="240" w:after="240"/>
      <w:ind w:left="3969" w:firstLine="0"/>
      <w:jc w:val="center"/>
    </w:pPr>
    <w:rPr>
      <w:rFonts w:ascii="Arial" w:hAnsi="Arial"/>
      <w:szCs w:val="28"/>
    </w:rPr>
  </w:style>
  <w:style w:type="paragraph" w:customStyle="1" w:styleId="a0">
    <w:name w:val="номер формулы"/>
    <w:basedOn w:val="a6"/>
    <w:pPr>
      <w:numPr>
        <w:ilvl w:val="5"/>
        <w:numId w:val="1"/>
      </w:numPr>
      <w:jc w:val="right"/>
      <w:outlineLvl w:val="5"/>
    </w:pPr>
  </w:style>
  <w:style w:type="paragraph" w:styleId="afa">
    <w:name w:val="caption"/>
    <w:basedOn w:val="a6"/>
    <w:next w:val="a6"/>
    <w:qFormat/>
    <w:pPr>
      <w:keepLines/>
      <w:suppressAutoHyphens/>
      <w:spacing w:before="120" w:after="120"/>
      <w:ind w:firstLine="0"/>
      <w:jc w:val="center"/>
      <w:outlineLvl w:val="6"/>
    </w:pPr>
    <w:rPr>
      <w:rFonts w:ascii="Arial" w:hAnsi="Arial"/>
      <w:bCs/>
      <w:sz w:val="26"/>
      <w:szCs w:val="20"/>
    </w:rPr>
  </w:style>
  <w:style w:type="paragraph" w:customStyle="1" w:styleId="a5">
    <w:name w:val="литература"/>
    <w:basedOn w:val="a6"/>
    <w:pPr>
      <w:keepLines/>
      <w:numPr>
        <w:numId w:val="2"/>
      </w:numPr>
    </w:pPr>
  </w:style>
  <w:style w:type="paragraph" w:customStyle="1" w:styleId="a4">
    <w:name w:val="приложение номер"/>
    <w:basedOn w:val="a6"/>
    <w:next w:val="afb"/>
    <w:pPr>
      <w:keepNext/>
      <w:keepLines/>
      <w:pageBreakBefore/>
      <w:numPr>
        <w:numId w:val="3"/>
      </w:numPr>
      <w:suppressAutoHyphens/>
      <w:spacing w:before="240" w:after="120" w:line="240" w:lineRule="auto"/>
      <w:jc w:val="center"/>
      <w:outlineLvl w:val="0"/>
    </w:pPr>
    <w:rPr>
      <w:rFonts w:ascii="Arial" w:hAnsi="Arial"/>
    </w:rPr>
  </w:style>
  <w:style w:type="paragraph" w:customStyle="1" w:styleId="afb">
    <w:name w:val="приложение название"/>
    <w:basedOn w:val="a4"/>
    <w:next w:val="a6"/>
    <w:pPr>
      <w:pageBreakBefore w:val="0"/>
      <w:numPr>
        <w:numId w:val="0"/>
      </w:numPr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6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  <w:szCs w:val="20"/>
    </w:rPr>
  </w:style>
  <w:style w:type="paragraph" w:styleId="23">
    <w:name w:val="Body Text Indent 2"/>
    <w:basedOn w:val="a6"/>
    <w:semiHidden/>
    <w:pPr>
      <w:jc w:val="left"/>
    </w:pPr>
    <w:rPr>
      <w:color w:val="000000"/>
      <w:szCs w:val="18"/>
    </w:rPr>
  </w:style>
  <w:style w:type="paragraph" w:styleId="afc">
    <w:name w:val="Normal (Web)"/>
    <w:basedOn w:val="a6"/>
    <w:semiHidden/>
    <w:pPr>
      <w:spacing w:before="30" w:after="30" w:line="240" w:lineRule="auto"/>
      <w:ind w:firstLine="0"/>
      <w:jc w:val="left"/>
    </w:pPr>
    <w:rPr>
      <w:rFonts w:ascii="Arial" w:eastAsia="Arial Unicode MS" w:hAnsi="Arial" w:cs="Arial"/>
      <w:color w:val="332E2D"/>
      <w:spacing w:val="2"/>
      <w:sz w:val="24"/>
    </w:rPr>
  </w:style>
  <w:style w:type="paragraph" w:styleId="a">
    <w:name w:val="List Bullet"/>
    <w:autoRedefine/>
    <w:semiHidden/>
    <w:pPr>
      <w:numPr>
        <w:numId w:val="16"/>
      </w:numPr>
      <w:spacing w:line="360" w:lineRule="auto"/>
      <w:jc w:val="both"/>
    </w:pPr>
    <w:rPr>
      <w:sz w:val="28"/>
    </w:rPr>
  </w:style>
  <w:style w:type="paragraph" w:styleId="afd">
    <w:name w:val="Body Text"/>
    <w:basedOn w:val="a6"/>
    <w:semiHidden/>
    <w:pPr>
      <w:spacing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5201</Words>
  <Characters>29651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АВТОНОМНАЯ НЕКОММЕРЧЕСКАЯ ОРГАНИЗАЦИЯ</vt:lpstr>
    </vt:vector>
  </TitlesOfParts>
  <Company>Домашняя</Company>
  <LinksUpToDate>false</LinksUpToDate>
  <CharactersWithSpaces>34783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АВТОНОМНАЯ НЕКОММЕРЧЕСКАЯ ОРГАНИЗАЦИЯ</dc:title>
  <dc:subject/>
  <dc:creator>Богдашкин</dc:creator>
  <cp:keywords/>
  <cp:lastModifiedBy>Irina</cp:lastModifiedBy>
  <cp:revision>2</cp:revision>
  <cp:lastPrinted>2006-06-14T09:13:00Z</cp:lastPrinted>
  <dcterms:created xsi:type="dcterms:W3CDTF">2014-08-17T18:36:00Z</dcterms:created>
  <dcterms:modified xsi:type="dcterms:W3CDTF">2014-08-17T18:36:00Z</dcterms:modified>
</cp:coreProperties>
</file>