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85" w:rsidRPr="00BC23D6" w:rsidRDefault="00C53785" w:rsidP="00C5378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C23D6">
        <w:rPr>
          <w:rFonts w:ascii="Times New Roman" w:hAnsi="Times New Roman"/>
          <w:b/>
          <w:i/>
          <w:sz w:val="24"/>
          <w:szCs w:val="24"/>
          <w:u w:val="single"/>
        </w:rPr>
        <w:t>Бухгалтерский учет в строительстве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sz w:val="24"/>
          <w:szCs w:val="24"/>
        </w:rPr>
        <w:t xml:space="preserve">Особенности организации и экономики строительного производства, обусловленные характером строительной продукции, оказывают существенное влияние на порядок ведения бухгалтерского учета в строительстве. </w:t>
      </w:r>
    </w:p>
    <w:p w:rsidR="00C53785" w:rsidRPr="00B3267C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sz w:val="24"/>
          <w:szCs w:val="24"/>
        </w:rPr>
        <w:t xml:space="preserve">Субъектами процесса капитальных вложений в строительство, расширение и реконструкцию объектов являются: </w:t>
      </w:r>
    </w:p>
    <w:p w:rsidR="00C53785" w:rsidRPr="00B3267C" w:rsidRDefault="00C53785" w:rsidP="00C537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i/>
          <w:sz w:val="24"/>
          <w:szCs w:val="24"/>
        </w:rPr>
        <w:t>инвесторы</w:t>
      </w:r>
      <w:r w:rsidRPr="00B3267C">
        <w:rPr>
          <w:rFonts w:ascii="Times New Roman" w:hAnsi="Times New Roman"/>
          <w:sz w:val="24"/>
          <w:szCs w:val="24"/>
        </w:rPr>
        <w:t xml:space="preserve"> - физические или юридические лица, осуществляющие вложения инвестиций в создание и воспроизводство основных средств в форме собственных, заемных и привлеченных средств; </w:t>
      </w:r>
    </w:p>
    <w:p w:rsidR="00C53785" w:rsidRPr="00B3267C" w:rsidRDefault="00C53785" w:rsidP="00C537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i/>
          <w:sz w:val="24"/>
          <w:szCs w:val="24"/>
        </w:rPr>
        <w:t>заказчики</w:t>
      </w:r>
      <w:r w:rsidRPr="00B3267C">
        <w:rPr>
          <w:rFonts w:ascii="Times New Roman" w:hAnsi="Times New Roman"/>
          <w:sz w:val="24"/>
          <w:szCs w:val="24"/>
        </w:rPr>
        <w:t xml:space="preserve"> - уполномоченные инвесторами физические и юридические лица, осуществляющие реализацию проектов капитальных вложений; </w:t>
      </w:r>
    </w:p>
    <w:p w:rsidR="00C53785" w:rsidRPr="00B3267C" w:rsidRDefault="00C53785" w:rsidP="00C537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i/>
          <w:sz w:val="24"/>
          <w:szCs w:val="24"/>
        </w:rPr>
        <w:t>застройщики</w:t>
      </w:r>
      <w:r w:rsidRPr="00B3267C">
        <w:rPr>
          <w:rFonts w:ascii="Times New Roman" w:hAnsi="Times New Roman"/>
          <w:sz w:val="24"/>
          <w:szCs w:val="24"/>
        </w:rPr>
        <w:t xml:space="preserve"> - организации, специализирующиеся на организации строительства объектов и контроле за его ходом. Функции застройщика и заказчика могут рассматриваться как полные аналоги или разделяться по технологическому принципу; </w:t>
      </w:r>
    </w:p>
    <w:p w:rsidR="00C53785" w:rsidRPr="00B3267C" w:rsidRDefault="00C53785" w:rsidP="00C537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i/>
          <w:sz w:val="24"/>
          <w:szCs w:val="24"/>
        </w:rPr>
        <w:t>подрядчики</w:t>
      </w:r>
      <w:r w:rsidRPr="00B3267C">
        <w:rPr>
          <w:rFonts w:ascii="Times New Roman" w:hAnsi="Times New Roman"/>
          <w:sz w:val="24"/>
          <w:szCs w:val="24"/>
        </w:rPr>
        <w:t xml:space="preserve"> - физические или юридические лица, выполняющие работы по договору подряда; 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sz w:val="24"/>
          <w:szCs w:val="24"/>
        </w:rPr>
        <w:t>Все перечисленные выше функции могут исполняться одним лицом, разными лицами или несколькими из них</w:t>
      </w:r>
      <w:r>
        <w:rPr>
          <w:rFonts w:ascii="Times New Roman" w:hAnsi="Times New Roman"/>
          <w:sz w:val="24"/>
          <w:szCs w:val="24"/>
        </w:rPr>
        <w:t>.</w:t>
      </w:r>
    </w:p>
    <w:p w:rsidR="00C53785" w:rsidRPr="00B3267C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sz w:val="24"/>
          <w:szCs w:val="24"/>
        </w:rPr>
        <w:t xml:space="preserve">К основным понятиям, используемым в экономике строительства можно отнести следующие: 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3267C">
        <w:rPr>
          <w:rFonts w:ascii="Times New Roman" w:hAnsi="Times New Roman"/>
          <w:i/>
          <w:sz w:val="24"/>
          <w:szCs w:val="24"/>
        </w:rPr>
        <w:t xml:space="preserve"> инвестиции</w:t>
      </w:r>
      <w:r w:rsidRPr="00B3267C">
        <w:rPr>
          <w:rFonts w:ascii="Times New Roman" w:hAnsi="Times New Roman"/>
          <w:sz w:val="24"/>
          <w:szCs w:val="24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иной деятельности в целях получения прибыли или достижения иного полезного </w:t>
      </w:r>
      <w:r>
        <w:rPr>
          <w:rFonts w:ascii="Times New Roman" w:hAnsi="Times New Roman"/>
          <w:sz w:val="24"/>
          <w:szCs w:val="24"/>
        </w:rPr>
        <w:t>эффекта.</w:t>
      </w:r>
    </w:p>
    <w:p w:rsidR="00C53785" w:rsidRPr="00CE21EA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E21EA">
        <w:rPr>
          <w:rFonts w:ascii="Times New Roman" w:hAnsi="Times New Roman"/>
          <w:sz w:val="24"/>
          <w:szCs w:val="24"/>
        </w:rPr>
        <w:t>нвестор в течение всего срока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EA">
        <w:rPr>
          <w:rFonts w:ascii="Times New Roman" w:hAnsi="Times New Roman"/>
          <w:sz w:val="24"/>
          <w:szCs w:val="24"/>
        </w:rPr>
        <w:t>будет оплачивать затраты по строительству, которые учитываются на счете 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EA">
        <w:rPr>
          <w:rFonts w:ascii="Times New Roman" w:hAnsi="Times New Roman"/>
          <w:sz w:val="24"/>
          <w:szCs w:val="24"/>
        </w:rPr>
        <w:t xml:space="preserve">и формируют дебиторскую задолженность </w:t>
      </w:r>
      <w:r>
        <w:rPr>
          <w:rFonts w:ascii="Times New Roman" w:hAnsi="Times New Roman"/>
          <w:sz w:val="24"/>
          <w:szCs w:val="24"/>
        </w:rPr>
        <w:t>заказчика по капитальному строи</w:t>
      </w:r>
      <w:r w:rsidRPr="00CE21EA">
        <w:rPr>
          <w:rFonts w:ascii="Times New Roman" w:hAnsi="Times New Roman"/>
          <w:sz w:val="24"/>
          <w:szCs w:val="24"/>
        </w:rPr>
        <w:t>тельству. Закрывается она после передачи по</w:t>
      </w:r>
      <w:r>
        <w:rPr>
          <w:rFonts w:ascii="Times New Roman" w:hAnsi="Times New Roman"/>
          <w:sz w:val="24"/>
          <w:szCs w:val="24"/>
        </w:rPr>
        <w:t>строенного объекта. В бухгалтер</w:t>
      </w:r>
      <w:r w:rsidRPr="00CE21EA">
        <w:rPr>
          <w:rFonts w:ascii="Times New Roman" w:hAnsi="Times New Roman"/>
          <w:sz w:val="24"/>
          <w:szCs w:val="24"/>
        </w:rPr>
        <w:t>ском учете указанные операции отражаются так:</w:t>
      </w:r>
    </w:p>
    <w:p w:rsidR="00C53785" w:rsidRPr="00CE21EA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21EA">
        <w:rPr>
          <w:rFonts w:ascii="Times New Roman" w:hAnsi="Times New Roman"/>
          <w:sz w:val="24"/>
          <w:szCs w:val="24"/>
        </w:rPr>
        <w:t>Дебет 76, субсчет «Заказчик», Кредит 51 – перечисление денежных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EA">
        <w:rPr>
          <w:rFonts w:ascii="Times New Roman" w:hAnsi="Times New Roman"/>
          <w:sz w:val="24"/>
          <w:szCs w:val="24"/>
        </w:rPr>
        <w:t>средств заказчику;</w:t>
      </w:r>
    </w:p>
    <w:p w:rsidR="00C53785" w:rsidRPr="00CE21EA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21EA">
        <w:rPr>
          <w:rFonts w:ascii="Times New Roman" w:hAnsi="Times New Roman"/>
          <w:sz w:val="24"/>
          <w:szCs w:val="24"/>
        </w:rPr>
        <w:t>Дебет 08, Кредит 76, субсчет «Заказчик</w:t>
      </w:r>
      <w:r>
        <w:rPr>
          <w:rFonts w:ascii="Times New Roman" w:hAnsi="Times New Roman"/>
          <w:sz w:val="24"/>
          <w:szCs w:val="24"/>
        </w:rPr>
        <w:t>» – принятие к учету объекта за</w:t>
      </w:r>
      <w:r w:rsidRPr="00CE21EA">
        <w:rPr>
          <w:rFonts w:ascii="Times New Roman" w:hAnsi="Times New Roman"/>
          <w:sz w:val="24"/>
          <w:szCs w:val="24"/>
        </w:rPr>
        <w:t>вершенного строительства.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затрат по капитальному строительству у заказчика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при осуществлении капитального строительства выполняет функции по его организации и финансированию.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учет по счету 08 у заказчика ведется в разрезе:</w:t>
      </w:r>
    </w:p>
    <w:p w:rsidR="00C53785" w:rsidRPr="00EF07D7" w:rsidRDefault="00C53785" w:rsidP="00C537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7D7">
        <w:rPr>
          <w:rFonts w:ascii="Times New Roman" w:hAnsi="Times New Roman"/>
          <w:sz w:val="24"/>
          <w:szCs w:val="24"/>
        </w:rPr>
        <w:t>по объектам строительства;</w:t>
      </w:r>
    </w:p>
    <w:p w:rsidR="00C53785" w:rsidRPr="00EF07D7" w:rsidRDefault="00C53785" w:rsidP="00C537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7D7">
        <w:rPr>
          <w:rFonts w:ascii="Times New Roman" w:hAnsi="Times New Roman"/>
          <w:sz w:val="24"/>
          <w:szCs w:val="24"/>
        </w:rPr>
        <w:t>по статьям затрат в соответствии со структурой капитальных вложений;</w:t>
      </w:r>
    </w:p>
    <w:p w:rsidR="00C53785" w:rsidRPr="00EF07D7" w:rsidRDefault="00C53785" w:rsidP="00C5378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7D7">
        <w:rPr>
          <w:rFonts w:ascii="Times New Roman" w:hAnsi="Times New Roman"/>
          <w:sz w:val="24"/>
          <w:szCs w:val="24"/>
        </w:rPr>
        <w:t>по составляющей каждой статьи.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строительных работ в БУ отражается на основании акта выполненных работ по форме КС-2. Стоимость объекта накапливается по итогам каждого отчетного периода (месяца) в справке о стоимости выполненных работ (форма КС-3). Этот документ является основой для формирования стоимости объекта, а  с другой – основанием для оплаты работ подрядчику.</w:t>
      </w:r>
    </w:p>
    <w:p w:rsidR="00C53785" w:rsidRPr="00F81006" w:rsidRDefault="00C53785" w:rsidP="00C537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1006">
        <w:rPr>
          <w:rFonts w:ascii="Times New Roman" w:hAnsi="Times New Roman"/>
          <w:sz w:val="24"/>
          <w:szCs w:val="24"/>
        </w:rPr>
        <w:t>08/60 – отражена задолженность подрядной организации на основании акта КС-3</w:t>
      </w:r>
    </w:p>
    <w:p w:rsidR="00C53785" w:rsidRPr="00F81006" w:rsidRDefault="00C53785" w:rsidP="00C5378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1006">
        <w:rPr>
          <w:rFonts w:ascii="Times New Roman" w:hAnsi="Times New Roman"/>
          <w:sz w:val="24"/>
          <w:szCs w:val="24"/>
        </w:rPr>
        <w:t>19/60 - НДС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F659C">
        <w:rPr>
          <w:rFonts w:ascii="Times New Roman" w:hAnsi="Times New Roman"/>
          <w:i/>
          <w:sz w:val="24"/>
          <w:szCs w:val="24"/>
        </w:rPr>
        <w:t>Генеральный  подрядчик</w:t>
      </w:r>
      <w:r>
        <w:rPr>
          <w:rFonts w:ascii="Times New Roman" w:hAnsi="Times New Roman"/>
          <w:sz w:val="24"/>
          <w:szCs w:val="24"/>
        </w:rPr>
        <w:t xml:space="preserve"> – является контрагентом заказчика, действующим на основании договора, предусматривающего выполнение всего комплекса СМР.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лица заказчика ген.подрядчик может заключать договоры на осуществление специальных СМР, которые не могут быть им выполнены самостоятельно в силу ограниченных технических условий или в силу ограниченности закона. Ген.подрядчик выступает работодателем для субподрядных организаций.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Субподрядные организации – непосредственные исполнители строительных работ, имеющие как правило узкую специализацию по видам работ.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б/у у подрядных организации заключается в</w:t>
      </w:r>
    </w:p>
    <w:p w:rsidR="00C53785" w:rsidRPr="0054054E" w:rsidRDefault="00C53785" w:rsidP="00C537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54E">
        <w:rPr>
          <w:rFonts w:ascii="Times New Roman" w:hAnsi="Times New Roman"/>
          <w:sz w:val="24"/>
          <w:szCs w:val="24"/>
        </w:rPr>
        <w:t>порядке определения доходов от выполнения СМР;</w:t>
      </w:r>
    </w:p>
    <w:p w:rsidR="00C53785" w:rsidRDefault="00C53785" w:rsidP="00C5378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54E">
        <w:rPr>
          <w:rFonts w:ascii="Times New Roman" w:hAnsi="Times New Roman"/>
          <w:sz w:val="24"/>
          <w:szCs w:val="24"/>
        </w:rPr>
        <w:t>порядке определения и учета расходов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по договору строй подряда признаются расходами по обычной деятельности, в связи с чем на них распространяются общие принципы признания расходов:</w:t>
      </w:r>
    </w:p>
    <w:p w:rsidR="00C53785" w:rsidRDefault="00C53785" w:rsidP="00C537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признаются в том отчетном периоде, в котором были понесены (принцип начисления);</w:t>
      </w:r>
    </w:p>
    <w:p w:rsidR="00C53785" w:rsidRDefault="00C53785" w:rsidP="00C5378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списываются на финансовые результаты по мере признания выручки (принцип соответствия доходов и расходов).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расходов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ПБУ 2/2008 и МСФО 11 расходы на строительство делятся:</w:t>
      </w:r>
    </w:p>
    <w:p w:rsidR="00C53785" w:rsidRDefault="00C53785" w:rsidP="00C537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прямые расходы – непосредственно связанные с исполнением договора;</w:t>
      </w:r>
    </w:p>
    <w:p w:rsidR="00C53785" w:rsidRDefault="00C53785" w:rsidP="00C537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косвенные расходы – часть общих расходов организации приходящихся на исполнение договора;</w:t>
      </w:r>
    </w:p>
    <w:p w:rsidR="00C53785" w:rsidRPr="00D86CFD" w:rsidRDefault="00C53785" w:rsidP="00C5378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расходы – расходы не относящиеся к строительной деятельности, но подлежащие возмещению подрядчику заказчиком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5E29">
        <w:rPr>
          <w:rFonts w:ascii="Times New Roman" w:hAnsi="Times New Roman"/>
          <w:sz w:val="24"/>
          <w:szCs w:val="24"/>
        </w:rPr>
        <w:t>Для формирования информации о затратах организации на выполнение СМР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29">
        <w:rPr>
          <w:rFonts w:ascii="Times New Roman" w:hAnsi="Times New Roman"/>
          <w:sz w:val="24"/>
          <w:szCs w:val="24"/>
        </w:rPr>
        <w:t>Планом счетов предусмотрено применение счетов 20–29 бухгалтерского учета.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E29">
        <w:rPr>
          <w:rFonts w:ascii="Times New Roman" w:hAnsi="Times New Roman"/>
          <w:sz w:val="24"/>
          <w:szCs w:val="24"/>
        </w:rPr>
        <w:t>Счет 20 «Основное производство» испо</w:t>
      </w:r>
      <w:r>
        <w:rPr>
          <w:rFonts w:ascii="Times New Roman" w:hAnsi="Times New Roman"/>
          <w:sz w:val="24"/>
          <w:szCs w:val="24"/>
        </w:rPr>
        <w:t>льзуется для учета затрат по вы</w:t>
      </w:r>
      <w:r w:rsidRPr="00B55E29">
        <w:rPr>
          <w:rFonts w:ascii="Times New Roman" w:hAnsi="Times New Roman"/>
          <w:sz w:val="24"/>
          <w:szCs w:val="24"/>
        </w:rPr>
        <w:t>полнению СМР. По дебету данного счета о</w:t>
      </w:r>
      <w:r>
        <w:rPr>
          <w:rFonts w:ascii="Times New Roman" w:hAnsi="Times New Roman"/>
          <w:sz w:val="24"/>
          <w:szCs w:val="24"/>
        </w:rPr>
        <w:t>тражаются прямые расходы органи</w:t>
      </w:r>
      <w:r w:rsidRPr="00B55E29">
        <w:rPr>
          <w:rFonts w:ascii="Times New Roman" w:hAnsi="Times New Roman"/>
          <w:sz w:val="24"/>
          <w:szCs w:val="24"/>
        </w:rPr>
        <w:t>зации в корреспонденции с кредитом соответствующих счетов:</w:t>
      </w:r>
      <w:r>
        <w:rPr>
          <w:rFonts w:ascii="Times New Roman" w:hAnsi="Times New Roman"/>
          <w:sz w:val="24"/>
          <w:szCs w:val="24"/>
        </w:rPr>
        <w:t xml:space="preserve"> 10,23, 25,70,60.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D6B">
        <w:rPr>
          <w:rFonts w:ascii="Times New Roman" w:hAnsi="Times New Roman"/>
          <w:sz w:val="24"/>
          <w:szCs w:val="24"/>
        </w:rPr>
        <w:t>Косвенные (накладные) расходы, связ</w:t>
      </w:r>
      <w:r>
        <w:rPr>
          <w:rFonts w:ascii="Times New Roman" w:hAnsi="Times New Roman"/>
          <w:sz w:val="24"/>
          <w:szCs w:val="24"/>
        </w:rPr>
        <w:t>анные с управлением и обслужива</w:t>
      </w:r>
      <w:r w:rsidRPr="008F7D6B">
        <w:rPr>
          <w:rFonts w:ascii="Times New Roman" w:hAnsi="Times New Roman"/>
          <w:sz w:val="24"/>
          <w:szCs w:val="24"/>
        </w:rPr>
        <w:t>нием строительного производства, списываются на счет 20 с кредита счета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D6B">
        <w:rPr>
          <w:rFonts w:ascii="Times New Roman" w:hAnsi="Times New Roman"/>
          <w:sz w:val="24"/>
          <w:szCs w:val="24"/>
        </w:rPr>
        <w:t>«Общехозяйственные расходы» или на счет 90–2 в зависимости от выбранной</w:t>
      </w:r>
      <w:r>
        <w:rPr>
          <w:rFonts w:ascii="Times New Roman" w:hAnsi="Times New Roman"/>
          <w:sz w:val="24"/>
          <w:szCs w:val="24"/>
        </w:rPr>
        <w:t xml:space="preserve"> УП.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Специфику б/у у подрядчиков регламентирует ПБУ 2/2008 действие которого распространяется на все договоры строй подряда.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52331">
        <w:rPr>
          <w:rFonts w:ascii="Times New Roman" w:hAnsi="Times New Roman"/>
          <w:i/>
          <w:sz w:val="24"/>
          <w:szCs w:val="24"/>
        </w:rPr>
        <w:t>Договор строительного подряда</w:t>
      </w:r>
      <w:r w:rsidRPr="00952331">
        <w:rPr>
          <w:rFonts w:ascii="Times New Roman" w:hAnsi="Times New Roman"/>
          <w:sz w:val="24"/>
          <w:szCs w:val="24"/>
        </w:rPr>
        <w:t xml:space="preserve"> - это гражданско-правовой договор, в силу которого одна сторона (подрядчик) обязуется в установленный договором строительного подряда срок построить по заданию другой стороны (заказчика)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</w:t>
      </w:r>
      <w:r>
        <w:rPr>
          <w:rFonts w:ascii="Times New Roman" w:hAnsi="Times New Roman"/>
          <w:sz w:val="24"/>
          <w:szCs w:val="24"/>
        </w:rPr>
        <w:t>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2147">
        <w:rPr>
          <w:rFonts w:ascii="Times New Roman" w:hAnsi="Times New Roman"/>
          <w:sz w:val="24"/>
          <w:szCs w:val="24"/>
        </w:rPr>
        <w:t>Договор строительного подряда носит консенсуальный, возмездный и взаимный характер. Основной сферой его применения является предпринимательская деятельность.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этих договоров:</w:t>
      </w:r>
    </w:p>
    <w:p w:rsidR="00C53785" w:rsidRPr="00C32147" w:rsidRDefault="00C53785" w:rsidP="00C5378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147">
        <w:rPr>
          <w:rFonts w:ascii="Times New Roman" w:hAnsi="Times New Roman"/>
          <w:sz w:val="24"/>
          <w:szCs w:val="24"/>
        </w:rPr>
        <w:t>длительность исполнения (более 1 года);</w:t>
      </w:r>
    </w:p>
    <w:p w:rsidR="00C53785" w:rsidRPr="00C32147" w:rsidRDefault="00C53785" w:rsidP="00C5378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147">
        <w:rPr>
          <w:rFonts w:ascii="Times New Roman" w:hAnsi="Times New Roman"/>
          <w:sz w:val="24"/>
          <w:szCs w:val="24"/>
        </w:rPr>
        <w:t>переходящий период действия (начало и конец договора приходятся на разные отчетные периоды).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доходов и расходов ведется отдельно по каждому договору.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одним договором предусмотрено строительство комплекса объектов, то объектом учета может рассматриваться каждый строй объект при выполнении условий:</w:t>
      </w:r>
    </w:p>
    <w:p w:rsidR="00C53785" w:rsidRPr="00F0442E" w:rsidRDefault="00C53785" w:rsidP="00C537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42E">
        <w:rPr>
          <w:rFonts w:ascii="Times New Roman" w:hAnsi="Times New Roman"/>
          <w:sz w:val="24"/>
          <w:szCs w:val="24"/>
        </w:rPr>
        <w:t>на строительство каждого объекта имеется техническая документация (проект)</w:t>
      </w:r>
    </w:p>
    <w:p w:rsidR="00C53785" w:rsidRPr="00F0442E" w:rsidRDefault="00C53785" w:rsidP="00C5378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42E">
        <w:rPr>
          <w:rFonts w:ascii="Times New Roman" w:hAnsi="Times New Roman"/>
          <w:sz w:val="24"/>
          <w:szCs w:val="24"/>
        </w:rPr>
        <w:t>по каждому объекту может быть достоверно определены доходы и расходы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наоборот если два и более договоров подразумевают строительство одного объекта, то он может выступать одним объектом учета при следующих условиях:</w:t>
      </w:r>
    </w:p>
    <w:p w:rsidR="00C53785" w:rsidRPr="00DE6E58" w:rsidRDefault="00C53785" w:rsidP="00C5378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E58">
        <w:rPr>
          <w:rFonts w:ascii="Times New Roman" w:hAnsi="Times New Roman"/>
          <w:sz w:val="24"/>
          <w:szCs w:val="24"/>
        </w:rPr>
        <w:t>в силу взаимосвязи отдельные договоры относятся к единому проекту, с единой нормой прибыли</w:t>
      </w:r>
    </w:p>
    <w:p w:rsidR="00C53785" w:rsidRPr="00DE6E58" w:rsidRDefault="00C53785" w:rsidP="00C53785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6E58">
        <w:rPr>
          <w:rFonts w:ascii="Times New Roman" w:hAnsi="Times New Roman"/>
          <w:sz w:val="24"/>
          <w:szCs w:val="24"/>
        </w:rPr>
        <w:t>договора выполняется либо одновременно, либо последовательно друг за другом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028E9">
        <w:rPr>
          <w:rFonts w:ascii="Times New Roman" w:hAnsi="Times New Roman"/>
          <w:i/>
          <w:sz w:val="24"/>
          <w:szCs w:val="24"/>
        </w:rPr>
        <w:t>Учет доходов подрядных организаций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по договору/ выручка по договору признается доходом от обычных видов деятельности и определяется исходя из стоимости работ, определенных договором.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договорной цены может производится в трех случаях:</w:t>
      </w:r>
    </w:p>
    <w:p w:rsidR="00C53785" w:rsidRPr="00491661" w:rsidRDefault="00C53785" w:rsidP="00C5378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1661">
        <w:rPr>
          <w:rFonts w:ascii="Times New Roman" w:hAnsi="Times New Roman"/>
          <w:sz w:val="24"/>
          <w:szCs w:val="24"/>
        </w:rPr>
        <w:t>при возникновении отклонений (вызванных использованием более качественных материалов, выполнением более сложных работ или работ не предусмотренных тех.документацией, исполнением меньшего объема работ и др.);</w:t>
      </w:r>
    </w:p>
    <w:p w:rsidR="00C53785" w:rsidRPr="00491661" w:rsidRDefault="00C53785" w:rsidP="00C5378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1661">
        <w:rPr>
          <w:rFonts w:ascii="Times New Roman" w:hAnsi="Times New Roman"/>
          <w:sz w:val="24"/>
          <w:szCs w:val="24"/>
        </w:rPr>
        <w:t>при предъявлении претензий;</w:t>
      </w:r>
    </w:p>
    <w:p w:rsidR="00C53785" w:rsidRPr="00491661" w:rsidRDefault="00C53785" w:rsidP="00C5378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1661">
        <w:rPr>
          <w:rFonts w:ascii="Times New Roman" w:hAnsi="Times New Roman"/>
          <w:sz w:val="24"/>
          <w:szCs w:val="24"/>
        </w:rPr>
        <w:t>поощрительные платежи – это суммы которые подрядчик может получить за сокращение сроков строительства.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Выручка может быть скорректирована только в том случае, если есть основания полагать, что сумма корректировки можно определить и она будет принята и одобрена законом.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б/у существует 2 способа отражения доходов от выполнения СМР:</w:t>
      </w:r>
    </w:p>
    <w:p w:rsidR="00C53785" w:rsidRDefault="00C53785" w:rsidP="00C5378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объекта в целом</w:t>
      </w:r>
    </w:p>
    <w:p w:rsidR="00C53785" w:rsidRDefault="00C53785" w:rsidP="00C53785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Учет: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51/62 аванс , 62ав/68 – получен аванс, выделен НДС;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62осн.-90.1  - отражена выручка;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90.2 / 20.1 - списана с/с работ, выполненных своими силами;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90.2/20.2 – списаны затраты на проведение СМР подрядной организацией;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90.3/68 – НДС</w:t>
      </w:r>
    </w:p>
    <w:p w:rsidR="00C53785" w:rsidRDefault="00C53785" w:rsidP="00C5378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62ав./62осн. , 68/62 ав. – зачет аванса</w:t>
      </w:r>
    </w:p>
    <w:p w:rsidR="00C53785" w:rsidRDefault="00C53785" w:rsidP="00C5378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объектов при поэтапной сдаче с использованием счета 46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учета сданных этапов используют счет 46. По дебету в корреспонденции со сч. 90 отражаются доходы от сданного этапа на основании расчетного документа; по кредиту – суммы предъявляемые заказчику к оплате при сдаче объекта.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Учет: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46/90.1 – предъявлены расчетные документы по выполненным СМР по этапам;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90.2 / 20.1 – списаны затраты по выполненному этапу хоз. способом;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90.2/20.2 – списаны затраты по выполненному этапу субподрядным способом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90.9-99 – определена прибыль по выполненному этапу</w:t>
      </w:r>
    </w:p>
    <w:p w:rsidR="00C53785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т.д. по каждому этапу. Когда объект полностью сдается заказчику делается запись: </w:t>
      </w:r>
    </w:p>
    <w:p w:rsidR="00C53785" w:rsidRPr="00115F34" w:rsidRDefault="00C53785" w:rsidP="00C537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62/46 – сдан объект заказчику.</w:t>
      </w:r>
    </w:p>
    <w:p w:rsidR="0085547E" w:rsidRDefault="0085547E">
      <w:bookmarkStart w:id="0" w:name="_GoBack"/>
      <w:bookmarkEnd w:id="0"/>
    </w:p>
    <w:sectPr w:rsidR="0085547E" w:rsidSect="0085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5807"/>
    <w:multiLevelType w:val="hybridMultilevel"/>
    <w:tmpl w:val="89F4D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23321"/>
    <w:multiLevelType w:val="hybridMultilevel"/>
    <w:tmpl w:val="48C4E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67668B"/>
    <w:multiLevelType w:val="hybridMultilevel"/>
    <w:tmpl w:val="701C3A88"/>
    <w:lvl w:ilvl="0" w:tplc="CFD475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F60A93"/>
    <w:multiLevelType w:val="hybridMultilevel"/>
    <w:tmpl w:val="B2527E26"/>
    <w:lvl w:ilvl="0" w:tplc="CFD47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A8932C5"/>
    <w:multiLevelType w:val="hybridMultilevel"/>
    <w:tmpl w:val="F4922B2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DD952EA"/>
    <w:multiLevelType w:val="hybridMultilevel"/>
    <w:tmpl w:val="4064A8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B646A3"/>
    <w:multiLevelType w:val="hybridMultilevel"/>
    <w:tmpl w:val="30327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E307F"/>
    <w:multiLevelType w:val="hybridMultilevel"/>
    <w:tmpl w:val="44F28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AD3E04"/>
    <w:multiLevelType w:val="hybridMultilevel"/>
    <w:tmpl w:val="A4640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D36177"/>
    <w:multiLevelType w:val="hybridMultilevel"/>
    <w:tmpl w:val="B3FC4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CC800C0"/>
    <w:multiLevelType w:val="hybridMultilevel"/>
    <w:tmpl w:val="F69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44CB9"/>
    <w:multiLevelType w:val="hybridMultilevel"/>
    <w:tmpl w:val="1D8E10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785"/>
    <w:rsid w:val="0085547E"/>
    <w:rsid w:val="00B76D00"/>
    <w:rsid w:val="00C53785"/>
    <w:rsid w:val="00E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4AF20-43D4-48DF-842A-B9C0FC8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2014-04-06T16:42:00Z</dcterms:created>
  <dcterms:modified xsi:type="dcterms:W3CDTF">2014-04-06T16:42:00Z</dcterms:modified>
</cp:coreProperties>
</file>