
<file path=[Content_Types].xml><?xml version="1.0" encoding="utf-8"?>
<Types xmlns="http://schemas.openxmlformats.org/package/2006/content-types">
  <Default Extension="wmf" ContentType="image/x-wmf"/>
  <Default Extension="xls" ContentType="application/vnd.ms-excel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  <w:r>
        <w:rPr>
          <w:rFonts w:ascii="Times New Roman" w:hAnsi="Times New Roman"/>
          <w:b/>
          <w:i/>
          <w:sz w:val="36"/>
        </w:rPr>
        <w:t>План.</w:t>
      </w: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Вступ…………………………………………………………………...3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</w:t>
      </w:r>
      <w:r>
        <w:rPr>
          <w:rFonts w:ascii="Times New Roman" w:hAnsi="Times New Roman"/>
          <w:i/>
          <w:sz w:val="32"/>
          <w:lang w:val="en-US"/>
        </w:rPr>
        <w:t>І</w:t>
      </w:r>
      <w:r>
        <w:rPr>
          <w:rFonts w:ascii="Times New Roman" w:hAnsi="Times New Roman"/>
          <w:i/>
          <w:sz w:val="32"/>
        </w:rPr>
        <w:t>.   ТЕОРЕТИЧНА ЧАСТИНА.</w:t>
      </w:r>
    </w:p>
    <w:p w:rsidR="00AA6C0F" w:rsidRDefault="00AA6C0F">
      <w:pPr>
        <w:pStyle w:val="10"/>
        <w:numPr>
          <w:ilvl w:val="0"/>
          <w:numId w:val="3"/>
        </w:numPr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Облік реалізації товарів та визначення фінансового          </w:t>
      </w:r>
    </w:p>
    <w:p w:rsidR="00AA6C0F" w:rsidRDefault="00AA6C0F">
      <w:pPr>
        <w:pStyle w:val="10"/>
        <w:ind w:left="945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результату в оптовій торгівлі……………………………...4</w:t>
      </w:r>
    </w:p>
    <w:p w:rsidR="00AA6C0F" w:rsidRDefault="00AA6C0F">
      <w:pPr>
        <w:pStyle w:val="10"/>
        <w:ind w:right="140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  2. Облік закінчених капітальних вкладень.</w:t>
      </w:r>
    </w:p>
    <w:p w:rsidR="00AA6C0F" w:rsidRDefault="00AA6C0F">
      <w:pPr>
        <w:pStyle w:val="10"/>
        <w:tabs>
          <w:tab w:val="left" w:pos="9639"/>
        </w:tabs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      Облік джерел фінансування капітальних вкладень………8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  <w:lang w:val="en-US"/>
        </w:rPr>
        <w:t xml:space="preserve">        ІI</w:t>
      </w:r>
      <w:r>
        <w:rPr>
          <w:rFonts w:ascii="Times New Roman" w:hAnsi="Times New Roman"/>
          <w:i/>
          <w:sz w:val="32"/>
        </w:rPr>
        <w:t>.   ПРАКТИЧНА ЧАСТИНА.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      Задача…………………………………………………………….14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Висновки……………………………………………………………….15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Список використаної літератури……………………………….16</w:t>
      </w: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  <w:lang w:val="en-US"/>
        </w:rPr>
      </w:pPr>
    </w:p>
    <w:p w:rsidR="00AA6C0F" w:rsidRDefault="00AA6C0F">
      <w:pPr>
        <w:pStyle w:val="10"/>
        <w:ind w:firstLine="0"/>
        <w:rPr>
          <w:rFonts w:ascii="Times New Roman" w:hAnsi="Times New Roman"/>
          <w:b/>
          <w:i/>
          <w:sz w:val="36"/>
          <w:lang w:val="en-US"/>
        </w:rPr>
      </w:pPr>
    </w:p>
    <w:p w:rsidR="00AA6C0F" w:rsidRDefault="00AA6C0F">
      <w:pPr>
        <w:pStyle w:val="10"/>
        <w:ind w:firstLine="0"/>
        <w:jc w:val="center"/>
        <w:rPr>
          <w:rFonts w:ascii="Times New Roman" w:hAnsi="Times New Roman"/>
          <w:b/>
          <w:i/>
          <w:sz w:val="36"/>
        </w:rPr>
      </w:pPr>
      <w:r>
        <w:rPr>
          <w:rFonts w:ascii="Times New Roman" w:hAnsi="Times New Roman"/>
          <w:b/>
          <w:i/>
          <w:sz w:val="36"/>
        </w:rPr>
        <w:lastRenderedPageBreak/>
        <w:t>Вступ.</w:t>
      </w:r>
    </w:p>
    <w:p w:rsidR="00AA6C0F" w:rsidRDefault="00AA6C0F">
      <w:pPr>
        <w:pStyle w:val="10"/>
        <w:rPr>
          <w:rFonts w:ascii="Times New Roman" w:hAnsi="Times New Roman"/>
          <w:i/>
          <w:sz w:val="32"/>
          <w:lang w:val="en-US"/>
        </w:rPr>
      </w:pP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Бухгалтерський облік є однієї з найважливіших дисциплін економічного циклу, що забезпечують інформацією процес прийняття управлінських рішень.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У умовах формування ринкових відносин торгово-посередницька діяльність займає особливе місце в народному господарстві України. Тому дуже актуально вивчення особливостей обліку операцій оптової і роздрібної торгівлі.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Бухгалтерський облік в установах  культури, науки, освіти істотно відрізняється від обліку в інших галузях господарства, тому що при цьому використовується меморіально-ордерна форма обліку. Вивчення особливостей бюджетного обліку необхідно для підготування до роботи в цих установах.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Індустрія побутового обслуговування і туризму розвивається в Україні значними темпами, що диктує необхідність знання основ ведення бухгалтерського обліку операцій гостьового обслуговування, а також операцій по наданню послуг населенню.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Крім цього й інші галузі мають визначені особливості функціонування. Звідси випливає необхідність вивчення бухгалтерського обліку в будівництві, страхової діяльності, на транспорті, у банках, сільському і лісовому господарстві й інших галузях.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Дана контрольна робота складається з двох частин:    теоретичної 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( два питання) і практичної ( задача).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В теоретичній частині розглянуті  облік реалізації товарів та визначення фінансових результатів в оптовій торгівлі, облік закінчених капітальних вкладень та облік джерел їх фінансування, а також практична задача обліку в бюджетній установі.</w:t>
      </w: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</w:rPr>
        <w:t xml:space="preserve">  Метою написання роботи є засвоєння теоретичних знань, придбання практичних навичок бухгалтерського і податкового обліку в бюджетних установах, торгівлі, на підприємствах побутового обслуговування й інших галузей і сферах народного господарства України.</w:t>
      </w: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b/>
          <w:i/>
          <w:sz w:val="32"/>
          <w:lang w:val="en-US"/>
        </w:rPr>
      </w:pP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b/>
          <w:i/>
          <w:sz w:val="32"/>
          <w:lang w:val="en-US"/>
        </w:rPr>
      </w:pP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b/>
          <w:i/>
          <w:sz w:val="32"/>
          <w:lang w:val="en-US"/>
        </w:rPr>
      </w:pP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  <w:lang w:val="en-US"/>
        </w:rPr>
        <w:t>І</w:t>
      </w:r>
      <w:r>
        <w:rPr>
          <w:rFonts w:ascii="Times New Roman" w:hAnsi="Times New Roman"/>
          <w:b/>
          <w:i/>
          <w:sz w:val="32"/>
        </w:rPr>
        <w:t>.ТЕОРЕТИЧНА ЧАСТИНА.</w:t>
      </w:r>
    </w:p>
    <w:p w:rsidR="00AA6C0F" w:rsidRDefault="00AA6C0F">
      <w:pPr>
        <w:pStyle w:val="10"/>
        <w:spacing w:line="240" w:lineRule="auto"/>
        <w:ind w:firstLine="0"/>
        <w:jc w:val="center"/>
        <w:rPr>
          <w:rFonts w:ascii="Times New Roman" w:hAnsi="Times New Roman"/>
          <w:i/>
          <w:sz w:val="36"/>
        </w:rPr>
        <w:sectPr w:rsidR="00AA6C0F">
          <w:headerReference w:type="even" r:id="rId7"/>
          <w:headerReference w:type="default" r:id="rId8"/>
          <w:type w:val="continuous"/>
          <w:pgSz w:w="11900" w:h="16820"/>
          <w:pgMar w:top="426" w:right="907" w:bottom="680" w:left="1276" w:header="720" w:footer="720" w:gutter="0"/>
          <w:pgNumType w:start="2"/>
          <w:cols w:space="60"/>
          <w:noEndnote/>
        </w:sectPr>
      </w:pPr>
      <w:r>
        <w:rPr>
          <w:rFonts w:ascii="Times New Roman" w:hAnsi="Times New Roman"/>
          <w:b/>
          <w:i/>
          <w:sz w:val="36"/>
        </w:rPr>
        <w:t>1. Облік реалізації товарів та визначення фінансового результату в оптовій торгівлі.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Принципи формування в бухгалтерському об</w:t>
      </w:r>
      <w:r>
        <w:rPr>
          <w:rFonts w:ascii="Times New Roman" w:hAnsi="Times New Roman"/>
          <w:i/>
          <w:sz w:val="32"/>
        </w:rPr>
        <w:softHyphen/>
        <w:t>ліку інформації про товари, доходи і витрати тор</w:t>
      </w:r>
      <w:r>
        <w:rPr>
          <w:rFonts w:ascii="Times New Roman" w:hAnsi="Times New Roman"/>
          <w:i/>
          <w:sz w:val="32"/>
        </w:rPr>
        <w:softHyphen/>
        <w:t>говельного підприємства та її розкриття у фінан</w:t>
      </w:r>
      <w:r>
        <w:rPr>
          <w:rFonts w:ascii="Times New Roman" w:hAnsi="Times New Roman"/>
          <w:i/>
          <w:sz w:val="32"/>
        </w:rPr>
        <w:softHyphen/>
        <w:t>совій звітності визначають П(С)БО 9  “Запаси”, П(С)БО 15 “Дохід” і П(С)БО 16 “Витрати”.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Відповідно до сучасних підходів до організації бухгалтерського обліку і звітності розроблені і зат</w:t>
      </w:r>
      <w:r>
        <w:rPr>
          <w:rFonts w:ascii="Times New Roman" w:hAnsi="Times New Roman"/>
          <w:i/>
          <w:sz w:val="32"/>
        </w:rPr>
        <w:softHyphen/>
        <w:t>верджені новий План рахунків та Інструкція № 291.</w:t>
      </w:r>
    </w:p>
    <w:p w:rsidR="00AA6C0F" w:rsidRDefault="00AA6C0F">
      <w:pPr>
        <w:pStyle w:val="10"/>
        <w:spacing w:before="20"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Облік товарів здійснюється на підставі П(С)БО 9, згідно з пунктом 6 якого товари - це матеріальні цінності, що придбані (отримані) і утримуються підприємством у цілях подальшого продажу.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Для обліку й узагальнення інформації про рух товарів відповідно до нового Плану рахунків використовується рахунок 28 Товари” із застосуванням субрахунків:</w:t>
      </w:r>
    </w:p>
    <w:p w:rsidR="00AA6C0F" w:rsidRDefault="00AA6C0F">
      <w:pPr>
        <w:pStyle w:val="10"/>
        <w:spacing w:line="240" w:lineRule="auto"/>
        <w:ind w:left="24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281 “Товари на складі”;</w:t>
      </w:r>
    </w:p>
    <w:p w:rsidR="00AA6C0F" w:rsidRDefault="00AA6C0F">
      <w:pPr>
        <w:pStyle w:val="10"/>
        <w:spacing w:line="240" w:lineRule="auto"/>
        <w:ind w:left="24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282 “Товари в торгівлі”;</w:t>
      </w:r>
    </w:p>
    <w:p w:rsidR="00AA6C0F" w:rsidRDefault="00AA6C0F">
      <w:pPr>
        <w:pStyle w:val="10"/>
        <w:spacing w:line="240" w:lineRule="auto"/>
        <w:ind w:left="24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283 “Товари на комісії”;</w:t>
      </w:r>
    </w:p>
    <w:p w:rsidR="00AA6C0F" w:rsidRDefault="00AA6C0F">
      <w:pPr>
        <w:pStyle w:val="10"/>
        <w:spacing w:line="240" w:lineRule="auto"/>
        <w:ind w:left="24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284 “Тара під товарами”;</w:t>
      </w:r>
    </w:p>
    <w:p w:rsidR="00AA6C0F" w:rsidRDefault="00AA6C0F">
      <w:pPr>
        <w:pStyle w:val="10"/>
        <w:spacing w:line="240" w:lineRule="auto"/>
        <w:ind w:left="240"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285 “Торговельна націнка”.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По дебету субрахунків 281 - 284 відображається збільшення кількості товарів та їх вартості, по кре</w:t>
      </w:r>
      <w:r>
        <w:rPr>
          <w:rFonts w:ascii="Times New Roman" w:hAnsi="Times New Roman"/>
          <w:i/>
          <w:sz w:val="32"/>
        </w:rPr>
        <w:softHyphen/>
        <w:t>диту - зменшення. Прибуткуються товари відповідно до нової сис</w:t>
      </w:r>
      <w:r>
        <w:rPr>
          <w:rFonts w:ascii="Times New Roman" w:hAnsi="Times New Roman"/>
          <w:i/>
          <w:sz w:val="32"/>
        </w:rPr>
        <w:softHyphen/>
        <w:t>теми бухгалтерського обліку за первісною варті</w:t>
      </w:r>
      <w:r>
        <w:rPr>
          <w:rFonts w:ascii="Times New Roman" w:hAnsi="Times New Roman"/>
          <w:i/>
          <w:sz w:val="32"/>
        </w:rPr>
        <w:softHyphen/>
        <w:t>стю, у той час як раніше оприбуткування здійсню</w:t>
      </w:r>
      <w:r>
        <w:rPr>
          <w:rFonts w:ascii="Times New Roman" w:hAnsi="Times New Roman"/>
          <w:i/>
          <w:sz w:val="32"/>
        </w:rPr>
        <w:softHyphen/>
        <w:t>валося за купівельною вартістю.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Реалізація товарів, так само які купівля, здійснюється на підставі укладених договорів поставки, купівлі продажу тощо з оформленням супровідних документів( накладна, товарно-транспортна накладна, рахунок-фактура та ін.).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Підприємства оптової торгівлі, як правило, реалізують товари з оптових баз, товарних складів, складів-магазинів.</w:t>
      </w:r>
    </w:p>
    <w:p w:rsidR="00AA6C0F" w:rsidRDefault="00AA6C0F">
      <w:pPr>
        <w:pStyle w:val="10"/>
        <w:spacing w:line="220" w:lineRule="auto"/>
        <w:ind w:firstLine="26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Розрахунки за товари можуть здійснюватися підприємствами як у готівковій, так і в безготівковій формі. Однак при розрахунках готівковими грошовими коштами одного підприємства з іншим обмеження в сумі 3000 грн. на день( п.1 Порядку №21).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Здійснюючи торгівельну діяльність, підприєм</w:t>
      </w:r>
      <w:r>
        <w:rPr>
          <w:rFonts w:ascii="Times New Roman" w:hAnsi="Times New Roman"/>
          <w:i/>
          <w:sz w:val="32"/>
        </w:rPr>
        <w:softHyphen/>
        <w:t>ства отримують дохід (виручку) від реалізації то</w:t>
      </w:r>
      <w:r>
        <w:rPr>
          <w:rFonts w:ascii="Times New Roman" w:hAnsi="Times New Roman"/>
          <w:i/>
          <w:sz w:val="32"/>
        </w:rPr>
        <w:softHyphen/>
        <w:t>варів. Відповідно до діючих стандартів,</w:t>
      </w:r>
      <w:r>
        <w:rPr>
          <w:rFonts w:ascii="Times New Roman" w:hAnsi="Times New Roman"/>
          <w:b/>
          <w:i/>
          <w:sz w:val="32"/>
        </w:rPr>
        <w:t xml:space="preserve"> </w:t>
      </w:r>
      <w:r>
        <w:rPr>
          <w:rFonts w:ascii="Times New Roman" w:hAnsi="Times New Roman"/>
          <w:i/>
          <w:sz w:val="32"/>
        </w:rPr>
        <w:t xml:space="preserve">доходи </w:t>
      </w:r>
      <w:r>
        <w:rPr>
          <w:rFonts w:ascii="Times New Roman" w:hAnsi="Times New Roman"/>
          <w:b/>
          <w:i/>
          <w:sz w:val="32"/>
        </w:rPr>
        <w:t xml:space="preserve">- </w:t>
      </w:r>
      <w:r>
        <w:rPr>
          <w:rFonts w:ascii="Times New Roman" w:hAnsi="Times New Roman"/>
          <w:i/>
          <w:sz w:val="32"/>
        </w:rPr>
        <w:t>це збільшення економічних,  вигід у вигляді надход</w:t>
      </w:r>
      <w:r>
        <w:rPr>
          <w:rFonts w:ascii="Times New Roman" w:hAnsi="Times New Roman"/>
          <w:i/>
          <w:sz w:val="32"/>
        </w:rPr>
        <w:softHyphen/>
        <w:t>ження активів або зменшення зобов’язань, які приводять до збільшення власного капіталу (крім збільшення капіталу за рахунок внесків власників).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Для узагальнення інформації про доходи (ви</w:t>
      </w:r>
      <w:r>
        <w:rPr>
          <w:rFonts w:ascii="Times New Roman" w:hAnsi="Times New Roman"/>
          <w:i/>
          <w:sz w:val="32"/>
        </w:rPr>
        <w:softHyphen/>
        <w:t xml:space="preserve">ручку) від реалізації товарів призначений ;,рахунок 70 “Доходи від реалізації” субрахунок 702 “Дохід від реалізації товарів”.          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По кредиту субрахунку 702 відображається збільшення доходу від реалізації разом із сумою непрямих податків, зборів, обов’язкових платежів, які включені в ціну продажу, по дебету - належна сума непрямих податків, зборів, обов’язкових пла</w:t>
      </w:r>
      <w:r>
        <w:rPr>
          <w:rFonts w:ascii="Times New Roman" w:hAnsi="Times New Roman"/>
          <w:i/>
          <w:sz w:val="32"/>
        </w:rPr>
        <w:softHyphen/>
        <w:t>тежів, суми, отримувані підприємством на користь комітента, принципала, щорічне або щомісячне віднесення суми чистого доходу на рахунок 79 “Фінансові результати” субрахунок 791 “Результат основної. діяльності”.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Крім того, на субрахунку 704 “Вирахуваний з доходу” відображається сума наданих після дати реалізації знижок покупцям, вартість повернених покупцем товарів та інші вирахування. По дебету субрахунку 704 відображається вище перелічене ви</w:t>
      </w:r>
      <w:r>
        <w:rPr>
          <w:rFonts w:ascii="Times New Roman" w:hAnsi="Times New Roman"/>
          <w:i/>
          <w:sz w:val="32"/>
        </w:rPr>
        <w:softHyphen/>
        <w:t>рахування, а по кредиту - списання дебетових обо</w:t>
      </w:r>
      <w:r>
        <w:rPr>
          <w:rFonts w:ascii="Times New Roman" w:hAnsi="Times New Roman"/>
          <w:i/>
          <w:sz w:val="32"/>
        </w:rPr>
        <w:softHyphen/>
        <w:t xml:space="preserve">ротів на рахунок 79.     </w:t>
      </w:r>
    </w:p>
    <w:p w:rsidR="00AA6C0F" w:rsidRDefault="00AA6C0F">
      <w:pPr>
        <w:pStyle w:val="10"/>
        <w:spacing w:before="20" w:line="220" w:lineRule="auto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При продажу товарів необхідно здійснювати їх оцінку для визначення собівартості, за якою вони будуть списуватися з балансу. Оцінка товарів здійснюється одним з методів:</w:t>
      </w:r>
    </w:p>
    <w:p w:rsidR="00AA6C0F" w:rsidRDefault="00AA6C0F">
      <w:pPr>
        <w:pStyle w:val="10"/>
        <w:spacing w:line="220" w:lineRule="auto"/>
        <w:ind w:left="600" w:hanging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ідентифікованої собівартості відповідної оди</w:t>
      </w:r>
      <w:r>
        <w:rPr>
          <w:rFonts w:ascii="Times New Roman" w:hAnsi="Times New Roman"/>
          <w:i/>
          <w:sz w:val="32"/>
        </w:rPr>
        <w:softHyphen/>
        <w:t>ниці запасів;</w:t>
      </w:r>
    </w:p>
    <w:p w:rsidR="00AA6C0F" w:rsidRDefault="00AA6C0F">
      <w:pPr>
        <w:pStyle w:val="10"/>
        <w:spacing w:line="240" w:lineRule="auto"/>
        <w:ind w:left="600" w:hanging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середньозваженої собівартості;</w:t>
      </w:r>
    </w:p>
    <w:p w:rsidR="00AA6C0F" w:rsidRDefault="00AA6C0F">
      <w:pPr>
        <w:pStyle w:val="10"/>
        <w:spacing w:line="220" w:lineRule="auto"/>
        <w:ind w:left="600" w:hanging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 xml:space="preserve">собівартості перших за часом надходження запасів (ФІФО); </w:t>
      </w:r>
    </w:p>
    <w:p w:rsidR="00AA6C0F" w:rsidRDefault="00AA6C0F">
      <w:pPr>
        <w:pStyle w:val="10"/>
        <w:spacing w:line="220" w:lineRule="auto"/>
        <w:ind w:left="600" w:hanging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собівартості останніх за часом надходження запасів (ЛІФО);</w:t>
      </w:r>
    </w:p>
    <w:p w:rsidR="00AA6C0F" w:rsidRDefault="00AA6C0F">
      <w:pPr>
        <w:pStyle w:val="10"/>
        <w:spacing w:line="240" w:lineRule="auto"/>
        <w:ind w:left="600" w:hanging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 xml:space="preserve">ціни продажу.   </w:t>
      </w: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Для всіх одиниць бухгалтерського обліку то</w:t>
      </w:r>
      <w:r>
        <w:rPr>
          <w:rFonts w:ascii="Times New Roman" w:hAnsi="Times New Roman"/>
          <w:i/>
          <w:sz w:val="32"/>
        </w:rPr>
        <w:softHyphen/>
        <w:t>варів, які мають однакове призначення й однакові умови використання, застосовується тільки один з наведених методів.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Для узагальнення інформації про собівартість реалізованих товарів передбачений рахунок 90 “Собівартість реалізації” субрахунок 902 “Со</w:t>
      </w:r>
      <w:r>
        <w:rPr>
          <w:rFonts w:ascii="Times New Roman" w:hAnsi="Times New Roman"/>
          <w:i/>
          <w:sz w:val="32"/>
        </w:rPr>
        <w:softHyphen/>
        <w:t>бівартість реалізованих товарів”.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</w:rPr>
        <w:t>По дебету цього субрахунку відображається фак</w:t>
      </w:r>
      <w:r>
        <w:rPr>
          <w:rFonts w:ascii="Times New Roman" w:hAnsi="Times New Roman"/>
          <w:i/>
          <w:sz w:val="32"/>
        </w:rPr>
        <w:softHyphen/>
        <w:t>тична собівартість реалізованих товарів (без тор</w:t>
      </w:r>
      <w:r>
        <w:rPr>
          <w:rFonts w:ascii="Times New Roman" w:hAnsi="Times New Roman"/>
          <w:i/>
          <w:sz w:val="32"/>
        </w:rPr>
        <w:softHyphen/>
        <w:t>говельних націнок), а по кредиту - списання в по</w:t>
      </w:r>
      <w:r>
        <w:rPr>
          <w:rFonts w:ascii="Times New Roman" w:hAnsi="Times New Roman"/>
          <w:i/>
          <w:sz w:val="32"/>
        </w:rPr>
        <w:softHyphen/>
        <w:t>рядку закриття щомісяця або в кінці звітного року дебетових оборотів на рахунок 79 субрахунок 791.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b/>
          <w:i/>
          <w:sz w:val="32"/>
        </w:rPr>
        <w:tab/>
      </w:r>
      <w:r>
        <w:rPr>
          <w:rFonts w:ascii="Times New Roman" w:hAnsi="Times New Roman"/>
          <w:i/>
          <w:sz w:val="32"/>
        </w:rPr>
        <w:t>Відповідно до національних стандартів бухгал</w:t>
      </w:r>
      <w:r>
        <w:rPr>
          <w:rFonts w:ascii="Times New Roman" w:hAnsi="Times New Roman"/>
          <w:i/>
          <w:sz w:val="32"/>
        </w:rPr>
        <w:softHyphen/>
        <w:t>терського обліку</w:t>
      </w:r>
      <w:r>
        <w:rPr>
          <w:rFonts w:ascii="Times New Roman" w:hAnsi="Times New Roman"/>
          <w:b/>
          <w:i/>
          <w:sz w:val="32"/>
        </w:rPr>
        <w:t xml:space="preserve"> </w:t>
      </w:r>
      <w:r>
        <w:rPr>
          <w:rFonts w:ascii="Times New Roman" w:hAnsi="Times New Roman"/>
          <w:i/>
          <w:sz w:val="32"/>
        </w:rPr>
        <w:t>витрати - це зменшення еконо</w:t>
      </w:r>
      <w:r>
        <w:rPr>
          <w:rFonts w:ascii="Times New Roman" w:hAnsi="Times New Roman"/>
          <w:i/>
          <w:sz w:val="32"/>
        </w:rPr>
        <w:softHyphen/>
        <w:t>мічних вигід у вигляді вибуття активів або збільшен</w:t>
      </w:r>
      <w:r>
        <w:rPr>
          <w:rFonts w:ascii="Times New Roman" w:hAnsi="Times New Roman"/>
          <w:i/>
          <w:sz w:val="32"/>
        </w:rPr>
        <w:softHyphen/>
        <w:t>ня зобов’язань, які призводять до зменшення влас</w:t>
      </w:r>
      <w:r>
        <w:rPr>
          <w:rFonts w:ascii="Times New Roman" w:hAnsi="Times New Roman"/>
          <w:i/>
          <w:sz w:val="32"/>
        </w:rPr>
        <w:softHyphen/>
        <w:t>ного капіталу (за винятком зменшення капіталу за рахунок його вилучення або розподілу власниками).</w:t>
      </w:r>
    </w:p>
    <w:p w:rsidR="00AA6C0F" w:rsidRDefault="00AA6C0F">
      <w:pPr>
        <w:pStyle w:val="10"/>
        <w:spacing w:line="220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Витрати визнаються витратами певного періоду Одночасно з визнанням доходу, для отримання яко</w:t>
      </w:r>
      <w:r>
        <w:rPr>
          <w:rFonts w:ascii="Times New Roman" w:hAnsi="Times New Roman"/>
          <w:i/>
          <w:sz w:val="32"/>
        </w:rPr>
        <w:softHyphen/>
        <w:t>го вони здійснювалися. При цьому витрати, які не</w:t>
      </w:r>
      <w:r>
        <w:rPr>
          <w:rFonts w:ascii="Times New Roman" w:hAnsi="Times New Roman"/>
          <w:i/>
          <w:sz w:val="32"/>
        </w:rPr>
        <w:softHyphen/>
        <w:t>можливо прямо пов’язати з доходом певного пе</w:t>
      </w:r>
      <w:r>
        <w:rPr>
          <w:rFonts w:ascii="Times New Roman" w:hAnsi="Times New Roman"/>
          <w:i/>
          <w:sz w:val="32"/>
        </w:rPr>
        <w:softHyphen/>
        <w:t>ріоду, відображаються у складі .витрат того звітно</w:t>
      </w:r>
      <w:r>
        <w:rPr>
          <w:rFonts w:ascii="Times New Roman" w:hAnsi="Times New Roman"/>
          <w:i/>
          <w:sz w:val="32"/>
        </w:rPr>
        <w:softHyphen/>
        <w:t>го періоду, у якому вони були здійснені.</w: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Витрати, пов’язанім операційною діяльністю, які не включаються до собівартості товарів, поділя</w:t>
      </w:r>
      <w:r>
        <w:rPr>
          <w:rFonts w:ascii="Times New Roman" w:hAnsi="Times New Roman"/>
          <w:i/>
          <w:sz w:val="32"/>
        </w:rPr>
        <w:softHyphen/>
        <w:t>ються на адміністративні витрати, витрати на збут та інші операційні витрати.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Узагальнення інформації про витрати торговельного підприємства забезпечується застосуванням рахунків 92 “Адміністративні витрати”, 93 “Витра</w:t>
      </w:r>
      <w:r>
        <w:rPr>
          <w:rFonts w:ascii="Times New Roman" w:hAnsi="Times New Roman"/>
          <w:i/>
          <w:sz w:val="32"/>
        </w:rPr>
        <w:softHyphen/>
        <w:t>ти на збут”, 94 “Інші витрати операційної діяль</w:t>
      </w:r>
      <w:r>
        <w:rPr>
          <w:rFonts w:ascii="Times New Roman" w:hAnsi="Times New Roman"/>
          <w:i/>
          <w:sz w:val="32"/>
        </w:rPr>
        <w:softHyphen/>
        <w:t>ності”, а також рахунків класу 8 “Витрати за елементами”. При цьому використання рахунків класу 8 є обов’язковим для суб’єктів малого підприєм</w:t>
      </w:r>
      <w:r>
        <w:rPr>
          <w:rFonts w:ascii="Times New Roman" w:hAnsi="Times New Roman"/>
          <w:i/>
          <w:sz w:val="32"/>
        </w:rPr>
        <w:softHyphen/>
        <w:t>ництва і для підприємств, діяльність яких не спря</w:t>
      </w:r>
      <w:r>
        <w:rPr>
          <w:rFonts w:ascii="Times New Roman" w:hAnsi="Times New Roman"/>
          <w:i/>
          <w:sz w:val="32"/>
        </w:rPr>
        <w:softHyphen/>
        <w:t>мована на ведення комерційної діяльності. Торговельні ж підприємства можуть використовувати їх для узагальнення інформації про витрати за еле</w:t>
      </w:r>
      <w:r>
        <w:rPr>
          <w:rFonts w:ascii="Times New Roman" w:hAnsi="Times New Roman"/>
          <w:i/>
          <w:sz w:val="32"/>
        </w:rPr>
        <w:softHyphen/>
        <w:t>ментами затрат з одночасним списанням цих зат</w:t>
      </w:r>
      <w:r>
        <w:rPr>
          <w:rFonts w:ascii="Times New Roman" w:hAnsi="Times New Roman"/>
          <w:i/>
          <w:sz w:val="32"/>
        </w:rPr>
        <w:softHyphen/>
        <w:t>рат на рахунки витрат класу 9, тобто застосовува</w:t>
      </w:r>
      <w:r>
        <w:rPr>
          <w:rFonts w:ascii="Times New Roman" w:hAnsi="Times New Roman"/>
          <w:i/>
          <w:sz w:val="32"/>
        </w:rPr>
        <w:softHyphen/>
        <w:t xml:space="preserve">ти рахунки класу 8 як транзитні. </w: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Витрати, які враховуються на рахунках 92” Адміністративні витрати”, 93 “Витра</w:t>
      </w:r>
      <w:r>
        <w:rPr>
          <w:rFonts w:ascii="Times New Roman" w:hAnsi="Times New Roman"/>
          <w:i/>
          <w:sz w:val="32"/>
        </w:rPr>
        <w:softHyphen/>
        <w:t>ти на збут”, 94 “Інші витрати операційної діяль</w:t>
      </w:r>
      <w:r>
        <w:rPr>
          <w:rFonts w:ascii="Times New Roman" w:hAnsi="Times New Roman"/>
          <w:i/>
          <w:sz w:val="32"/>
        </w:rPr>
        <w:softHyphen/>
        <w:t>ності” списуються безпосередньо на рахунок 79 “Фінансові результати”.</w: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Рахунок 79 “Фінансові результати” займає особливе місце у Плані рахунків.  На нього списується сальдо рахунків доходів і витрат: по дебету – витрати, по кредиту –доходи.</w:t>
      </w:r>
    </w:p>
    <w:p w:rsidR="00AA6C0F" w:rsidRDefault="00AA6C0F">
      <w:pPr>
        <w:pStyle w:val="10"/>
        <w:spacing w:line="220" w:lineRule="auto"/>
        <w:ind w:firstLine="280"/>
        <w:jc w:val="center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Визначення фінансових результатів для підприємств оптової торгівлі подано на схемі  1.</w:t>
      </w:r>
      <w:r>
        <w:rPr>
          <w:rFonts w:ascii="Times New Roman" w:hAnsi="Times New Roman"/>
          <w:i/>
          <w:sz w:val="32"/>
          <w:lang w:val="en-US"/>
        </w:rPr>
        <w:t xml:space="preserve">                                                          </w:t>
      </w:r>
      <w:r>
        <w:rPr>
          <w:rFonts w:ascii="Times New Roman" w:hAnsi="Times New Roman"/>
          <w:i/>
          <w:sz w:val="32"/>
        </w:rPr>
        <w:t>Схема 1.</w:t>
      </w:r>
    </w:p>
    <w:p w:rsidR="00AA6C0F" w:rsidRDefault="00AA6C0F">
      <w:pPr>
        <w:pStyle w:val="10"/>
        <w:spacing w:line="220" w:lineRule="auto"/>
        <w:ind w:firstLine="280"/>
        <w:jc w:val="left"/>
        <w:rPr>
          <w:rFonts w:ascii="Times New Roman" w:hAnsi="Times New Roman"/>
          <w:i/>
          <w:sz w:val="32"/>
        </w:rPr>
      </w:pPr>
    </w:p>
    <w:p w:rsidR="00AA6C0F" w:rsidRDefault="002B046A">
      <w:pPr>
        <w:pStyle w:val="10"/>
        <w:spacing w:line="220" w:lineRule="auto"/>
        <w:ind w:firstLine="280"/>
        <w:jc w:val="left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rect id="_x0000_s1045" style="position:absolute;left:0;text-align:left;margin-left:411.4pt;margin-top:2.7pt;width:86.4pt;height:352.8pt;z-index:-251671040;mso-wrap-edited:f" wrapcoords="-188 0 -188 21600 21788 21600 21788 0 -188 0" o:allowincell="f" strokeweight="1pt">
            <v:textbox style="mso-next-textbox:#_x0000_s1045"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30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Каса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36</w:t>
                  </w:r>
                </w:p>
                <w:p w:rsidR="00AA6C0F" w:rsidRDefault="00AA6C0F">
                  <w:pPr>
                    <w:jc w:val="center"/>
                    <w:rPr>
                      <w:sz w:val="24"/>
                      <w:lang w:val="uk-UA"/>
                    </w:rPr>
                  </w:pPr>
                  <w:r>
                    <w:rPr>
                      <w:sz w:val="24"/>
                      <w:lang w:val="uk-UA"/>
                    </w:rPr>
                    <w:t>Розрахунки з</w:t>
                  </w:r>
                </w:p>
                <w:p w:rsidR="00AA6C0F" w:rsidRDefault="00AA6C0F">
                  <w:pPr>
                    <w:rPr>
                      <w:sz w:val="24"/>
                      <w:lang w:val="uk-UA"/>
                    </w:rPr>
                  </w:pPr>
                  <w:r>
                    <w:rPr>
                      <w:sz w:val="24"/>
                      <w:lang w:val="uk-UA"/>
                    </w:rPr>
                    <w:t>Покупцями і замовниками</w:t>
                  </w:r>
                </w:p>
                <w:p w:rsidR="00AA6C0F" w:rsidRDefault="00AA6C0F">
                  <w:pPr>
                    <w:rPr>
                      <w:sz w:val="24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24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37</w:t>
                  </w:r>
                  <w:r>
                    <w:rPr>
                      <w:sz w:val="24"/>
                      <w:lang w:val="uk-UA"/>
                    </w:rPr>
                    <w:t xml:space="preserve"> Розрахунки з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різними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дебіторами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68</w:t>
                  </w:r>
                  <w:r>
                    <w:rPr>
                      <w:sz w:val="24"/>
                      <w:lang w:val="uk-UA"/>
                    </w:rPr>
                    <w:t xml:space="preserve"> </w:t>
                  </w:r>
                  <w:r>
                    <w:rPr>
                      <w:sz w:val="28"/>
                      <w:lang w:val="uk-UA"/>
                    </w:rPr>
                    <w:t>Розрахунки за іншими</w:t>
                  </w:r>
                </w:p>
                <w:p w:rsidR="00AA6C0F" w:rsidRDefault="00AA6C0F">
                  <w:pPr>
                    <w:jc w:val="center"/>
                    <w:rPr>
                      <w:sz w:val="24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операціями</w:t>
                  </w:r>
                </w:p>
                <w:p w:rsidR="00AA6C0F" w:rsidRDefault="00AA6C0F">
                  <w:pPr>
                    <w:jc w:val="center"/>
                    <w:rPr>
                      <w:sz w:val="24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69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Доходи майбутніх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періодів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AA6C0F" w:rsidRDefault="00AA6C0F">
                  <w:pPr>
                    <w:jc w:val="center"/>
                    <w:rPr>
                      <w:sz w:val="32"/>
                      <w:lang w:val="uk-UA"/>
                    </w:rPr>
                  </w:pPr>
                </w:p>
              </w:txbxContent>
            </v:textbox>
            <w10:wrap type="through"/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44" style="position:absolute;left:0;text-align:left;margin-left:304.85pt;margin-top:5.2pt;width:93.6pt;height:1in;z-index:251649536" o:allowincell="f" strokeweight="1pt">
            <v:textbox style="mso-next-textbox:#_x0000_s1044"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64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 xml:space="preserve">Розрахунки 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З податками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І платежами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43" style="position:absolute;left:0;text-align:left;margin-left:211.25pt;margin-top:5.2pt;width:79.2pt;height:1in;z-index:251648512" o:allowincell="f" strokeweight="1pt">
            <v:textbox style="mso-next-textbox:#_x0000_s1043"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93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Витрати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На збут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42" style="position:absolute;left:0;text-align:left;margin-left:117.65pt;margin-top:5.2pt;width:79.2pt;height:1in;z-index:251647488" o:allowincell="f" strokeweight="1pt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92</w:t>
                  </w:r>
                </w:p>
                <w:p w:rsidR="00AA6C0F" w:rsidRDefault="00AA6C0F">
                  <w:pPr>
                    <w:pStyle w:val="1"/>
                  </w:pPr>
                  <w:r>
                    <w:t>Адмініст-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ративні</w:t>
                  </w:r>
                </w:p>
                <w:p w:rsidR="00AA6C0F" w:rsidRDefault="00AA6C0F">
                  <w:pPr>
                    <w:jc w:val="center"/>
                    <w:rPr>
                      <w:sz w:val="24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витрати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41" style="position:absolute;left:0;text-align:left;margin-left:9.65pt;margin-top:5.2pt;width:93.6pt;height:1in;z-index:251646464" o:allowincell="f" strokeweight="1pt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902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Собівартість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реалізованих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товарів</w:t>
                  </w:r>
                </w:p>
              </w:txbxContent>
            </v:textbox>
          </v:rect>
        </w:pi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66" style="position:absolute;left:0;text-align:left;z-index:251664896" from="355.25pt,9.7pt" to="355.25pt,74.5pt" o:allowincell="f">
            <v:stroke endarrow="block"/>
          </v:line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63" style="position:absolute;left:0;text-align:left;z-index:251662848" from="254.45pt,9.7pt" to="254.45pt,24.1pt" o:allowincell="f"/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62" style="position:absolute;left:0;text-align:left;z-index:251661824" from="160.85pt,9.7pt" to="160.85pt,24.1pt" o:allowincell="f"/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59" style="position:absolute;left:0;text-align:left;z-index:251659776" from="52.85pt,9.7pt" to="52.85pt,24.1pt" o:allowincell="f"/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46" style="position:absolute;left:0;text-align:left;z-index:251650560" from="412.85pt,2.5pt" to="499.25pt,2.5pt" o:allowincell="f"/>
        </w:pict>
      </w: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65" style="position:absolute;left:0;text-align:left;z-index:251663872" from="211.25pt,7.25pt" to="211.25pt,57.65pt" o:allowincell="f">
            <v:stroke endarrow="block"/>
          </v:line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60" style="position:absolute;left:0;text-align:left;z-index:251660800" from="52.85pt,7.25pt" to="254.45pt,7.25pt" o:allowincell="f"/>
        </w:pi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32"/>
        </w:rPr>
        <w:t xml:space="preserve">                                                  </w:t>
      </w:r>
      <w:r>
        <w:rPr>
          <w:rFonts w:ascii="Times New Roman" w:hAnsi="Times New Roman"/>
          <w:sz w:val="28"/>
        </w:rPr>
        <w:t>Дт 79</w:t>
      </w:r>
      <w:r>
        <w:rPr>
          <w:rFonts w:ascii="Times New Roman" w:hAnsi="Times New Roman"/>
          <w:sz w:val="32"/>
        </w:rPr>
        <w:t xml:space="preserve">                            </w:t>
      </w:r>
      <w:r>
        <w:rPr>
          <w:rFonts w:ascii="Times New Roman" w:hAnsi="Times New Roman"/>
          <w:sz w:val="28"/>
        </w:rPr>
        <w:t>Дт 702</w: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rect id="_x0000_s1054" style="position:absolute;left:0;text-align:left;margin-left:9.65pt;margin-top:7.05pt;width:100.8pt;height:1in;z-index:251656704" o:allowincell="f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94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Інші витрати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Операційної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діяльності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53" style="position:absolute;left:0;text-align:left;margin-left:160.85pt;margin-top:7.05pt;width:100.8pt;height:1in;z-index:251655680" o:allowincell="f">
            <v:fill r:id="rId9" o:title="Шпалера" color2="#767676" type="pattern"/>
            <v:textbox>
              <w:txbxContent>
                <w:p w:rsidR="00AA6C0F" w:rsidRDefault="00AA6C0F">
                  <w:pPr>
                    <w:jc w:val="center"/>
                    <w:rPr>
                      <w:b/>
                      <w:sz w:val="28"/>
                      <w:lang w:val="uk-UA"/>
                    </w:rPr>
                  </w:pPr>
                  <w:r>
                    <w:rPr>
                      <w:b/>
                      <w:sz w:val="28"/>
                      <w:lang w:val="uk-UA"/>
                    </w:rPr>
                    <w:t>79</w:t>
                  </w:r>
                </w:p>
                <w:p w:rsidR="00AA6C0F" w:rsidRDefault="00AA6C0F">
                  <w:pPr>
                    <w:jc w:val="center"/>
                    <w:rPr>
                      <w:b/>
                      <w:sz w:val="28"/>
                      <w:lang w:val="uk-UA"/>
                    </w:rPr>
                  </w:pPr>
                  <w:r>
                    <w:rPr>
                      <w:b/>
                      <w:sz w:val="28"/>
                      <w:lang w:val="uk-UA"/>
                    </w:rPr>
                    <w:t xml:space="preserve">Фінансові </w:t>
                  </w:r>
                </w:p>
                <w:p w:rsidR="00AA6C0F" w:rsidRDefault="00AA6C0F">
                  <w:pPr>
                    <w:jc w:val="center"/>
                    <w:rPr>
                      <w:b/>
                      <w:sz w:val="28"/>
                      <w:lang w:val="uk-UA"/>
                    </w:rPr>
                  </w:pPr>
                  <w:r>
                    <w:rPr>
                      <w:b/>
                      <w:sz w:val="28"/>
                      <w:lang w:val="uk-UA"/>
                    </w:rPr>
                    <w:t>результати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rect id="_x0000_s1051" style="position:absolute;left:0;text-align:left;margin-left:312.05pt;margin-top:7.05pt;width:86.4pt;height:1in;z-index:251654656" o:allowincell="f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702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Дохід від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Реалізації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товарів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48" style="position:absolute;left:0;text-align:left;z-index:251651584" from="412.85pt,7.05pt" to="499.25pt,7.05pt" o:allowincell="f"/>
        </w:pi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32"/>
        </w:rPr>
        <w:t xml:space="preserve">                          </w:t>
      </w:r>
      <w:r>
        <w:rPr>
          <w:rFonts w:ascii="Times New Roman" w:hAnsi="Times New Roman"/>
          <w:sz w:val="28"/>
        </w:rPr>
        <w:t xml:space="preserve">Дт 79                                  Кт 79                       </w:t>
      </w: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70" style="position:absolute;left:0;text-align:left;z-index:251667968" from="110.45pt,9.35pt" to="160.85pt,9.35pt" o:allowincell="f">
            <v:stroke endarrow="block"/>
          </v:line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69" style="position:absolute;left:0;text-align:left;flip:x;z-index:251666944" from="261.65pt,9.35pt" to="312.05pt,9.35pt" o:allowincell="f">
            <v:stroke endarrow="block"/>
          </v:line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68" style="position:absolute;left:0;text-align:left;flip:x;z-index:251665920" from="398.45pt,9.35pt" to="412.85pt,9.35pt" o:allowincell="f">
            <v:stroke endarrow="block"/>
          </v:line>
        </w:pict>
      </w: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71" style="position:absolute;left:0;text-align:left;flip:y;z-index:251668992" from="110.45pt,14.05pt" to="160.85pt,86.05pt" o:allowincell="f">
            <v:stroke endarrow="block"/>
          </v:line>
        </w:pict>
      </w:r>
    </w:p>
    <w:p w:rsidR="00AA6C0F" w:rsidRDefault="002B046A">
      <w:pPr>
        <w:pStyle w:val="10"/>
        <w:spacing w:line="220" w:lineRule="auto"/>
        <w:ind w:left="-426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49" style="position:absolute;left:0;text-align:left;z-index:251652608" from="412.85pt,15.8pt" to="499.25pt,15.8pt" o:allowincell="f"/>
        </w:pict>
      </w:r>
      <w:r>
        <w:rPr>
          <w:rFonts w:ascii="Times New Roman" w:hAnsi="Times New Roman"/>
          <w:i/>
          <w:noProof/>
          <w:snapToGrid/>
          <w:sz w:val="32"/>
        </w:rPr>
        <w:pict>
          <v:line id="_x0000_s1072" style="position:absolute;left:0;text-align:left;z-index:251670016" from="211.25pt,11.6pt" to="211.25pt,76.4pt" o:allowincell="f">
            <v:stroke endarrow="block"/>
          </v:line>
        </w:pict>
      </w:r>
    </w:p>
    <w:p w:rsidR="00AA6C0F" w:rsidRDefault="00AA6C0F">
      <w:pPr>
        <w:pStyle w:val="10"/>
        <w:spacing w:line="220" w:lineRule="auto"/>
        <w:ind w:firstLine="280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32"/>
        </w:rPr>
        <w:t xml:space="preserve">                       </w:t>
      </w:r>
      <w:r>
        <w:rPr>
          <w:rFonts w:ascii="Times New Roman" w:hAnsi="Times New Roman"/>
          <w:sz w:val="28"/>
        </w:rPr>
        <w:t>Дт 79</w:t>
      </w: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rect id="_x0000_s1056" style="position:absolute;left:0;text-align:left;margin-left:9.65pt;margin-top:6.65pt;width:100.8pt;height:64.8pt;z-index:251657728" o:allowincell="f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98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 xml:space="preserve">Податки 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На прибуток</w:t>
                  </w:r>
                </w:p>
              </w:txbxContent>
            </v:textbox>
          </v:rect>
        </w:pi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rect id="_x0000_s1058" style="position:absolute;left:0;text-align:left;margin-left:160.85pt;margin-top:8.95pt;width:129.6pt;height:79.2pt;z-index:251658752" o:allowincell="f">
            <v:textbox>
              <w:txbxContent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44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Нерозподілений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Прибуток</w:t>
                  </w:r>
                </w:p>
                <w:p w:rsidR="00AA6C0F" w:rsidRDefault="00AA6C0F">
                  <w:pPr>
                    <w:jc w:val="center"/>
                    <w:rPr>
                      <w:sz w:val="28"/>
                      <w:lang w:val="uk-UA"/>
                    </w:rPr>
                  </w:pPr>
                  <w:r>
                    <w:rPr>
                      <w:sz w:val="28"/>
                      <w:lang w:val="uk-UA"/>
                    </w:rPr>
                    <w:t>(непокриті збитки)</w:t>
                  </w:r>
                </w:p>
              </w:txbxContent>
            </v:textbox>
          </v:rect>
        </w:pict>
      </w:r>
    </w:p>
    <w:p w:rsidR="00AA6C0F" w:rsidRDefault="002B046A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napToGrid/>
          <w:sz w:val="32"/>
        </w:rPr>
        <w:pict>
          <v:line id="_x0000_s1050" style="position:absolute;left:0;text-align:left;z-index:251653632" from="412.85pt,12.8pt" to="499.25pt,12.8pt" o:allowincell="f"/>
        </w:pi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  <w:lang w:val="en-US"/>
        </w:rPr>
        <w:t xml:space="preserve">      </w:t>
      </w: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  <w:lang w:val="en-US"/>
        </w:rPr>
      </w:pP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  <w:lang w:val="en-US"/>
        </w:rPr>
      </w:pP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  <w:lang w:val="en-US"/>
        </w:rPr>
      </w:pPr>
    </w:p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  <w:lang w:val="en-US"/>
        </w:rPr>
        <w:t xml:space="preserve">  </w:t>
      </w:r>
      <w:r>
        <w:rPr>
          <w:rFonts w:ascii="Times New Roman" w:hAnsi="Times New Roman"/>
          <w:i/>
          <w:sz w:val="32"/>
        </w:rPr>
        <w:t>Приклад обліку реалізації товарів і визначення фінансового результату в оптовій торгівлі наведений в таблиці 1.</w:t>
      </w:r>
    </w:p>
    <w:p w:rsidR="00AA6C0F" w:rsidRDefault="00AA6C0F">
      <w:pPr>
        <w:pStyle w:val="10"/>
        <w:spacing w:line="220" w:lineRule="auto"/>
        <w:ind w:firstLine="280"/>
        <w:jc w:val="right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Таблиця 1.</w:t>
      </w:r>
    </w:p>
    <w:p w:rsidR="00AA6C0F" w:rsidRDefault="00AA6C0F">
      <w:pPr>
        <w:pStyle w:val="10"/>
        <w:spacing w:line="220" w:lineRule="auto"/>
        <w:ind w:firstLine="280"/>
        <w:jc w:val="right"/>
        <w:rPr>
          <w:rFonts w:ascii="Times New Roman" w:hAnsi="Times New Roman"/>
          <w:i/>
          <w:sz w:val="32"/>
        </w:rPr>
      </w:pPr>
    </w:p>
    <w:bookmarkStart w:id="0" w:name="_MON_1025206385"/>
    <w:bookmarkStart w:id="1" w:name="_MON_1025206709"/>
    <w:bookmarkStart w:id="2" w:name="_MON_1025207595"/>
    <w:bookmarkStart w:id="3" w:name="_MON_1025207690"/>
    <w:bookmarkStart w:id="4" w:name="_MON_1025207752"/>
    <w:bookmarkStart w:id="5" w:name="_MON_1025209887"/>
    <w:bookmarkStart w:id="6" w:name="_MON_1025209966"/>
    <w:bookmarkStart w:id="7" w:name="_MON_1025210044"/>
    <w:bookmarkStart w:id="8" w:name="_MON_1025210074"/>
    <w:bookmarkStart w:id="9" w:name="_MON_1026737962"/>
    <w:bookmarkStart w:id="10" w:name="_MON_1026738615"/>
    <w:bookmarkStart w:id="11" w:name="_MON_1026738777"/>
    <w:bookmarkStart w:id="12" w:name="_MON_1026822220"/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Start w:id="13" w:name="_MON_1025206306"/>
    <w:bookmarkEnd w:id="13"/>
    <w:p w:rsidR="00AA6C0F" w:rsidRDefault="00AA6C0F">
      <w:pPr>
        <w:pStyle w:val="10"/>
        <w:spacing w:line="220" w:lineRule="auto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object w:dxaOrig="9998" w:dyaOrig="123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0.25pt;height:615.75pt" o:ole="" fillcolor="window">
            <v:imagedata r:id="rId10" o:title=""/>
          </v:shape>
          <o:OLEObject Type="Embed" ProgID="Excel.Sheet.8" ShapeID="_x0000_i1025" DrawAspect="Content" ObjectID="_1457697214" r:id="rId11"/>
        </w:object>
      </w:r>
    </w:p>
    <w:p w:rsidR="00AA6C0F" w:rsidRDefault="00AA6C0F">
      <w:pPr>
        <w:pStyle w:val="10"/>
        <w:spacing w:line="220" w:lineRule="auto"/>
        <w:ind w:firstLine="28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pBdr>
          <w:top w:val="single" w:sz="6" w:space="1" w:color="auto"/>
        </w:pBdr>
        <w:spacing w:line="240" w:lineRule="auto"/>
        <w:ind w:firstLine="0"/>
        <w:rPr>
          <w:rFonts w:ascii="Times New Roman" w:hAnsi="Times New Roman"/>
          <w:i/>
          <w:sz w:val="32"/>
          <w:lang w:val="en-US"/>
        </w:rPr>
        <w:sectPr w:rsidR="00AA6C0F">
          <w:type w:val="continuous"/>
          <w:pgSz w:w="11900" w:h="16820"/>
          <w:pgMar w:top="426" w:right="843" w:bottom="680" w:left="1276" w:header="720" w:footer="720" w:gutter="0"/>
          <w:pgNumType w:start="2"/>
          <w:cols w:space="720"/>
          <w:noEndnote/>
        </w:sectPr>
      </w:pPr>
    </w:p>
    <w:p w:rsidR="00AA6C0F" w:rsidRDefault="00AA6C0F">
      <w:pPr>
        <w:pStyle w:val="10"/>
        <w:ind w:right="1400" w:firstLine="0"/>
        <w:rPr>
          <w:rFonts w:ascii="Times New Roman" w:hAnsi="Times New Roman"/>
          <w:b/>
          <w:i/>
          <w:sz w:val="36"/>
        </w:rPr>
      </w:pPr>
      <w:r>
        <w:rPr>
          <w:rFonts w:ascii="Times New Roman" w:hAnsi="Times New Roman"/>
          <w:b/>
          <w:i/>
          <w:sz w:val="36"/>
          <w:lang w:val="en-US"/>
        </w:rPr>
        <w:t xml:space="preserve">  </w:t>
      </w:r>
      <w:r>
        <w:rPr>
          <w:rFonts w:ascii="Times New Roman" w:hAnsi="Times New Roman"/>
          <w:b/>
          <w:i/>
          <w:sz w:val="36"/>
        </w:rPr>
        <w:t>2. Облік закінчених капітальних вкладень.</w:t>
      </w:r>
    </w:p>
    <w:p w:rsidR="00AA6C0F" w:rsidRDefault="00AA6C0F">
      <w:pPr>
        <w:pStyle w:val="10"/>
        <w:tabs>
          <w:tab w:val="left" w:pos="9639"/>
        </w:tabs>
        <w:ind w:firstLine="0"/>
        <w:jc w:val="center"/>
        <w:outlineLvl w:val="0"/>
        <w:rPr>
          <w:rFonts w:ascii="Times New Roman" w:hAnsi="Times New Roman"/>
          <w:b/>
          <w:i/>
          <w:sz w:val="36"/>
        </w:rPr>
      </w:pPr>
      <w:r>
        <w:rPr>
          <w:rFonts w:ascii="Times New Roman" w:hAnsi="Times New Roman"/>
          <w:b/>
          <w:i/>
          <w:sz w:val="36"/>
        </w:rPr>
        <w:t>Облік джерел фінансування капітальних вкладень.</w:t>
      </w:r>
    </w:p>
    <w:p w:rsidR="00AA6C0F" w:rsidRDefault="00AA6C0F">
      <w:pPr>
        <w:pStyle w:val="10"/>
        <w:tabs>
          <w:tab w:val="left" w:pos="9639"/>
        </w:tabs>
        <w:ind w:firstLine="0"/>
        <w:jc w:val="center"/>
        <w:outlineLvl w:val="0"/>
        <w:rPr>
          <w:rFonts w:ascii="Times New Roman" w:hAnsi="Times New Roman"/>
          <w:i/>
          <w:sz w:val="36"/>
        </w:rPr>
      </w:pPr>
    </w:p>
    <w:p w:rsidR="00AA6C0F" w:rsidRDefault="00AA6C0F">
      <w:pPr>
        <w:pStyle w:val="10"/>
        <w:spacing w:line="220" w:lineRule="auto"/>
        <w:ind w:right="-1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  <w:lang w:val="en-US"/>
        </w:rPr>
        <w:t xml:space="preserve">     </w:t>
      </w:r>
      <w:r>
        <w:rPr>
          <w:rFonts w:ascii="Times New Roman" w:hAnsi="Times New Roman"/>
          <w:i/>
          <w:sz w:val="32"/>
        </w:rPr>
        <w:t>Капітальні вкладення - це витрати на будівельно-монтажні роботи, придбання будівель або їхніх частин, устаткування, інструмента, інвентарю, інші капітальні роботи і витрати на проектно-дослідницькі, геолого-розвідницькі і бурові роботи, відведення земельних ділянок і переселення в зв'язку з будівництвом, на підготовку кадрів для споруджуваних підприємств і ін.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Капітальні вкладення відбиваються в балансі по фактичних витратах забудовника (замовника).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Тому при ведень бухгалтерського обліку підприємства-забудовники повинні забезпечити розмежування в обліку поточних витрат на виробництво і капітальні вкладення.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Крім того, в обліку забудовника капітальні вкладення групуються по різних ознаках: по відтворювальною структурою технологічній структурі; призначенню; галузям; способу виробництва. Відтворювальна структура капітальних вкладень - це нове будівництво, розширення, реконструкція, модернізація і технічне переозброєння діючих підприємств.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За технологічною структурою капітальні вкладення підрозділяються на: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витрату на будівельні і монтажні роботи;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витрату на придбання усіх видів устаткування, інструмента й інвентарю;</w:t>
      </w:r>
    </w:p>
    <w:p w:rsidR="00AA6C0F" w:rsidRDefault="00AA6C0F">
      <w:pPr>
        <w:pStyle w:val="10"/>
        <w:spacing w:before="40" w:line="24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інші капітальні роботи і витрати.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По призначенню капітальні вкладення в обліку підрозділяються на дві группи: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виробничого призначення (ті, котрі після введення в експлуатацію будуть використовуватися в сфері матеріального виробництва);</w:t>
      </w:r>
    </w:p>
    <w:p w:rsidR="00AA6C0F" w:rsidRDefault="00AA6C0F">
      <w:pPr>
        <w:pStyle w:val="10"/>
        <w:spacing w:before="20"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невиробничого призначення (ті, котрі після введення в експлуатацію не будуть використовуватися в господарській діяльності підприємства).</w:t>
      </w:r>
    </w:p>
    <w:p w:rsidR="00AA6C0F" w:rsidRDefault="00AA6C0F">
      <w:pPr>
        <w:pStyle w:val="10"/>
        <w:spacing w:before="20"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По способі виробництва будівельно-монтажних робіт капітальні вкладення підрозділяються на виконані підрядним і господарським способами.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Але в  будь-якому  випадку  капітальні  вкладення повинні бути забезпечені джерелами фінансування.</w:t>
      </w:r>
    </w:p>
    <w:p w:rsidR="00AA6C0F" w:rsidRDefault="00AA6C0F">
      <w:pPr>
        <w:pStyle w:val="10"/>
        <w:spacing w:before="80"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Відповідно до Плану рахунків, затвердженого наказом Міністерства фінансів України від 30.11.99 р. №291  бухгалтерський облік витрат будь-яких капітальних вкладень підприємства ведуть на рахунку 15 “Капітальні інвестиції”. </w:t>
      </w:r>
    </w:p>
    <w:p w:rsidR="00AA6C0F" w:rsidRDefault="00AA6C0F">
      <w:pPr>
        <w:pStyle w:val="10"/>
        <w:spacing w:before="80"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Рахунок</w:t>
      </w:r>
      <w:r>
        <w:rPr>
          <w:rFonts w:ascii="Times New Roman" w:hAnsi="Times New Roman"/>
          <w:i/>
          <w:noProof/>
          <w:sz w:val="32"/>
        </w:rPr>
        <w:t xml:space="preserve"> 15</w:t>
      </w:r>
      <w:r>
        <w:rPr>
          <w:rFonts w:ascii="Times New Roman" w:hAnsi="Times New Roman"/>
          <w:i/>
          <w:sz w:val="32"/>
        </w:rPr>
        <w:t xml:space="preserve"> "Капітальні інвестиції" призначе</w:t>
      </w:r>
      <w:r>
        <w:rPr>
          <w:rFonts w:ascii="Times New Roman" w:hAnsi="Times New Roman"/>
          <w:i/>
          <w:sz w:val="32"/>
        </w:rPr>
        <w:softHyphen/>
        <w:t>ний для обліку витрат на придбання або ство</w:t>
      </w:r>
      <w:r>
        <w:rPr>
          <w:rFonts w:ascii="Times New Roman" w:hAnsi="Times New Roman"/>
          <w:i/>
          <w:sz w:val="32"/>
        </w:rPr>
        <w:softHyphen/>
        <w:t>рення матеріальних і нематеріальних необорот</w:t>
      </w:r>
      <w:r>
        <w:rPr>
          <w:rFonts w:ascii="Times New Roman" w:hAnsi="Times New Roman"/>
          <w:i/>
          <w:sz w:val="32"/>
        </w:rPr>
        <w:softHyphen/>
        <w:t>них активів.</w:t>
      </w:r>
    </w:p>
    <w:p w:rsidR="00AA6C0F" w:rsidRDefault="00AA6C0F">
      <w:pPr>
        <w:pStyle w:val="10"/>
        <w:spacing w:line="220" w:lineRule="auto"/>
        <w:ind w:right="1099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Рахунок</w:t>
      </w:r>
      <w:r>
        <w:rPr>
          <w:rFonts w:ascii="Times New Roman" w:hAnsi="Times New Roman"/>
          <w:i/>
          <w:noProof/>
          <w:sz w:val="32"/>
        </w:rPr>
        <w:t xml:space="preserve"> 15</w:t>
      </w:r>
      <w:r>
        <w:rPr>
          <w:rFonts w:ascii="Times New Roman" w:hAnsi="Times New Roman"/>
          <w:i/>
          <w:sz w:val="32"/>
        </w:rPr>
        <w:t xml:space="preserve"> "Капітальні інвестиції" має такі субрахунки:</w:t>
      </w:r>
    </w:p>
    <w:p w:rsidR="00AA6C0F" w:rsidRDefault="00AA6C0F">
      <w:pPr>
        <w:pStyle w:val="10"/>
        <w:spacing w:before="20" w:line="240" w:lineRule="auto"/>
        <w:ind w:right="1099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z w:val="32"/>
        </w:rPr>
        <w:t>151</w:t>
      </w:r>
      <w:r>
        <w:rPr>
          <w:rFonts w:ascii="Times New Roman" w:hAnsi="Times New Roman"/>
          <w:i/>
          <w:sz w:val="32"/>
        </w:rPr>
        <w:t xml:space="preserve"> "Капітальне будівництво"</w:t>
      </w:r>
    </w:p>
    <w:p w:rsidR="00AA6C0F" w:rsidRDefault="00AA6C0F">
      <w:pPr>
        <w:pStyle w:val="10"/>
        <w:spacing w:line="220" w:lineRule="auto"/>
        <w:ind w:right="1099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z w:val="32"/>
        </w:rPr>
        <w:t>152</w:t>
      </w:r>
      <w:r>
        <w:rPr>
          <w:rFonts w:ascii="Times New Roman" w:hAnsi="Times New Roman"/>
          <w:i/>
          <w:sz w:val="32"/>
        </w:rPr>
        <w:t xml:space="preserve"> "Придбання (виготовлення) основних за</w:t>
      </w:r>
      <w:r>
        <w:rPr>
          <w:rFonts w:ascii="Times New Roman" w:hAnsi="Times New Roman"/>
          <w:i/>
          <w:sz w:val="32"/>
        </w:rPr>
        <w:softHyphen/>
        <w:t>собів"</w:t>
      </w:r>
    </w:p>
    <w:p w:rsidR="00AA6C0F" w:rsidRDefault="00AA6C0F">
      <w:pPr>
        <w:pStyle w:val="10"/>
        <w:spacing w:line="220" w:lineRule="auto"/>
        <w:ind w:right="1099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noProof/>
          <w:sz w:val="32"/>
        </w:rPr>
        <w:t>153</w:t>
      </w:r>
      <w:r>
        <w:rPr>
          <w:rFonts w:ascii="Times New Roman" w:hAnsi="Times New Roman"/>
          <w:i/>
          <w:sz w:val="32"/>
        </w:rPr>
        <w:t xml:space="preserve"> "Придбання (виготовлення) інших необо</w:t>
      </w:r>
      <w:r>
        <w:rPr>
          <w:rFonts w:ascii="Times New Roman" w:hAnsi="Times New Roman"/>
          <w:i/>
          <w:sz w:val="32"/>
        </w:rPr>
        <w:softHyphen/>
        <w:t>ротних матеріальних активів"</w:t>
      </w:r>
    </w:p>
    <w:p w:rsidR="00AA6C0F" w:rsidRDefault="00AA6C0F">
      <w:pPr>
        <w:pStyle w:val="10"/>
        <w:spacing w:line="220" w:lineRule="auto"/>
        <w:ind w:right="1099" w:firstLine="284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noProof/>
          <w:sz w:val="32"/>
        </w:rPr>
        <w:t>154</w:t>
      </w:r>
      <w:r>
        <w:rPr>
          <w:rFonts w:ascii="Times New Roman" w:hAnsi="Times New Roman"/>
          <w:i/>
          <w:sz w:val="32"/>
        </w:rPr>
        <w:t xml:space="preserve"> "Придбання (створення) нематеріальних активів"</w:t>
      </w:r>
    </w:p>
    <w:p w:rsidR="00AA6C0F" w:rsidRDefault="00AA6C0F">
      <w:pPr>
        <w:pStyle w:val="10"/>
        <w:spacing w:line="220" w:lineRule="auto"/>
        <w:ind w:right="107" w:firstLine="284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  <w:lang w:val="en-US"/>
        </w:rPr>
        <w:t xml:space="preserve">      </w:t>
      </w:r>
      <w:r>
        <w:rPr>
          <w:rFonts w:ascii="Times New Roman" w:hAnsi="Times New Roman"/>
          <w:i/>
          <w:sz w:val="32"/>
        </w:rPr>
        <w:t>За дебетом рахунка</w:t>
      </w:r>
      <w:r>
        <w:rPr>
          <w:rFonts w:ascii="Times New Roman" w:hAnsi="Times New Roman"/>
          <w:i/>
          <w:noProof/>
          <w:sz w:val="32"/>
        </w:rPr>
        <w:t xml:space="preserve"> 15 </w:t>
      </w:r>
      <w:r>
        <w:rPr>
          <w:rFonts w:ascii="Times New Roman" w:hAnsi="Times New Roman"/>
          <w:i/>
          <w:sz w:val="32"/>
        </w:rPr>
        <w:t>"Капітальні інвестиції" відображається збільшення зазнаних витрат на придбання або створення матеріальних та нематеріальних необоротних активів, за кредитом</w:t>
      </w:r>
      <w:r>
        <w:rPr>
          <w:rFonts w:ascii="Times New Roman" w:hAnsi="Times New Roman"/>
          <w:i/>
          <w:noProof/>
          <w:sz w:val="32"/>
        </w:rPr>
        <w:t xml:space="preserve"> -</w:t>
      </w:r>
      <w:r>
        <w:rPr>
          <w:rFonts w:ascii="Times New Roman" w:hAnsi="Times New Roman"/>
          <w:i/>
          <w:sz w:val="32"/>
        </w:rPr>
        <w:t xml:space="preserve"> їх зменшення (уведення в дію, прийняття в експлуатацію придбаних або створених нематеріальний активів тощо).</w:t>
      </w:r>
      <w:r>
        <w:rPr>
          <w:rFonts w:ascii="Times New Roman" w:hAnsi="Times New Roman"/>
          <w:i/>
          <w:noProof/>
          <w:sz w:val="32"/>
        </w:rPr>
        <w:t xml:space="preserve">         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На субрахунку</w:t>
      </w:r>
      <w:r>
        <w:rPr>
          <w:rFonts w:ascii="Times New Roman" w:hAnsi="Times New Roman"/>
          <w:b/>
          <w:i/>
          <w:noProof/>
          <w:sz w:val="32"/>
        </w:rPr>
        <w:t xml:space="preserve"> </w:t>
      </w:r>
      <w:r>
        <w:rPr>
          <w:rFonts w:ascii="Times New Roman" w:hAnsi="Times New Roman"/>
          <w:i/>
          <w:noProof/>
          <w:sz w:val="32"/>
        </w:rPr>
        <w:t>151</w:t>
      </w:r>
      <w:r>
        <w:rPr>
          <w:rFonts w:ascii="Times New Roman" w:hAnsi="Times New Roman"/>
          <w:i/>
          <w:sz w:val="32"/>
        </w:rPr>
        <w:t xml:space="preserve"> "Капітальне будівництво” відображаються витрати на будівництво, що здійснюється як господарським, так і підрядним способом для власних потреб підприємства.   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На цьому субрахунку також ведеться облік устаткування, що підлягає монтажу в процесі будівництва, та авансові платежі для фінансування вказаного будівництва.                    </w:t>
      </w:r>
    </w:p>
    <w:p w:rsidR="00AA6C0F" w:rsidRDefault="00AA6C0F">
      <w:pPr>
        <w:pStyle w:val="10"/>
        <w:spacing w:before="20"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Субрахунок</w:t>
      </w:r>
      <w:r>
        <w:rPr>
          <w:rFonts w:ascii="Times New Roman" w:hAnsi="Times New Roman"/>
          <w:b/>
          <w:i/>
          <w:noProof/>
          <w:sz w:val="32"/>
        </w:rPr>
        <w:t xml:space="preserve"> </w:t>
      </w:r>
      <w:r>
        <w:rPr>
          <w:rFonts w:ascii="Times New Roman" w:hAnsi="Times New Roman"/>
          <w:i/>
          <w:noProof/>
          <w:sz w:val="32"/>
        </w:rPr>
        <w:t>152</w:t>
      </w:r>
      <w:r>
        <w:rPr>
          <w:rFonts w:ascii="Times New Roman" w:hAnsi="Times New Roman"/>
          <w:i/>
          <w:sz w:val="32"/>
        </w:rPr>
        <w:t xml:space="preserve"> "Придбання (виготовлення) основних засобів" призначений для обліку витрат на придбання або виготовлення власними сила ми матеріальних активів, облік яких ведеться най рахунку</w:t>
      </w:r>
      <w:r>
        <w:rPr>
          <w:rFonts w:ascii="Times New Roman" w:hAnsi="Times New Roman"/>
          <w:i/>
          <w:noProof/>
          <w:sz w:val="32"/>
        </w:rPr>
        <w:t xml:space="preserve"> 10</w:t>
      </w:r>
      <w:r>
        <w:rPr>
          <w:rFonts w:ascii="Times New Roman" w:hAnsi="Times New Roman"/>
          <w:i/>
          <w:sz w:val="32"/>
        </w:rPr>
        <w:t xml:space="preserve"> "Основні засоби" (крім об'єктів будівництва та основного стада).                 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На субрахунку</w:t>
      </w:r>
      <w:r>
        <w:rPr>
          <w:rFonts w:ascii="Times New Roman" w:hAnsi="Times New Roman"/>
          <w:b/>
          <w:i/>
          <w:noProof/>
          <w:sz w:val="32"/>
        </w:rPr>
        <w:t xml:space="preserve"> </w:t>
      </w:r>
      <w:r>
        <w:rPr>
          <w:rFonts w:ascii="Times New Roman" w:hAnsi="Times New Roman"/>
          <w:i/>
          <w:noProof/>
          <w:sz w:val="32"/>
        </w:rPr>
        <w:t>153</w:t>
      </w:r>
      <w:r>
        <w:rPr>
          <w:rFonts w:ascii="Times New Roman" w:hAnsi="Times New Roman"/>
          <w:i/>
          <w:sz w:val="32"/>
        </w:rPr>
        <w:t xml:space="preserve"> "Придбання (виготовлення) інших необоротних матеріальних активів" відображаються витрати підприємства (організації установи) на придбання або виготовлення власними силами матеріальних активів, облік яких ведеться на рахунку</w:t>
      </w:r>
      <w:r>
        <w:rPr>
          <w:rFonts w:ascii="Times New Roman" w:hAnsi="Times New Roman"/>
          <w:i/>
          <w:noProof/>
          <w:sz w:val="32"/>
        </w:rPr>
        <w:t xml:space="preserve"> 11</w:t>
      </w:r>
      <w:r>
        <w:rPr>
          <w:rFonts w:ascii="Times New Roman" w:hAnsi="Times New Roman"/>
          <w:i/>
          <w:sz w:val="32"/>
        </w:rPr>
        <w:t xml:space="preserve"> "Інші необоротні матеріальні активи".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На субрахунку</w:t>
      </w:r>
      <w:r>
        <w:rPr>
          <w:rFonts w:ascii="Times New Roman" w:hAnsi="Times New Roman"/>
          <w:b/>
          <w:i/>
          <w:noProof/>
          <w:sz w:val="32"/>
        </w:rPr>
        <w:t xml:space="preserve"> </w:t>
      </w:r>
      <w:r>
        <w:rPr>
          <w:rFonts w:ascii="Times New Roman" w:hAnsi="Times New Roman"/>
          <w:i/>
          <w:noProof/>
          <w:sz w:val="32"/>
        </w:rPr>
        <w:t>154</w:t>
      </w:r>
      <w:r>
        <w:rPr>
          <w:rFonts w:ascii="Times New Roman" w:hAnsi="Times New Roman"/>
          <w:i/>
          <w:sz w:val="32"/>
        </w:rPr>
        <w:t xml:space="preserve"> "Придбання (створення нематеріальних активів" відображаються витрати підприємства на придбання або створення власними силами активів, облік яких ведеться на рахунку</w:t>
      </w:r>
      <w:r>
        <w:rPr>
          <w:rFonts w:ascii="Times New Roman" w:hAnsi="Times New Roman"/>
          <w:i/>
          <w:noProof/>
          <w:sz w:val="32"/>
        </w:rPr>
        <w:t xml:space="preserve"> 12</w:t>
      </w:r>
      <w:r>
        <w:rPr>
          <w:rFonts w:ascii="Times New Roman" w:hAnsi="Times New Roman"/>
          <w:i/>
          <w:sz w:val="32"/>
        </w:rPr>
        <w:t xml:space="preserve"> "Нематеріальні активи".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На субрахунку</w:t>
      </w:r>
      <w:r>
        <w:rPr>
          <w:rFonts w:ascii="Times New Roman" w:hAnsi="Times New Roman"/>
          <w:b/>
          <w:i/>
          <w:noProof/>
          <w:sz w:val="32"/>
        </w:rPr>
        <w:t xml:space="preserve"> </w:t>
      </w:r>
      <w:r>
        <w:rPr>
          <w:rFonts w:ascii="Times New Roman" w:hAnsi="Times New Roman"/>
          <w:i/>
          <w:noProof/>
          <w:sz w:val="32"/>
        </w:rPr>
        <w:t>155</w:t>
      </w:r>
      <w:r>
        <w:rPr>
          <w:rFonts w:ascii="Times New Roman" w:hAnsi="Times New Roman"/>
          <w:i/>
          <w:sz w:val="32"/>
        </w:rPr>
        <w:t xml:space="preserve"> "Формування основного стада" обліковуються витрати на формування основного стада робочої та продуктивної худоби (крім тварин, які обліковуються на рахунку</w:t>
      </w:r>
      <w:r>
        <w:rPr>
          <w:rFonts w:ascii="Times New Roman" w:hAnsi="Times New Roman"/>
          <w:i/>
          <w:noProof/>
          <w:sz w:val="32"/>
        </w:rPr>
        <w:t xml:space="preserve"> 21 </w:t>
      </w:r>
      <w:r>
        <w:rPr>
          <w:rFonts w:ascii="Times New Roman" w:hAnsi="Times New Roman"/>
          <w:i/>
          <w:sz w:val="32"/>
        </w:rPr>
        <w:t>"Тварини на вирощуванні та відгодівлі").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</w:rPr>
        <w:t xml:space="preserve">     Кошти, які забудовник отримав від пайовика для пайової участі в будівництві об'єкта, відобра</w:t>
      </w:r>
      <w:r>
        <w:rPr>
          <w:rFonts w:ascii="Times New Roman" w:hAnsi="Times New Roman"/>
          <w:i/>
          <w:sz w:val="32"/>
        </w:rPr>
        <w:softHyphen/>
        <w:t>жаються за дебетом рахунків обліку грошових коштів, запасів і кредитом рахунка</w:t>
      </w:r>
      <w:r>
        <w:rPr>
          <w:rFonts w:ascii="Times New Roman" w:hAnsi="Times New Roman"/>
          <w:i/>
          <w:noProof/>
          <w:sz w:val="32"/>
        </w:rPr>
        <w:t xml:space="preserve"> 48</w:t>
      </w:r>
      <w:r>
        <w:rPr>
          <w:rFonts w:ascii="Times New Roman" w:hAnsi="Times New Roman"/>
          <w:i/>
          <w:sz w:val="32"/>
        </w:rPr>
        <w:t xml:space="preserve"> "Цільове фінансування і цільові надходження" із внесен</w:t>
      </w:r>
      <w:r>
        <w:rPr>
          <w:rFonts w:ascii="Times New Roman" w:hAnsi="Times New Roman"/>
          <w:i/>
          <w:sz w:val="32"/>
        </w:rPr>
        <w:softHyphen/>
        <w:t>ням до аналітичного обліку відомостей про пайо</w:t>
      </w:r>
      <w:r>
        <w:rPr>
          <w:rFonts w:ascii="Times New Roman" w:hAnsi="Times New Roman"/>
          <w:i/>
          <w:sz w:val="32"/>
        </w:rPr>
        <w:softHyphen/>
        <w:t xml:space="preserve">вика й об'єкт будівництва. 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  <w:lang w:val="en-US"/>
        </w:rPr>
        <w:t xml:space="preserve">    </w:t>
      </w:r>
      <w:r>
        <w:rPr>
          <w:rFonts w:ascii="Times New Roman" w:hAnsi="Times New Roman"/>
          <w:i/>
          <w:sz w:val="32"/>
        </w:rPr>
        <w:t>Після оформлення документів про право власності пайовика на відпо</w:t>
      </w:r>
      <w:r>
        <w:rPr>
          <w:rFonts w:ascii="Times New Roman" w:hAnsi="Times New Roman"/>
          <w:i/>
          <w:sz w:val="32"/>
        </w:rPr>
        <w:softHyphen/>
        <w:t>відну частку збудованого об'єкта й приймально-передавального акта забудовник на відповідну вартість дебетує рахунок</w:t>
      </w:r>
      <w:r>
        <w:rPr>
          <w:rFonts w:ascii="Times New Roman" w:hAnsi="Times New Roman"/>
          <w:i/>
          <w:noProof/>
          <w:sz w:val="32"/>
        </w:rPr>
        <w:t xml:space="preserve"> 48</w:t>
      </w:r>
      <w:r>
        <w:rPr>
          <w:rFonts w:ascii="Times New Roman" w:hAnsi="Times New Roman"/>
          <w:i/>
          <w:sz w:val="32"/>
        </w:rPr>
        <w:t xml:space="preserve"> у кореспонденції з рахунком</w:t>
      </w:r>
      <w:r>
        <w:rPr>
          <w:rFonts w:ascii="Times New Roman" w:hAnsi="Times New Roman"/>
          <w:i/>
          <w:noProof/>
          <w:sz w:val="32"/>
        </w:rPr>
        <w:t xml:space="preserve"> 15.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Передані забудовнику кошти для пайової участі в будівництві об'єкта пайовик відображає за кре</w:t>
      </w:r>
      <w:r>
        <w:rPr>
          <w:rFonts w:ascii="Times New Roman" w:hAnsi="Times New Roman"/>
          <w:i/>
          <w:sz w:val="32"/>
        </w:rPr>
        <w:softHyphen/>
        <w:t>дитом рахунків обліку грошових коштів, запасів у кореспонденції з рахунком</w:t>
      </w:r>
      <w:r>
        <w:rPr>
          <w:rFonts w:ascii="Times New Roman" w:hAnsi="Times New Roman"/>
          <w:i/>
          <w:noProof/>
          <w:sz w:val="32"/>
        </w:rPr>
        <w:t xml:space="preserve"> 37</w:t>
      </w:r>
      <w:r>
        <w:rPr>
          <w:rFonts w:ascii="Times New Roman" w:hAnsi="Times New Roman"/>
          <w:i/>
          <w:sz w:val="32"/>
        </w:rPr>
        <w:t xml:space="preserve"> "Розрахунки з різни</w:t>
      </w:r>
      <w:r>
        <w:rPr>
          <w:rFonts w:ascii="Times New Roman" w:hAnsi="Times New Roman"/>
          <w:i/>
          <w:sz w:val="32"/>
        </w:rPr>
        <w:softHyphen/>
        <w:t>ми дебіторами". Після одержання оформлених документів про право власності й приймально-передавального акта пайовика на відповідну ча</w:t>
      </w:r>
      <w:r>
        <w:rPr>
          <w:rFonts w:ascii="Times New Roman" w:hAnsi="Times New Roman"/>
          <w:i/>
          <w:sz w:val="32"/>
        </w:rPr>
        <w:softHyphen/>
        <w:t xml:space="preserve">стку збудованого об'єкта кредитується рахунок </w:t>
      </w:r>
      <w:r>
        <w:rPr>
          <w:rFonts w:ascii="Times New Roman" w:hAnsi="Times New Roman"/>
          <w:i/>
          <w:noProof/>
          <w:sz w:val="32"/>
        </w:rPr>
        <w:t>37</w:t>
      </w:r>
      <w:r>
        <w:rPr>
          <w:rFonts w:ascii="Times New Roman" w:hAnsi="Times New Roman"/>
          <w:i/>
          <w:sz w:val="32"/>
        </w:rPr>
        <w:t xml:space="preserve"> у кореспонденції з рахунком</w:t>
      </w:r>
      <w:r>
        <w:rPr>
          <w:rFonts w:ascii="Times New Roman" w:hAnsi="Times New Roman"/>
          <w:i/>
          <w:noProof/>
          <w:sz w:val="32"/>
        </w:rPr>
        <w:t xml:space="preserve"> 15.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noProof/>
          <w:sz w:val="32"/>
        </w:rPr>
      </w:pPr>
      <w:r>
        <w:rPr>
          <w:rFonts w:ascii="Times New Roman" w:hAnsi="Times New Roman"/>
          <w:i/>
          <w:sz w:val="32"/>
        </w:rPr>
        <w:t xml:space="preserve">    Зарахування на баланс власної частки збудо</w:t>
      </w:r>
      <w:r>
        <w:rPr>
          <w:rFonts w:ascii="Times New Roman" w:hAnsi="Times New Roman"/>
          <w:i/>
          <w:sz w:val="32"/>
        </w:rPr>
        <w:softHyphen/>
        <w:t>ваного об'єкта відображається за дебетом рахунка</w:t>
      </w:r>
      <w:r>
        <w:rPr>
          <w:rFonts w:ascii="Times New Roman" w:hAnsi="Times New Roman"/>
          <w:i/>
          <w:noProof/>
          <w:sz w:val="32"/>
        </w:rPr>
        <w:t xml:space="preserve"> 10</w:t>
      </w:r>
      <w:r>
        <w:rPr>
          <w:rFonts w:ascii="Times New Roman" w:hAnsi="Times New Roman"/>
          <w:i/>
          <w:sz w:val="32"/>
        </w:rPr>
        <w:t xml:space="preserve"> "Основні засоби" та кредитом рахунка </w:t>
      </w:r>
      <w:r>
        <w:rPr>
          <w:rFonts w:ascii="Times New Roman" w:hAnsi="Times New Roman"/>
          <w:i/>
          <w:noProof/>
          <w:sz w:val="32"/>
        </w:rPr>
        <w:t>15.</w:t>
      </w:r>
      <w:r>
        <w:rPr>
          <w:rFonts w:ascii="Times New Roman" w:hAnsi="Times New Roman"/>
          <w:i/>
          <w:sz w:val="32"/>
        </w:rPr>
        <w:t xml:space="preserve"> Якщо власна частка збудованого об'єкта (квар</w:t>
      </w:r>
      <w:r>
        <w:rPr>
          <w:rFonts w:ascii="Times New Roman" w:hAnsi="Times New Roman"/>
          <w:i/>
          <w:sz w:val="32"/>
        </w:rPr>
        <w:softHyphen/>
        <w:t>тири, нежитлові приміщення) призначені пайови</w:t>
      </w:r>
      <w:r>
        <w:rPr>
          <w:rFonts w:ascii="Times New Roman" w:hAnsi="Times New Roman"/>
          <w:i/>
          <w:sz w:val="32"/>
        </w:rPr>
        <w:softHyphen/>
        <w:t>ком для продажу, то їх зарахування на баланс пайовика відображається за дебетом рахунка</w:t>
      </w:r>
      <w:r>
        <w:rPr>
          <w:rFonts w:ascii="Times New Roman" w:hAnsi="Times New Roman"/>
          <w:i/>
          <w:noProof/>
          <w:sz w:val="32"/>
        </w:rPr>
        <w:t xml:space="preserve"> 28 </w:t>
      </w:r>
      <w:r>
        <w:rPr>
          <w:rFonts w:ascii="Times New Roman" w:hAnsi="Times New Roman"/>
          <w:i/>
          <w:sz w:val="32"/>
        </w:rPr>
        <w:t>"Товари" та кредитом рахунка</w:t>
      </w:r>
      <w:r>
        <w:rPr>
          <w:rFonts w:ascii="Times New Roman" w:hAnsi="Times New Roman"/>
          <w:i/>
          <w:noProof/>
          <w:sz w:val="32"/>
        </w:rPr>
        <w:t xml:space="preserve"> 15. 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Витрати на капітальні інвестиції враховуються в журналі-ордері</w:t>
      </w:r>
      <w:r>
        <w:rPr>
          <w:rFonts w:ascii="Times New Roman" w:hAnsi="Times New Roman"/>
          <w:i/>
          <w:noProof/>
          <w:sz w:val="32"/>
        </w:rPr>
        <w:t xml:space="preserve"> № 16</w:t>
      </w:r>
      <w:r>
        <w:rPr>
          <w:rFonts w:ascii="Times New Roman" w:hAnsi="Times New Roman"/>
          <w:i/>
          <w:sz w:val="32"/>
        </w:rPr>
        <w:t xml:space="preserve"> по кредитовому обороту ра</w:t>
      </w:r>
      <w:r>
        <w:rPr>
          <w:rFonts w:ascii="Times New Roman" w:hAnsi="Times New Roman"/>
          <w:i/>
          <w:sz w:val="32"/>
        </w:rPr>
        <w:softHyphen/>
        <w:t>хунка</w:t>
      </w:r>
      <w:r>
        <w:rPr>
          <w:rFonts w:ascii="Times New Roman" w:hAnsi="Times New Roman"/>
          <w:i/>
          <w:noProof/>
          <w:sz w:val="32"/>
        </w:rPr>
        <w:t xml:space="preserve"> 15.</w:t>
      </w:r>
      <w:r>
        <w:rPr>
          <w:rFonts w:ascii="Times New Roman" w:hAnsi="Times New Roman"/>
          <w:i/>
          <w:sz w:val="32"/>
        </w:rPr>
        <w:t xml:space="preserve"> Аналітичний облік по рахунку здійснюється у відомості</w:t>
      </w:r>
      <w:r>
        <w:rPr>
          <w:rFonts w:ascii="Times New Roman" w:hAnsi="Times New Roman"/>
          <w:i/>
          <w:noProof/>
          <w:sz w:val="32"/>
        </w:rPr>
        <w:t xml:space="preserve"> № 18</w:t>
      </w:r>
      <w:r>
        <w:rPr>
          <w:rFonts w:ascii="Times New Roman" w:hAnsi="Times New Roman"/>
          <w:i/>
          <w:sz w:val="32"/>
        </w:rPr>
        <w:t xml:space="preserve"> "Затрати на капітальні інвес</w:t>
      </w:r>
      <w:r>
        <w:rPr>
          <w:rFonts w:ascii="Times New Roman" w:hAnsi="Times New Roman"/>
          <w:i/>
          <w:sz w:val="32"/>
        </w:rPr>
        <w:softHyphen/>
        <w:t>тиції". Записи здійснюються на підставі первинних документів (рахунків-фактур, виписок банку, дого</w:t>
      </w:r>
      <w:r>
        <w:rPr>
          <w:rFonts w:ascii="Times New Roman" w:hAnsi="Times New Roman"/>
          <w:i/>
          <w:sz w:val="32"/>
        </w:rPr>
        <w:softHyphen/>
        <w:t>ворів тощо).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Аналітичний облік капітальних інвестицій ве</w:t>
      </w:r>
      <w:r>
        <w:rPr>
          <w:rFonts w:ascii="Times New Roman" w:hAnsi="Times New Roman"/>
          <w:i/>
          <w:sz w:val="32"/>
        </w:rPr>
        <w:softHyphen/>
        <w:t>деться відповідно за видами основних засобів, інших матеріальних необоротних активів, немате</w:t>
      </w:r>
      <w:r>
        <w:rPr>
          <w:rFonts w:ascii="Times New Roman" w:hAnsi="Times New Roman"/>
          <w:i/>
          <w:sz w:val="32"/>
        </w:rPr>
        <w:softHyphen/>
        <w:t>ріальних активів, а також за окремими об'єктами капітальних вкладень (інвентарними об'єктами).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У новому Плані рахунків немає рахунка, аналогічного старому рахунку</w:t>
      </w:r>
      <w:r>
        <w:rPr>
          <w:rFonts w:ascii="Times New Roman" w:hAnsi="Times New Roman"/>
          <w:i/>
          <w:noProof/>
          <w:sz w:val="32"/>
        </w:rPr>
        <w:t xml:space="preserve"> 93 </w:t>
      </w:r>
      <w:r>
        <w:rPr>
          <w:rFonts w:ascii="Times New Roman" w:hAnsi="Times New Roman"/>
          <w:i/>
          <w:sz w:val="32"/>
        </w:rPr>
        <w:t>"Фінансування капітальних вкладень". Це виклика</w:t>
      </w:r>
      <w:r>
        <w:rPr>
          <w:rFonts w:ascii="Times New Roman" w:hAnsi="Times New Roman"/>
          <w:i/>
          <w:sz w:val="32"/>
        </w:rPr>
        <w:softHyphen/>
        <w:t>не тим, що з</w:t>
      </w:r>
      <w:r>
        <w:rPr>
          <w:rFonts w:ascii="Times New Roman" w:hAnsi="Times New Roman"/>
          <w:i/>
          <w:noProof/>
          <w:sz w:val="32"/>
        </w:rPr>
        <w:t xml:space="preserve"> 2000</w:t>
      </w:r>
      <w:r>
        <w:rPr>
          <w:rFonts w:ascii="Times New Roman" w:hAnsi="Times New Roman"/>
          <w:i/>
          <w:sz w:val="32"/>
        </w:rPr>
        <w:t xml:space="preserve"> року в бухгалтерському обліку не треба відображати джерела фінансування капі</w:t>
      </w:r>
      <w:r>
        <w:rPr>
          <w:rFonts w:ascii="Times New Roman" w:hAnsi="Times New Roman"/>
          <w:i/>
          <w:sz w:val="32"/>
        </w:rPr>
        <w:softHyphen/>
        <w:t>тальних вкладень (прибуток, амортизація), як ра</w:t>
      </w:r>
      <w:r>
        <w:rPr>
          <w:rFonts w:ascii="Times New Roman" w:hAnsi="Times New Roman"/>
          <w:i/>
          <w:sz w:val="32"/>
        </w:rPr>
        <w:softHyphen/>
        <w:t>ніше це було передбачено Інструкцією</w:t>
      </w:r>
      <w:r>
        <w:rPr>
          <w:rFonts w:ascii="Times New Roman" w:hAnsi="Times New Roman"/>
          <w:i/>
          <w:noProof/>
          <w:sz w:val="32"/>
        </w:rPr>
        <w:t xml:space="preserve"> № 139.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Джерелами фінансування капітальних вкладень є: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засоби державного бюджету;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амортизаційний фонд підприємства;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фонди економічного стимулювання (якщо їхнє створення передбачене статутом підприємства);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прибуток підприємства;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кредиту банку;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позикові засоби;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цільове фінансування і цільові надходження;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часткові чи суми пай інших підприємств;</w:t>
      </w:r>
    </w:p>
    <w:p w:rsidR="00AA6C0F" w:rsidRDefault="00AA6C0F">
      <w:pPr>
        <w:pStyle w:val="10"/>
        <w:spacing w:line="22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засоби від продажу акцій під розширення, реконструкцію або модернізацію виробництва;</w:t>
      </w:r>
    </w:p>
    <w:p w:rsidR="00AA6C0F" w:rsidRDefault="00AA6C0F">
      <w:pPr>
        <w:pStyle w:val="10"/>
        <w:spacing w:line="240" w:lineRule="auto"/>
        <w:ind w:right="-35"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•</w:t>
      </w:r>
      <w:r>
        <w:rPr>
          <w:rFonts w:ascii="Times New Roman" w:hAnsi="Times New Roman"/>
          <w:i/>
          <w:sz w:val="32"/>
        </w:rPr>
        <w:tab/>
        <w:t>внески засновників у статутний фонд.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Державне фінансування капітальних вкладень як і раніше залишається одним з найважливіших джерел фінансування. За рахунок бюджетного фінансування здійснюються найбільш великому проекті, такі як збільшення виробничих потужностей підприємств і комплексів і створення ряду об'єктів основних невиробничих фондів, що є національним надбанням.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Використання державних коштів як джерело фінансування жорстко контролюється насамперед Міністерством фінансів України і поруч інших міністерств і відомств.</w:t>
      </w:r>
    </w:p>
    <w:p w:rsidR="00AA6C0F" w:rsidRDefault="00AA6C0F">
      <w:pPr>
        <w:pStyle w:val="10"/>
        <w:spacing w:line="220" w:lineRule="auto"/>
        <w:ind w:firstLine="284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Якщо підприємство здійснює капітальні вкладення за рахунок бюджету, то в бухгалтерському обліку є свої особливості при відображенні.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</w:rPr>
        <w:t>При виконанні робіт підрядним способом фінансування капітальних вкладень зараховується на баланс підприємства в міру здійснення оплат за зроблені на капітальні вкладення витрати і відбивається по кредиті рахунка  у кореспонденції з дебетом рахунків 15, 63 “Розрахунки з постачальниками і підрядчиками”. При виконанні робіт господарським способом - з дебетом рахунка 31 “Розрахунковий рахунок”.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Цільове фінансування в бухгалтерському обліку відображається на рахунку 48 “ Цільове фінансування і цільові надходження”, призначений для обліку коштів, отриманих від інших фізичних та юридичних  осіб.   Отримане цільове фінансування визнається доходом протягом тих періодів, у яких були понесені витрати, пов’язані з виконанням умов цільового фінансування. 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Отримані кошти на цільове фінансування капітальних інвестицій визнаються доходом протягом періоду корисного використання цих об’єктів інвестування пропорційно сумі нарахованої амортизації цих об’єктів.  Тобто у разі фінансування капітальних вкладень сальдо рахунка 48 підлягає списанню на рахунок 69 “Доходи майбутніх періодів” і вже після цього буде списуватися на доходи. 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Наприклад, підприємство отримало з бюджету на рахунок суму 100 тис. грн. для придбання обладнання.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Згідно з новим Планом рахунків ця господарська операція буде відображена таким чином (табл. </w:t>
      </w:r>
      <w:r>
        <w:rPr>
          <w:rFonts w:ascii="Times New Roman" w:hAnsi="Times New Roman"/>
          <w:i/>
          <w:sz w:val="32"/>
          <w:lang w:val="en-US"/>
        </w:rPr>
        <w:t>2</w:t>
      </w:r>
      <w:r>
        <w:rPr>
          <w:rFonts w:ascii="Times New Roman" w:hAnsi="Times New Roman"/>
          <w:i/>
          <w:sz w:val="32"/>
        </w:rPr>
        <w:t>.  )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20" w:lineRule="auto"/>
        <w:ind w:firstLine="142"/>
        <w:jc w:val="right"/>
        <w:rPr>
          <w:rFonts w:ascii="Times New Roman" w:hAnsi="Times New Roman"/>
          <w:i/>
          <w:sz w:val="32"/>
          <w:lang w:val="en-US"/>
        </w:rPr>
      </w:pPr>
      <w:r>
        <w:rPr>
          <w:rFonts w:ascii="Times New Roman" w:hAnsi="Times New Roman"/>
          <w:i/>
          <w:sz w:val="32"/>
        </w:rPr>
        <w:t xml:space="preserve"> </w:t>
      </w:r>
      <w:r>
        <w:rPr>
          <w:rFonts w:ascii="Times New Roman" w:hAnsi="Times New Roman"/>
          <w:i/>
          <w:sz w:val="32"/>
          <w:lang w:val="en-US"/>
        </w:rPr>
        <w:t xml:space="preserve"> Таблиця 2.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  <w:lang w:val="en-US"/>
        </w:rPr>
      </w:pPr>
    </w:p>
    <w:tbl>
      <w:tblPr>
        <w:tblW w:w="0" w:type="auto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5812"/>
        <w:gridCol w:w="992"/>
        <w:gridCol w:w="1134"/>
        <w:gridCol w:w="1134"/>
      </w:tblGrid>
      <w:tr w:rsidR="00AA6C0F">
        <w:trPr>
          <w:trHeight w:hRule="exact" w:val="769"/>
        </w:trPr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 xml:space="preserve">№ </w:t>
            </w:r>
            <w:r>
              <w:rPr>
                <w:rFonts w:ascii="Times New Roman" w:hAnsi="Times New Roman"/>
                <w:i/>
                <w:sz w:val="28"/>
              </w:rPr>
              <w:t>з/п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Зміст операції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Дебет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Кредит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Сума, тис. грн.</w:t>
            </w:r>
          </w:p>
        </w:tc>
      </w:tr>
      <w:tr w:rsidR="00AA6C0F">
        <w:trPr>
          <w:trHeight w:hRule="exact" w:val="436"/>
        </w:trPr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lang w:val="en-US"/>
              </w:rPr>
              <w:t>1</w:t>
            </w:r>
          </w:p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lang w:val="en-US"/>
              </w:rPr>
              <w:t>2</w:t>
            </w:r>
          </w:p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lang w:val="en-US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lang w:val="en-US"/>
              </w:rPr>
              <w:t>5</w:t>
            </w:r>
          </w:p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</w:p>
        </w:tc>
      </w:tr>
      <w:tr w:rsidR="00AA6C0F">
        <w:trPr>
          <w:trHeight w:hRule="exact" w:val="71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Отримані грошові кошти на поточний рахунок підприємства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 xml:space="preserve">311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tabs>
                <w:tab w:val="left" w:pos="1054"/>
              </w:tabs>
              <w:spacing w:before="20"/>
              <w:ind w:right="-1174"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 xml:space="preserve">     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100000</w:t>
            </w:r>
          </w:p>
        </w:tc>
      </w:tr>
      <w:tr w:rsidR="00AA6C0F">
        <w:trPr>
          <w:trHeight w:hRule="exact" w:val="56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2.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Перераховані кошти на купівлю обладнання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noProof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120000</w:t>
            </w:r>
          </w:p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noProof/>
                <w:sz w:val="28"/>
              </w:rPr>
            </w:pPr>
          </w:p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noProof/>
                <w:sz w:val="28"/>
              </w:rPr>
            </w:pPr>
          </w:p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noProof/>
                <w:sz w:val="28"/>
              </w:rPr>
            </w:pPr>
          </w:p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noProof/>
                <w:sz w:val="28"/>
              </w:rPr>
            </w:pPr>
          </w:p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sz w:val="28"/>
              </w:rPr>
            </w:pPr>
          </w:p>
        </w:tc>
      </w:tr>
      <w:tr w:rsidR="00AA6C0F">
        <w:trPr>
          <w:trHeight w:hRule="exact" w:val="56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1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noProof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noProof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noProof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5</w:t>
            </w:r>
          </w:p>
        </w:tc>
      </w:tr>
      <w:tr w:rsidR="00AA6C0F">
        <w:trPr>
          <w:trHeight w:hRule="exact" w:val="70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Відображена сума податкового кредиту з ПДВ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641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644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20000</w:t>
            </w:r>
          </w:p>
        </w:tc>
      </w:tr>
      <w:tr w:rsidR="00AA6C0F">
        <w:trPr>
          <w:trHeight w:hRule="exact" w:val="44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4.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Надійшло обладнання на підприємство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100000</w:t>
            </w:r>
          </w:p>
        </w:tc>
      </w:tr>
      <w:tr w:rsidR="00AA6C0F">
        <w:trPr>
          <w:trHeight w:hRule="exact" w:val="70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5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Відображені розрахунки по податковому кредиту з ПДВ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644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371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20000</w:t>
            </w:r>
          </w:p>
        </w:tc>
      </w:tr>
      <w:tr w:rsidR="00AA6C0F">
        <w:trPr>
          <w:trHeight w:hRule="exact" w:val="43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6.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Введені основні фонди в експлуатацію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100000</w:t>
            </w:r>
          </w:p>
        </w:tc>
      </w:tr>
      <w:tr w:rsidR="00AA6C0F">
        <w:trPr>
          <w:trHeight w:hRule="exact" w:val="83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7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Одночасно відображений дохід майбутніх періодів на суму цільового фінансування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/>
              <w:ind w:firstLine="142"/>
              <w:jc w:val="center"/>
              <w:rPr>
                <w:rFonts w:ascii="Times New Roman" w:hAnsi="Times New Roman"/>
                <w:i/>
                <w:sz w:val="28"/>
              </w:rPr>
            </w:pPr>
            <w:r>
              <w:rPr>
                <w:rFonts w:ascii="Times New Roman" w:hAnsi="Times New Roman"/>
                <w:i/>
                <w:noProof/>
                <w:sz w:val="28"/>
              </w:rPr>
              <w:t>100000</w:t>
            </w:r>
          </w:p>
        </w:tc>
      </w:tr>
      <w:tr w:rsidR="00AA6C0F">
        <w:trPr>
          <w:cantSplit/>
          <w:trHeight w:val="252"/>
        </w:trPr>
        <w:tc>
          <w:tcPr>
            <w:tcW w:w="9639" w:type="dxa"/>
            <w:gridSpan w:val="5"/>
            <w:tcBorders>
              <w:top w:val="single" w:sz="6" w:space="0" w:color="auto"/>
              <w:bottom w:val="nil"/>
            </w:tcBorders>
          </w:tcPr>
          <w:p w:rsidR="00AA6C0F" w:rsidRDefault="00AA6C0F">
            <w:pPr>
              <w:pStyle w:val="10"/>
              <w:spacing w:before="20"/>
              <w:ind w:firstLine="142"/>
              <w:jc w:val="left"/>
              <w:rPr>
                <w:rFonts w:ascii="Times New Roman" w:hAnsi="Times New Roman"/>
                <w:i/>
                <w:sz w:val="28"/>
              </w:rPr>
            </w:pPr>
          </w:p>
        </w:tc>
      </w:tr>
    </w:tbl>
    <w:p w:rsidR="00AA6C0F" w:rsidRDefault="00AA6C0F">
      <w:pPr>
        <w:pStyle w:val="10"/>
        <w:spacing w:before="20"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Найбільший обсяг капітальних вкладень, здійснюваний підприємствами недержавної форми власності, фінансується за рахунок власних коштів таких підприємств.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Оплата усіх видів витрат і витрат при капітальних вкладеннях, здійснюваних підприємствами за рахунок власних коштів, здійснюється  з кредиту рахунка 31 “Розрахунковий рахунок”.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При використанні власних засобів підприємств (амортизаційний фонд, фонди економічного стимулювання, прибуток і ін.) як джерело фінансування капітальних вкладень маються розходження при відображенні в бухгалтерському обліку в залежності від форми власності підприємства.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Зарахування об'єктів на баланс таких підприємств відбивається проводкою по дебеті рахунка 10 “Основні засоби” і кредиту рахунка 40  “Статутний фонд”.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Нерідкі випадки, коли підприємства для здій</w:t>
      </w:r>
      <w:r>
        <w:rPr>
          <w:rFonts w:ascii="Times New Roman" w:hAnsi="Times New Roman"/>
          <w:i/>
          <w:sz w:val="32"/>
        </w:rPr>
        <w:softHyphen/>
        <w:t>снення капітальних вкладень залучають кредити банків або позикові кошти небанківських органі</w:t>
      </w:r>
      <w:r>
        <w:rPr>
          <w:rFonts w:ascii="Times New Roman" w:hAnsi="Times New Roman"/>
          <w:i/>
          <w:sz w:val="32"/>
        </w:rPr>
        <w:softHyphen/>
        <w:t>зацій. У цьому випадку підприємство повинне укласти кредитний договір (кредитну угоду) з установою, що надає грошовий кредит.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При цьому слід уточнити, що мова йде про фінансові кредити, статус яких визначений підпун</w:t>
      </w:r>
      <w:r>
        <w:rPr>
          <w:rFonts w:ascii="Times New Roman" w:hAnsi="Times New Roman"/>
          <w:i/>
          <w:sz w:val="32"/>
        </w:rPr>
        <w:softHyphen/>
        <w:t>ктом 1.11.1 Закону про прибуток, - це грошові кошти, які надаються банком або небанківською фінансовою установою (далі - банком) у позику юридичній або фізичній особі на певний термін під відсоток. Такі кредити видаються банком за умови, що вони включені до ліміту капітальних вкладень і будуть відшкодовані за рахунок коштів, передбачених у фінансових планах підприємств, крім того, вони повинні бути використані суворо за цільовим призначенням - на капітальні вкла</w:t>
      </w:r>
      <w:r>
        <w:rPr>
          <w:rFonts w:ascii="Times New Roman" w:hAnsi="Times New Roman"/>
          <w:i/>
          <w:sz w:val="32"/>
        </w:rPr>
        <w:softHyphen/>
        <w:t>дення.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Кредитні договори по позиках на капітальні вкладення найчастіше належать до довгострокових, як і  самі кредити. При будівництві об’єктів, технічному переобладнанні, реконст</w:t>
      </w:r>
      <w:r>
        <w:rPr>
          <w:rFonts w:ascii="Times New Roman" w:hAnsi="Times New Roman"/>
          <w:i/>
          <w:sz w:val="32"/>
        </w:rPr>
        <w:softHyphen/>
        <w:t>рукції або розширенні діючих підприємств термін кредитного договору нерідко відповідає норма</w:t>
      </w:r>
      <w:r>
        <w:rPr>
          <w:rFonts w:ascii="Times New Roman" w:hAnsi="Times New Roman"/>
          <w:i/>
          <w:sz w:val="32"/>
        </w:rPr>
        <w:softHyphen/>
        <w:t>тивному терміну виконання будівельно-монтаж</w:t>
      </w:r>
      <w:r>
        <w:rPr>
          <w:rFonts w:ascii="Times New Roman" w:hAnsi="Times New Roman"/>
          <w:i/>
          <w:sz w:val="32"/>
        </w:rPr>
        <w:softHyphen/>
        <w:t xml:space="preserve">них робіт. 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Витрати на сплату відсотків за користування кредитом не включаються до первісної вартості основних засобів, придбаних (створених) повністю або частково за рахунок позикового капіталу.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На рахунку 50 “Довгострокові позики” ведеться облік розрахунків за довгостроковими позиками банків та іншими залученими позиковими коштами в інших осіб, які не є поточними зобов’язаннями.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Приклад наведений в таблиці 3.</w:t>
      </w:r>
    </w:p>
    <w:p w:rsidR="00AA6C0F" w:rsidRDefault="00AA6C0F">
      <w:pPr>
        <w:pStyle w:val="10"/>
        <w:spacing w:line="220" w:lineRule="auto"/>
        <w:ind w:firstLine="142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                                                                                                  Таблиця 3.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6"/>
        <w:gridCol w:w="5294"/>
        <w:gridCol w:w="1312"/>
        <w:gridCol w:w="1276"/>
        <w:gridCol w:w="1517"/>
        <w:gridCol w:w="142"/>
      </w:tblGrid>
      <w:tr w:rsidR="00AA6C0F">
        <w:trPr>
          <w:cantSplit/>
          <w:trHeight w:hRule="exact" w:val="250"/>
        </w:trPr>
        <w:tc>
          <w:tcPr>
            <w:tcW w:w="7032" w:type="dxa"/>
            <w:gridSpan w:val="3"/>
            <w:tcBorders>
              <w:top w:val="nil"/>
              <w:bottom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517" w:type="dxa"/>
            <w:tcBorders>
              <w:top w:val="nil"/>
              <w:bottom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42" w:type="dxa"/>
            <w:tcBorders>
              <w:top w:val="nil"/>
              <w:bottom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</w:tr>
      <w:tr w:rsidR="00AA6C0F">
        <w:trPr>
          <w:cantSplit/>
          <w:trHeight w:hRule="exact" w:val="860"/>
        </w:trPr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№</w:t>
            </w:r>
          </w:p>
        </w:tc>
        <w:tc>
          <w:tcPr>
            <w:tcW w:w="5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Зміст операції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 xml:space="preserve">Дебет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4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Кредит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4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Сума, грн.</w:t>
            </w:r>
          </w:p>
        </w:tc>
      </w:tr>
      <w:tr w:rsidR="00AA6C0F">
        <w:trPr>
          <w:cantSplit/>
          <w:trHeight w:hRule="exact" w:val="48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</w:t>
            </w:r>
          </w:p>
        </w:tc>
        <w:tc>
          <w:tcPr>
            <w:tcW w:w="5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2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4</w:t>
            </w:r>
          </w:p>
        </w:tc>
        <w:tc>
          <w:tcPr>
            <w:tcW w:w="1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5</w:t>
            </w:r>
          </w:p>
        </w:tc>
      </w:tr>
      <w:tr w:rsidR="00AA6C0F">
        <w:trPr>
          <w:cantSplit/>
          <w:trHeight w:hRule="exact" w:val="10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5294" w:type="dxa"/>
            <w:tcBorders>
              <w:top w:val="single" w:sz="6" w:space="0" w:color="auto"/>
              <w:bottom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312" w:type="dxa"/>
            <w:tcBorders>
              <w:top w:val="single" w:sz="6" w:space="0" w:color="auto"/>
              <w:bottom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  <w:tc>
          <w:tcPr>
            <w:tcW w:w="1659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</w:p>
        </w:tc>
      </w:tr>
      <w:tr w:rsidR="00AA6C0F">
        <w:trPr>
          <w:cantSplit/>
          <w:trHeight w:hRule="exact" w:val="83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</w:t>
            </w:r>
          </w:p>
        </w:tc>
        <w:tc>
          <w:tcPr>
            <w:tcW w:w="5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Оплачений рахунок постачальника за</w:t>
            </w:r>
          </w:p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рахунок оформленого кредиту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631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50</w:t>
            </w:r>
          </w:p>
        </w:tc>
        <w:tc>
          <w:tcPr>
            <w:tcW w:w="1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720000</w:t>
            </w:r>
          </w:p>
        </w:tc>
      </w:tr>
      <w:tr w:rsidR="00AA6C0F">
        <w:trPr>
          <w:cantSplit/>
          <w:trHeight w:hRule="exact" w:val="837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2</w:t>
            </w:r>
          </w:p>
        </w:tc>
        <w:tc>
          <w:tcPr>
            <w:tcW w:w="5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 xml:space="preserve">Відображена сума податкового кредиту з ПДВ 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6411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644</w:t>
            </w:r>
          </w:p>
        </w:tc>
        <w:tc>
          <w:tcPr>
            <w:tcW w:w="1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120000</w:t>
            </w:r>
          </w:p>
        </w:tc>
      </w:tr>
      <w:tr w:rsidR="00AA6C0F">
        <w:trPr>
          <w:cantSplit/>
          <w:trHeight w:hRule="exact" w:val="707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</w:t>
            </w:r>
          </w:p>
        </w:tc>
        <w:tc>
          <w:tcPr>
            <w:tcW w:w="5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Оприбутковані матеріальні цінності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631</w:t>
            </w:r>
          </w:p>
        </w:tc>
        <w:tc>
          <w:tcPr>
            <w:tcW w:w="1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600000</w:t>
            </w:r>
          </w:p>
        </w:tc>
      </w:tr>
      <w:tr w:rsidR="00AA6C0F">
        <w:trPr>
          <w:cantSplit/>
          <w:trHeight w:hRule="exact" w:val="98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4</w:t>
            </w:r>
          </w:p>
        </w:tc>
        <w:tc>
          <w:tcPr>
            <w:tcW w:w="5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 xml:space="preserve">Відображена сума податкового кредиту з ПДВ 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644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631</w:t>
            </w:r>
          </w:p>
        </w:tc>
        <w:tc>
          <w:tcPr>
            <w:tcW w:w="1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A6C0F" w:rsidRDefault="00AA6C0F">
            <w:pPr>
              <w:pStyle w:val="10"/>
              <w:spacing w:before="20" w:line="240" w:lineRule="auto"/>
              <w:ind w:firstLine="142"/>
              <w:jc w:val="center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120000</w:t>
            </w:r>
          </w:p>
        </w:tc>
      </w:tr>
    </w:tbl>
    <w:p w:rsidR="00AA6C0F" w:rsidRDefault="00AA6C0F">
      <w:pPr>
        <w:pStyle w:val="10"/>
        <w:spacing w:line="240" w:lineRule="auto"/>
        <w:ind w:firstLine="142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142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142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jc w:val="center"/>
        <w:outlineLvl w:val="0"/>
        <w:rPr>
          <w:rFonts w:ascii="Times New Roman" w:hAnsi="Times New Roman"/>
          <w:b/>
          <w:i/>
          <w:sz w:val="32"/>
          <w:lang w:val="en-US"/>
        </w:rPr>
      </w:pPr>
      <w:r>
        <w:rPr>
          <w:rFonts w:ascii="Times New Roman" w:hAnsi="Times New Roman"/>
          <w:b/>
          <w:i/>
          <w:sz w:val="32"/>
          <w:lang w:val="en-US"/>
        </w:rPr>
        <w:t>ІI</w:t>
      </w:r>
      <w:r>
        <w:rPr>
          <w:rFonts w:ascii="Times New Roman" w:hAnsi="Times New Roman"/>
          <w:b/>
          <w:i/>
          <w:sz w:val="32"/>
        </w:rPr>
        <w:t>.   ПРАКТИЧНА ЧАСТИНА.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 дитячому будинку “ Малятко” , яке знаходиться на державному бюджеті, за січень 1999 року зареєстровані слідуючі господарські операції.</w:t>
      </w:r>
    </w:p>
    <w:p w:rsidR="00AA6C0F" w:rsidRDefault="00AA6C0F">
      <w:pPr>
        <w:pStyle w:val="10"/>
        <w:numPr>
          <w:ilvl w:val="0"/>
          <w:numId w:val="4"/>
        </w:numPr>
        <w:spacing w:line="240" w:lineRule="auto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Надійшло фінансування на бюджетний рахунок нижчестоячого  розпорядника кредитів 10 000000 грн.</w:t>
      </w:r>
    </w:p>
    <w:p w:rsidR="00AA6C0F" w:rsidRDefault="00AA6C0F">
      <w:pPr>
        <w:pStyle w:val="10"/>
        <w:numPr>
          <w:ilvl w:val="0"/>
          <w:numId w:val="4"/>
        </w:numPr>
        <w:spacing w:line="240" w:lineRule="auto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Отримані  в    касу   готівкові  гроші  з  поточного   рахунку   у  сумі 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2000 грн.</w:t>
      </w:r>
    </w:p>
    <w:p w:rsidR="00AA6C0F" w:rsidRDefault="00AA6C0F">
      <w:pPr>
        <w:pStyle w:val="10"/>
        <w:numPr>
          <w:ilvl w:val="0"/>
          <w:numId w:val="4"/>
        </w:numPr>
        <w:spacing w:line="240" w:lineRule="auto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Оплачені   з  бюджетного   рахунку   рахунки   постачальників у сумі  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  700 грн.</w:t>
      </w:r>
    </w:p>
    <w:p w:rsidR="00AA6C0F" w:rsidRDefault="00AA6C0F">
      <w:pPr>
        <w:pStyle w:val="10"/>
        <w:numPr>
          <w:ilvl w:val="0"/>
          <w:numId w:val="4"/>
        </w:numPr>
        <w:spacing w:line="240" w:lineRule="auto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Закриті використані кредити в кінці року на суму 3000 грн.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Бухгалтерський облік цих операцій , згідно Плану рахунків бухгалтерського обліку  бюджетних  установ від 10.12.99р. № 114 та Порядку його застосування від20.12.99р. за №890/4183, наведемо в таблиці4.</w:t>
      </w:r>
    </w:p>
    <w:p w:rsidR="00AA6C0F" w:rsidRDefault="00AA6C0F">
      <w:pPr>
        <w:pStyle w:val="10"/>
        <w:spacing w:line="240" w:lineRule="auto"/>
        <w:ind w:firstLine="0"/>
        <w:jc w:val="right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Таблиця 4.</w:t>
      </w:r>
    </w:p>
    <w:p w:rsidR="00AA6C0F" w:rsidRDefault="00AA6C0F">
      <w:pPr>
        <w:pStyle w:val="10"/>
        <w:spacing w:line="240" w:lineRule="auto"/>
        <w:ind w:firstLine="0"/>
        <w:jc w:val="center"/>
        <w:rPr>
          <w:rFonts w:ascii="Times New Roman" w:hAnsi="Times New Roman"/>
          <w:b/>
          <w:i/>
          <w:sz w:val="32"/>
        </w:rPr>
      </w:pPr>
    </w:p>
    <w:tbl>
      <w:tblPr>
        <w:tblW w:w="0" w:type="auto"/>
        <w:tblInd w:w="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3"/>
        <w:gridCol w:w="4437"/>
        <w:gridCol w:w="1507"/>
        <w:gridCol w:w="1356"/>
        <w:gridCol w:w="1574"/>
      </w:tblGrid>
      <w:tr w:rsidR="00AA6C0F">
        <w:trPr>
          <w:trHeight w:val="636"/>
        </w:trPr>
        <w:tc>
          <w:tcPr>
            <w:tcW w:w="603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№</w:t>
            </w:r>
          </w:p>
        </w:tc>
        <w:tc>
          <w:tcPr>
            <w:tcW w:w="443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Зміст операції</w:t>
            </w:r>
          </w:p>
        </w:tc>
        <w:tc>
          <w:tcPr>
            <w:tcW w:w="150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Дебет</w:t>
            </w:r>
          </w:p>
        </w:tc>
        <w:tc>
          <w:tcPr>
            <w:tcW w:w="1356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Кредит</w:t>
            </w:r>
          </w:p>
        </w:tc>
        <w:tc>
          <w:tcPr>
            <w:tcW w:w="1574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Сума,грн.</w:t>
            </w:r>
          </w:p>
        </w:tc>
      </w:tr>
      <w:tr w:rsidR="00AA6C0F">
        <w:trPr>
          <w:trHeight w:val="1523"/>
        </w:trPr>
        <w:tc>
          <w:tcPr>
            <w:tcW w:w="603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1.</w:t>
            </w:r>
          </w:p>
        </w:tc>
        <w:tc>
          <w:tcPr>
            <w:tcW w:w="443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left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Надійшло фінансування на бюджетний рахунок нижчестоячого  розпорядника кредитів</w:t>
            </w:r>
          </w:p>
        </w:tc>
        <w:tc>
          <w:tcPr>
            <w:tcW w:w="150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311,321</w:t>
            </w:r>
          </w:p>
        </w:tc>
        <w:tc>
          <w:tcPr>
            <w:tcW w:w="1356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681</w:t>
            </w:r>
          </w:p>
        </w:tc>
        <w:tc>
          <w:tcPr>
            <w:tcW w:w="1574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10000000</w:t>
            </w:r>
          </w:p>
        </w:tc>
      </w:tr>
      <w:tr w:rsidR="00AA6C0F">
        <w:trPr>
          <w:trHeight w:val="770"/>
        </w:trPr>
        <w:tc>
          <w:tcPr>
            <w:tcW w:w="603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2.</w:t>
            </w:r>
          </w:p>
        </w:tc>
        <w:tc>
          <w:tcPr>
            <w:tcW w:w="443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left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Отримані  в    касу   готівкові  гроші  з  поточного   рахунку</w:t>
            </w:r>
          </w:p>
        </w:tc>
        <w:tc>
          <w:tcPr>
            <w:tcW w:w="150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301</w:t>
            </w:r>
          </w:p>
        </w:tc>
        <w:tc>
          <w:tcPr>
            <w:tcW w:w="1356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311,321</w:t>
            </w:r>
          </w:p>
        </w:tc>
        <w:tc>
          <w:tcPr>
            <w:tcW w:w="1574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2000</w:t>
            </w:r>
          </w:p>
        </w:tc>
      </w:tr>
      <w:tr w:rsidR="00AA6C0F">
        <w:trPr>
          <w:trHeight w:val="1239"/>
        </w:trPr>
        <w:tc>
          <w:tcPr>
            <w:tcW w:w="603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3.</w:t>
            </w:r>
          </w:p>
        </w:tc>
        <w:tc>
          <w:tcPr>
            <w:tcW w:w="443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left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Оплачені   з  бюджетного   рахунку   рахунки   постачальників</w:t>
            </w:r>
          </w:p>
        </w:tc>
        <w:tc>
          <w:tcPr>
            <w:tcW w:w="150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631</w:t>
            </w:r>
          </w:p>
        </w:tc>
        <w:tc>
          <w:tcPr>
            <w:tcW w:w="1356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311,321</w:t>
            </w:r>
          </w:p>
        </w:tc>
        <w:tc>
          <w:tcPr>
            <w:tcW w:w="1574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</w:p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700</w:t>
            </w:r>
          </w:p>
        </w:tc>
      </w:tr>
      <w:tr w:rsidR="00AA6C0F">
        <w:trPr>
          <w:trHeight w:val="586"/>
        </w:trPr>
        <w:tc>
          <w:tcPr>
            <w:tcW w:w="603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4.</w:t>
            </w:r>
          </w:p>
        </w:tc>
        <w:tc>
          <w:tcPr>
            <w:tcW w:w="443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left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Закриті використані кредити в кінці року</w:t>
            </w:r>
          </w:p>
        </w:tc>
        <w:tc>
          <w:tcPr>
            <w:tcW w:w="1507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681</w:t>
            </w:r>
          </w:p>
        </w:tc>
        <w:tc>
          <w:tcPr>
            <w:tcW w:w="1356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802</w:t>
            </w:r>
          </w:p>
        </w:tc>
        <w:tc>
          <w:tcPr>
            <w:tcW w:w="1574" w:type="dxa"/>
          </w:tcPr>
          <w:p w:rsidR="00AA6C0F" w:rsidRDefault="00AA6C0F">
            <w:pPr>
              <w:pStyle w:val="10"/>
              <w:spacing w:line="240" w:lineRule="auto"/>
              <w:ind w:firstLine="0"/>
              <w:jc w:val="center"/>
              <w:outlineLvl w:val="0"/>
              <w:rPr>
                <w:rFonts w:ascii="Times New Roman" w:hAnsi="Times New Roman"/>
                <w:i/>
                <w:sz w:val="32"/>
              </w:rPr>
            </w:pPr>
            <w:r>
              <w:rPr>
                <w:rFonts w:ascii="Times New Roman" w:hAnsi="Times New Roman"/>
                <w:i/>
                <w:sz w:val="32"/>
              </w:rPr>
              <w:t>3000</w:t>
            </w:r>
          </w:p>
        </w:tc>
      </w:tr>
    </w:tbl>
    <w:p w:rsidR="00AA6C0F" w:rsidRDefault="00AA6C0F">
      <w:pPr>
        <w:pStyle w:val="10"/>
        <w:spacing w:line="240" w:lineRule="auto"/>
        <w:ind w:firstLine="0"/>
        <w:jc w:val="center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tbl>
      <w:tblPr>
        <w:tblW w:w="0" w:type="auto"/>
        <w:tblInd w:w="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60"/>
      </w:tblGrid>
      <w:tr w:rsidR="00AA6C0F">
        <w:trPr>
          <w:trHeight w:val="6413"/>
        </w:trPr>
        <w:tc>
          <w:tcPr>
            <w:tcW w:w="9260" w:type="dxa"/>
            <w:tcBorders>
              <w:top w:val="nil"/>
              <w:left w:val="nil"/>
              <w:right w:val="nil"/>
            </w:tcBorders>
          </w:tcPr>
          <w:p w:rsidR="00AA6C0F" w:rsidRDefault="00AA6C0F">
            <w:pPr>
              <w:pStyle w:val="10"/>
              <w:spacing w:line="240" w:lineRule="auto"/>
              <w:ind w:firstLine="0"/>
              <w:outlineLvl w:val="0"/>
              <w:rPr>
                <w:rFonts w:ascii="Times New Roman" w:hAnsi="Times New Roman"/>
                <w:i/>
                <w:sz w:val="32"/>
              </w:rPr>
            </w:pPr>
          </w:p>
        </w:tc>
      </w:tr>
    </w:tbl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tbl>
      <w:tblPr>
        <w:tblW w:w="0" w:type="auto"/>
        <w:tblInd w:w="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AA6C0F">
        <w:trPr>
          <w:trHeight w:val="6413"/>
        </w:trPr>
        <w:tc>
          <w:tcPr>
            <w:tcW w:w="9544" w:type="dxa"/>
            <w:tcBorders>
              <w:top w:val="nil"/>
              <w:left w:val="nil"/>
              <w:bottom w:val="nil"/>
              <w:right w:val="nil"/>
            </w:tcBorders>
          </w:tcPr>
          <w:p w:rsidR="00AA6C0F" w:rsidRDefault="00AA6C0F">
            <w:pPr>
              <w:pStyle w:val="10"/>
              <w:spacing w:line="240" w:lineRule="auto"/>
              <w:ind w:firstLine="0"/>
              <w:outlineLvl w:val="0"/>
              <w:rPr>
                <w:rFonts w:ascii="Times New Roman" w:hAnsi="Times New Roman"/>
                <w:i/>
                <w:sz w:val="32"/>
              </w:rPr>
            </w:pPr>
          </w:p>
        </w:tc>
      </w:tr>
    </w:tbl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jc w:val="center"/>
        <w:outlineLvl w:val="0"/>
        <w:rPr>
          <w:rFonts w:ascii="Times New Roman" w:hAnsi="Times New Roman"/>
          <w:b/>
          <w:i/>
          <w:sz w:val="36"/>
        </w:rPr>
      </w:pPr>
      <w:r>
        <w:rPr>
          <w:rFonts w:ascii="Times New Roman" w:hAnsi="Times New Roman"/>
          <w:b/>
          <w:i/>
          <w:sz w:val="36"/>
        </w:rPr>
        <w:t>Висновки.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У умовах формування ринкових відносин торгово-посередницька діяльність займає особливе місце в народному господарстві України. Тому дуже актуально вивчення особливостей обліку операцій оптової і роздрібної торгівлі.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Вивчення особливостей бюджетного обліку необхідно для підготування до роботи в бюджетних  установах.</w:t>
      </w:r>
    </w:p>
    <w:p w:rsidR="00AA6C0F" w:rsidRDefault="00AA6C0F">
      <w:pPr>
        <w:pStyle w:val="1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Вивчення бухгалтерського обліку в будівництві, страхової діяльності, на транспорті, у банках, сільському і лісовому господарстві й інших галузях дуже важливе в наш час.</w:t>
      </w:r>
    </w:p>
    <w:p w:rsidR="00AA6C0F" w:rsidRDefault="00AA6C0F">
      <w:pPr>
        <w:pStyle w:val="1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В теоретичній частині було розглянуто  облік реалізації товарів та визначення фінансових результатів в оптовій торгівлі, облік закінчених капітальних вкладень та облік джерел їх фінансування, а також  вирішена практична задача обліку в бюджетній установі.</w:t>
      </w: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Засвоєння теоретичних знань, придбання практичних навичок бухгалтерського і податкового обліку в бюджетних установах, торгівлі, на підприємствах побутового обслуговування й інших галузей і сферах народного господарства України допоможе бухгалтеру у його подальшій діяльності.</w:t>
      </w: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b/>
          <w:i/>
          <w:sz w:val="32"/>
          <w:lang w:val="en-US"/>
        </w:rPr>
      </w:pPr>
    </w:p>
    <w:p w:rsidR="00AA6C0F" w:rsidRDefault="00AA6C0F">
      <w:pPr>
        <w:pStyle w:val="10"/>
        <w:spacing w:line="240" w:lineRule="auto"/>
        <w:ind w:firstLine="0"/>
        <w:outlineLvl w:val="0"/>
        <w:rPr>
          <w:rFonts w:ascii="Times New Roman" w:hAnsi="Times New Roman"/>
          <w:b/>
          <w:i/>
          <w:sz w:val="32"/>
          <w:lang w:val="en-US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before="60"/>
        <w:ind w:firstLine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 xml:space="preserve">   </w:t>
      </w: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rPr>
          <w:rFonts w:ascii="Times New Roman" w:hAnsi="Times New Roman"/>
          <w:i/>
          <w:sz w:val="32"/>
        </w:rPr>
      </w:pPr>
    </w:p>
    <w:p w:rsidR="00AA6C0F" w:rsidRDefault="00AA6C0F">
      <w:pPr>
        <w:pStyle w:val="10"/>
        <w:spacing w:line="240" w:lineRule="auto"/>
        <w:ind w:firstLine="0"/>
        <w:jc w:val="center"/>
        <w:outlineLvl w:val="0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b/>
          <w:i/>
          <w:sz w:val="36"/>
        </w:rPr>
        <w:t>Список використаної літератури.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>Закон України “ Про Державний бюджет України на 2000р.”  від 17.02.2000 р,  №1458-</w:t>
      </w:r>
      <w:r>
        <w:rPr>
          <w:rFonts w:ascii="Times New Roman" w:hAnsi="Times New Roman"/>
          <w:i/>
          <w:sz w:val="30"/>
          <w:lang w:val="en-US"/>
        </w:rPr>
        <w:t>III</w:t>
      </w:r>
      <w:r>
        <w:rPr>
          <w:rFonts w:ascii="Times New Roman" w:hAnsi="Times New Roman"/>
          <w:i/>
          <w:sz w:val="30"/>
        </w:rPr>
        <w:t>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>Закон України “ Про бухгалтерський облік і фінансову звітність в Україні”  від 16.07.99 р,  №996-Х</w:t>
      </w:r>
      <w:r>
        <w:rPr>
          <w:rFonts w:ascii="Times New Roman" w:hAnsi="Times New Roman"/>
          <w:i/>
          <w:sz w:val="30"/>
          <w:lang w:val="en-US"/>
        </w:rPr>
        <w:t>IV</w:t>
      </w:r>
      <w:r>
        <w:rPr>
          <w:rFonts w:ascii="Times New Roman" w:hAnsi="Times New Roman"/>
          <w:i/>
          <w:sz w:val="30"/>
        </w:rPr>
        <w:t xml:space="preserve">, зі змінами і доповненнями.       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Закон України “Про опо</w:t>
      </w:r>
      <w:r>
        <w:rPr>
          <w:rFonts w:ascii="Times New Roman" w:hAnsi="Times New Roman"/>
          <w:i/>
          <w:sz w:val="30"/>
        </w:rPr>
        <w:softHyphen/>
        <w:t xml:space="preserve">даткування прибутку підприємств” у редакції Закону України від 22.05.97 р, №І283/97-ВР, зі змінами і доповненнями.       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Закон України “ПРО оподатковування прибутку  підприємства” у редакції від 22.05.97 р., зі змінами і доповненнями.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>Положення (стандарт) бухгалтерського обліку 15 “Дохід” , від 29.11.99р.  № 290.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>Положення (стандарт) бухгалтерського обліку 16 “Витрати” , від 28.01.2000р.  № 15.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Інструкція № 291 – “Інструкція про застосування Плану рахунків бухгалтерського обліку активів, капіталу , зобов’язань і господарських операцій підприємств і організацій” затверджена наказом Міністерства фінансів України від 30.11.99 р. № 291.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>Інструкція № 114 – “ Про Затвердження Плану рахунків бухгалтерського обліку бюджетних установ  та застосування Плану рахунків бухгалтерського обліку бюджетних установ”,   від 10.12.99 р. № 114.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Інструкція з ОФ - Інструкція з бухгалтерського обліку балансової вартості груп основних фондів, затверджена наказом Міністерства фінансів України від 24.07.97 р. № 159, зі змінами і доповненнями ( втратила чинність).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</w:t>
      </w:r>
      <w:r>
        <w:rPr>
          <w:rFonts w:ascii="Times New Roman" w:hAnsi="Times New Roman"/>
          <w:i/>
          <w:smallCaps/>
          <w:sz w:val="30"/>
        </w:rPr>
        <w:t xml:space="preserve">інструкція </w:t>
      </w:r>
      <w:r>
        <w:rPr>
          <w:rFonts w:ascii="Times New Roman" w:hAnsi="Times New Roman"/>
          <w:i/>
          <w:sz w:val="30"/>
        </w:rPr>
        <w:t xml:space="preserve">№ 139 - Інструкція про порядок заповнення форм річного бухгалтерського звіту підприємства, затверджена наказом Міністерства фінансів України від 18.08.95 р. № 139, зі змінами і доповненнями. 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30"/>
        </w:rPr>
        <w:t xml:space="preserve"> Інструкція № 141 - Інструкція з бухгалтерського обліку податку з додаткової вартості, затверджена наказом Міністерства фінансів України від 01.07.97 р. № 141, зі змінами і доповненнями.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Бєлов С. П. “ Бюджетний облік”. – М. : Ф.та С.  ,1998р.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Вербицка Л. В. “ Теорія бухгалтерського обліку” Нав.- метот. Посібник . - К. : Логос, 1999 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Сопко В. В. “ Бухгалтерський облік” Навч. Посібник . - К. : КНЕУ, 1998 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Баланс № 6 від  08.02. 2000р.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Баланс № 7 від  15.02. 2000р.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Баланс №9 від  29.02. 2000р.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Баланс № 10 від  07.03. 2000р.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Баланс № 14 від  04.04. 2000р.</w:t>
      </w:r>
    </w:p>
    <w:p w:rsidR="00AA6C0F" w:rsidRDefault="00AA6C0F">
      <w:pPr>
        <w:pStyle w:val="10"/>
        <w:numPr>
          <w:ilvl w:val="0"/>
          <w:numId w:val="2"/>
        </w:numPr>
        <w:tabs>
          <w:tab w:val="clear" w:pos="715"/>
          <w:tab w:val="num" w:pos="284"/>
        </w:tabs>
        <w:ind w:left="284" w:hanging="284"/>
        <w:rPr>
          <w:rFonts w:ascii="Times New Roman" w:hAnsi="Times New Roman"/>
          <w:i/>
          <w:sz w:val="30"/>
        </w:rPr>
      </w:pPr>
      <w:r>
        <w:rPr>
          <w:rFonts w:ascii="Times New Roman" w:hAnsi="Times New Roman"/>
          <w:i/>
          <w:sz w:val="28"/>
        </w:rPr>
        <w:t>Баланс № 31 від  31.07. 2000р.</w:t>
      </w:r>
    </w:p>
    <w:p w:rsidR="00AA6C0F" w:rsidRDefault="00AA6C0F">
      <w:pPr>
        <w:pStyle w:val="10"/>
        <w:tabs>
          <w:tab w:val="num" w:pos="284"/>
        </w:tabs>
        <w:ind w:left="284" w:hanging="284"/>
        <w:rPr>
          <w:rFonts w:ascii="Times New Roman" w:hAnsi="Times New Roman"/>
          <w:i/>
          <w:sz w:val="30"/>
        </w:rPr>
        <w:sectPr w:rsidR="00AA6C0F">
          <w:pgSz w:w="11900" w:h="16820"/>
          <w:pgMar w:top="426" w:right="907" w:bottom="680" w:left="1247" w:header="720" w:footer="720" w:gutter="0"/>
          <w:pgNumType w:start="2"/>
          <w:cols w:space="720" w:equalWidth="0">
            <w:col w:w="9893" w:space="300"/>
          </w:cols>
          <w:noEndnote/>
        </w:sectPr>
      </w:pPr>
      <w:r>
        <w:rPr>
          <w:rFonts w:ascii="Times New Roman" w:hAnsi="Times New Roman"/>
          <w:i/>
          <w:sz w:val="30"/>
        </w:rPr>
        <w:t xml:space="preserve"> </w:t>
      </w:r>
    </w:p>
    <w:p w:rsidR="00AA6C0F" w:rsidRDefault="00AA6C0F">
      <w:pPr>
        <w:pStyle w:val="10"/>
        <w:tabs>
          <w:tab w:val="num" w:pos="284"/>
        </w:tabs>
        <w:spacing w:line="220" w:lineRule="auto"/>
        <w:ind w:left="284" w:hanging="284"/>
        <w:rPr>
          <w:sz w:val="30"/>
        </w:rPr>
      </w:pPr>
      <w:bookmarkStart w:id="14" w:name="_GoBack"/>
      <w:bookmarkEnd w:id="14"/>
    </w:p>
    <w:sectPr w:rsidR="00AA6C0F">
      <w:pgSz w:w="11900" w:h="16820"/>
      <w:pgMar w:top="426" w:right="907" w:bottom="680" w:left="1247" w:header="720" w:footer="720" w:gutter="0"/>
      <w:pgNumType w:start="2"/>
      <w:cols w:space="720" w:equalWidth="0">
        <w:col w:w="9933" w:space="2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6C0F" w:rsidRDefault="00AA6C0F">
      <w:r>
        <w:separator/>
      </w:r>
    </w:p>
  </w:endnote>
  <w:endnote w:type="continuationSeparator" w:id="0">
    <w:p w:rsidR="00AA6C0F" w:rsidRDefault="00AA6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6C0F" w:rsidRDefault="00AA6C0F">
      <w:r>
        <w:separator/>
      </w:r>
    </w:p>
  </w:footnote>
  <w:footnote w:type="continuationSeparator" w:id="0">
    <w:p w:rsidR="00AA6C0F" w:rsidRDefault="00AA6C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6C0F" w:rsidRDefault="00AA6C0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A6C0F" w:rsidRDefault="00AA6C0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6C0F" w:rsidRDefault="00AA6C0F">
    <w:pPr>
      <w:pStyle w:val="a3"/>
      <w:framePr w:wrap="around" w:vAnchor="text" w:hAnchor="page" w:x="1153" w:y="-273"/>
      <w:ind w:right="360"/>
      <w:rPr>
        <w:rStyle w:val="a4"/>
      </w:rPr>
    </w:pPr>
  </w:p>
  <w:p w:rsidR="00AA6C0F" w:rsidRDefault="00AA6C0F">
    <w:pPr>
      <w:pStyle w:val="a3"/>
      <w:framePr w:wrap="around" w:vAnchor="text" w:hAnchor="page" w:x="1153" w:y="-273"/>
      <w:ind w:right="360"/>
      <w:rPr>
        <w:rStyle w:val="a4"/>
      </w:rPr>
    </w:pPr>
  </w:p>
  <w:p w:rsidR="00AA6C0F" w:rsidRDefault="00AA6C0F">
    <w:pPr>
      <w:pStyle w:val="a3"/>
      <w:ind w:right="360"/>
    </w:pPr>
    <w:r>
      <w:t xml:space="preserve">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9C3B7A"/>
    <w:multiLevelType w:val="singleLevel"/>
    <w:tmpl w:val="F1B41E8C"/>
    <w:lvl w:ilvl="0">
      <w:start w:val="1"/>
      <w:numFmt w:val="decimal"/>
      <w:lvlText w:val="%1."/>
      <w:lvlJc w:val="left"/>
      <w:pPr>
        <w:tabs>
          <w:tab w:val="num" w:pos="715"/>
        </w:tabs>
        <w:ind w:left="715" w:hanging="360"/>
      </w:pPr>
      <w:rPr>
        <w:rFonts w:hint="default"/>
      </w:rPr>
    </w:lvl>
  </w:abstractNum>
  <w:abstractNum w:abstractNumId="1">
    <w:nsid w:val="4AAB3C3C"/>
    <w:multiLevelType w:val="singleLevel"/>
    <w:tmpl w:val="1CCC247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2">
    <w:nsid w:val="63156A1C"/>
    <w:multiLevelType w:val="singleLevel"/>
    <w:tmpl w:val="1A1E4254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hint="default"/>
      </w:rPr>
    </w:lvl>
  </w:abstractNum>
  <w:abstractNum w:abstractNumId="3">
    <w:nsid w:val="70AE05C0"/>
    <w:multiLevelType w:val="singleLevel"/>
    <w:tmpl w:val="96A247F4"/>
    <w:lvl w:ilvl="0">
      <w:start w:val="1"/>
      <w:numFmt w:val="decimal"/>
      <w:lvlText w:val="%1"/>
      <w:lvlJc w:val="left"/>
      <w:pPr>
        <w:tabs>
          <w:tab w:val="num" w:pos="2385"/>
        </w:tabs>
        <w:ind w:left="2385" w:hanging="2385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activeWritingStyle w:appName="MSWord" w:lang="ru-RU" w:vendorID="1" w:dllVersion="517" w:checkStyle="1"/>
  <w:activeWritingStyle w:appName="MSWord" w:lang="en-US" w:vendorID="8" w:dllVersion="513" w:checkStyle="1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6C0F"/>
    <w:rsid w:val="002B046A"/>
    <w:rsid w:val="0099323B"/>
    <w:rsid w:val="00AA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" fillcolor="white">
      <v:fill color="white"/>
      <o:colormenu v:ext="edit" fillcolor="white" strokecolor="black"/>
    </o:shapedefaults>
    <o:shapelayout v:ext="edit">
      <o:idmap v:ext="edit" data="1"/>
    </o:shapelayout>
  </w:shapeDefaults>
  <w:decimalSymbol w:val=","/>
  <w:listSeparator w:val=";"/>
  <w15:chartTrackingRefBased/>
  <w15:docId w15:val="{3102B55D-843D-4FF9-A202-10ABFD681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pPr>
      <w:widowControl w:val="0"/>
      <w:spacing w:line="260" w:lineRule="auto"/>
      <w:ind w:firstLine="300"/>
      <w:jc w:val="both"/>
    </w:pPr>
    <w:rPr>
      <w:rFonts w:ascii="Arial" w:hAnsi="Arial"/>
      <w:snapToGrid w:val="0"/>
      <w:sz w:val="18"/>
      <w:lang w:val="uk-UA"/>
    </w:rPr>
  </w:style>
  <w:style w:type="paragraph" w:customStyle="1" w:styleId="FR1">
    <w:name w:val="FR1"/>
    <w:pPr>
      <w:widowControl w:val="0"/>
    </w:pPr>
    <w:rPr>
      <w:snapToGrid w:val="0"/>
      <w:sz w:val="24"/>
      <w:lang w:val="uk-UA"/>
    </w:rPr>
  </w:style>
  <w:style w:type="paragraph" w:customStyle="1" w:styleId="FR2">
    <w:name w:val="FR2"/>
    <w:pPr>
      <w:widowControl w:val="0"/>
      <w:ind w:firstLine="280"/>
      <w:jc w:val="both"/>
    </w:pPr>
    <w:rPr>
      <w:snapToGrid w:val="0"/>
      <w:lang w:val="uk-UA"/>
    </w:rPr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Document Map"/>
    <w:basedOn w:val="a"/>
    <w:semiHidden/>
    <w:pPr>
      <w:shd w:val="clear" w:color="auto" w:fill="000080"/>
    </w:pPr>
    <w:rPr>
      <w:rFonts w:ascii="Tahoma" w:hAnsi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_____Microsoft_Excel_97-20031.xls"/><Relationship Id="rId5" Type="http://schemas.openxmlformats.org/officeDocument/2006/relationships/footnotes" Target="footnotes.xml"/><Relationship Id="rId10" Type="http://schemas.openxmlformats.org/officeDocument/2006/relationships/image" Target="media/image2.wmf"/><Relationship Id="rId4" Type="http://schemas.openxmlformats.org/officeDocument/2006/relationships/webSettings" Target="web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3740</Words>
  <Characters>21323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ТОРГОВЕЛЬНІ ОПЕРАЦІЇ</vt:lpstr>
    </vt:vector>
  </TitlesOfParts>
  <Company>Super</Company>
  <LinksUpToDate>false</LinksUpToDate>
  <CharactersWithSpaces>25013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ТОРГОВЕЛЬНІ ОПЕРАЦІЇ</dc:title>
  <dc:subject/>
  <dc:creator>Boss</dc:creator>
  <cp:keywords/>
  <cp:lastModifiedBy>admin</cp:lastModifiedBy>
  <cp:revision>2</cp:revision>
  <cp:lastPrinted>2000-08-13T20:11:00Z</cp:lastPrinted>
  <dcterms:created xsi:type="dcterms:W3CDTF">2014-03-30T12:07:00Z</dcterms:created>
  <dcterms:modified xsi:type="dcterms:W3CDTF">2014-03-30T12:07:00Z</dcterms:modified>
</cp:coreProperties>
</file>