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2"/>
        </w:rPr>
      </w:pPr>
      <w:r w:rsidRPr="00651EDD">
        <w:rPr>
          <w:b/>
          <w:bCs/>
          <w:caps/>
          <w:kern w:val="28"/>
          <w:sz w:val="28"/>
          <w:szCs w:val="22"/>
        </w:rPr>
        <w:t>ЦЕЛЕВОЕ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УПРАВЛЕНИЕ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ЗАТРАТАМИ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В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СИСТЕМЕ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СТРАТЕГИЧЕСКОГО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КОНТРОЛЛИНГА,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КАК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ИНСТРУМЕНТ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ПОВЫШЕНИЯ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КОНКУРЕНТОСПОСОБНОСТИ</w:t>
      </w:r>
      <w:r w:rsidR="00651EDD">
        <w:rPr>
          <w:b/>
          <w:bCs/>
          <w:caps/>
          <w:kern w:val="28"/>
          <w:sz w:val="28"/>
          <w:szCs w:val="22"/>
        </w:rPr>
        <w:t xml:space="preserve"> </w:t>
      </w:r>
      <w:r w:rsidRPr="00651EDD">
        <w:rPr>
          <w:b/>
          <w:bCs/>
          <w:caps/>
          <w:kern w:val="28"/>
          <w:sz w:val="28"/>
          <w:szCs w:val="22"/>
        </w:rPr>
        <w:t>ПРОДУКЦИИ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Как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уже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было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неоднократно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сказано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ранее,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задача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повышения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конкурентоспособности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является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наиболее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актуальной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всех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белорусские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тому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исключение.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Рынок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нашей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перенасыщен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товарами,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числе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иностранного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производства.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Республики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Беларусь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стараются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закрепиться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рынках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близлежащих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стран: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России,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Украины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Казахстана.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уровень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конкуренции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еще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более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высок.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ситуации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именно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рынок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посредством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конкурентной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борьбы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предопределяет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направления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развития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отраслей,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совершенствования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производства,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разработки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идей,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изделий,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снижение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ними,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соответственно,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Попытки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игнорирования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требований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рынка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заканчиваются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вполне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предсказуемо: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отсутствие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интереса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затоваривание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производства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связывание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оборотных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средств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нереализуемой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готовой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недополучение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планируемой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выручки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"поглощение"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запаса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финансовой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прочности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убытки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банкротство.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Именно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поэтому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практику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экономикой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финансами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отечественных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повсеместно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внедрять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только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оперативные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инструменты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контроллинга,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стратегические,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заранее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дающие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надежные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конкурентные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преимущества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возможности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реализации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долгосрочной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помощи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определяются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совершенствуются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ключевые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факторы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успеха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специфические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компании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области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деятельности,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позволяющие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успешно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противостоять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конкурентам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добиваться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успехов"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27.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Безусловно,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здесь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важен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комплекс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мероприятий,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включает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себя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ориентацию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первую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очередь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маркетинг.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отметить,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уже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конец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80-х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годов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прошлого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века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ознаменовался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мировым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переходом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исследованиях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контроллингу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маркетинговой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стратегической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составляющей.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Примерно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тогда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же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1990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1992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гг.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появилась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сбалансированных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показателей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Нортона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Каплана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(ССП),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объединила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финансовые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нефинансовые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показатели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стратегического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развития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ориентировав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числе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финансовыми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показателями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скоординированное,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сбалансированное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достижение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критериев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реализации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компании.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ССП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блоку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финансовых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показателей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уделяется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повышенное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внимание,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особенность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эффективностью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заключается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блоки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показателей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терминологии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ССП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перспективы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("Финансы",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"Маркетинг",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"Бизнес-процессы",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"Потенциал")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логически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упорядочены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путем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организации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тесных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причинно-следственных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взаимосвязей.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выполнение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заложенных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финансовый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блок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показателей,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например,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достижение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заданного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уровня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прибыльности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чистых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денежных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потоков,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обеспечивается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блоками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маркетинга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бизнес-процессов.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Перспектива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"Маркетинг"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ориентирует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менеджмент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рост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рынка,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клиентской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базы,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степени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удовлетворения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покупателей.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перспектива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"Бизнес-процессы"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свою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очередь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задает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динамику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инноваций,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оптимизации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производства,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снижение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издержек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количества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брака,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повышения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качества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Безусловно,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всем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стоят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повышение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квалификации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мотивации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персонала,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развитая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инфраструктура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автоматизация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углубляясь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теорию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концепции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ССП,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выходит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рамки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проблематики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книги,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хочу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отметить,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ССП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наглядно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проявляется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координирующая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контроллинга.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Кроме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упомянутой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интегральной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концепции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эффективностью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ССП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стратегическому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контроллингу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причисляют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частные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инструменты,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например,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(стратегического)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организации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таковой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перенести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(транспонировать)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упомянутые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выше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причинно-следственные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взаимосвязи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ССП.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Особую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актуальность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изучению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(целевого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англ.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target-costing)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придает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факт,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совершенно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освещена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русскоязычной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литературе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контроллингу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управленческому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учету,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практически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отсутствуют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статьи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таргет-костинге.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обусловлено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первую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очередь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европейская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концепция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разрабатывается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половины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90-х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гг.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прошлого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века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только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недавно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стала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внедряться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Евросоюза.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стремительно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набирает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популярность.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Исследования,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проводимые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Германии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2000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году,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показали,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отдельные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факты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использования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зафиксированы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66%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опрошенных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регулярно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он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применяется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45%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28.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же,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концепция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является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весьма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универсальной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предназначена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высоко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конкурентных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отраслей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производств.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Целевое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(таргет-костинг)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инструмент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стратегического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контроллинга,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поддерживающий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целенаправленного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снижения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обеспечивающего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реализацию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функций:</w:t>
      </w:r>
    </w:p>
    <w:p w:rsidR="001608AF" w:rsidRPr="00651EDD" w:rsidRDefault="001608AF" w:rsidP="00651ED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планирования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производства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продуктов;</w:t>
      </w:r>
    </w:p>
    <w:p w:rsidR="001608AF" w:rsidRPr="00651EDD" w:rsidRDefault="001608AF" w:rsidP="00651ED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превентивного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издержек;</w:t>
      </w:r>
    </w:p>
    <w:p w:rsidR="001608AF" w:rsidRPr="00651EDD" w:rsidRDefault="001608AF" w:rsidP="00651ED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калькулирования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себестоимости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рыночными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реалиями.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Суть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заключается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вместо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стандартного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вопроса: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"Во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сколько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обходится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производство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продукции?"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(производственно-ориентированная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контроллеры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(или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ответственные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специалисты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финансовых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(экономических)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служб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поставить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другой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вопрос: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"Сколько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допустимо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стоить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продукции?"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(рыночно-ориентированная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затратами).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всецело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ориентирует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условия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конкурентной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борьбы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рынок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покупателей.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выполняется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основная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задача: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себестоимости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жестко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заданной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рынком,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позволит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получить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прибыль.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разрабатываемые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соответствовать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требованиям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всем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качественным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характеристикам.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Таким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образом,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допустимый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размер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себестоимости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следующим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образом: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iCs/>
          <w:kern w:val="28"/>
          <w:sz w:val="28"/>
          <w:szCs w:val="18"/>
        </w:rPr>
      </w:pPr>
      <w:r w:rsidRPr="00651EDD">
        <w:rPr>
          <w:rFonts w:cs="Arial"/>
          <w:bCs/>
          <w:iCs/>
          <w:kern w:val="28"/>
          <w:sz w:val="28"/>
          <w:szCs w:val="18"/>
        </w:rPr>
        <w:t>Цена</w:t>
      </w:r>
      <w:r w:rsidR="00651EDD">
        <w:rPr>
          <w:rFonts w:cs="Arial"/>
          <w:bCs/>
          <w:iCs/>
          <w:kern w:val="28"/>
          <w:sz w:val="28"/>
          <w:szCs w:val="18"/>
        </w:rPr>
        <w:t xml:space="preserve"> </w:t>
      </w:r>
      <w:r w:rsidRPr="00651EDD">
        <w:rPr>
          <w:rFonts w:cs="Arial"/>
          <w:bCs/>
          <w:iCs/>
          <w:kern w:val="28"/>
          <w:sz w:val="28"/>
          <w:szCs w:val="18"/>
        </w:rPr>
        <w:t>-</w:t>
      </w:r>
      <w:r w:rsidR="00651EDD">
        <w:rPr>
          <w:rFonts w:cs="Arial"/>
          <w:bCs/>
          <w:iCs/>
          <w:kern w:val="28"/>
          <w:sz w:val="28"/>
          <w:szCs w:val="18"/>
        </w:rPr>
        <w:t xml:space="preserve"> </w:t>
      </w:r>
      <w:r w:rsidRPr="00651EDD">
        <w:rPr>
          <w:rFonts w:cs="Arial"/>
          <w:bCs/>
          <w:iCs/>
          <w:kern w:val="28"/>
          <w:sz w:val="28"/>
          <w:szCs w:val="18"/>
        </w:rPr>
        <w:t>Прибыль</w:t>
      </w:r>
      <w:r w:rsidR="00651EDD">
        <w:rPr>
          <w:rFonts w:cs="Arial"/>
          <w:bCs/>
          <w:iCs/>
          <w:kern w:val="28"/>
          <w:sz w:val="28"/>
          <w:szCs w:val="18"/>
        </w:rPr>
        <w:t xml:space="preserve"> </w:t>
      </w:r>
      <w:r w:rsidRPr="00651EDD">
        <w:rPr>
          <w:rFonts w:cs="Arial"/>
          <w:bCs/>
          <w:iCs/>
          <w:kern w:val="28"/>
          <w:sz w:val="28"/>
          <w:szCs w:val="18"/>
        </w:rPr>
        <w:t>=</w:t>
      </w:r>
      <w:r w:rsidR="00651EDD">
        <w:rPr>
          <w:rFonts w:cs="Arial"/>
          <w:bCs/>
          <w:iCs/>
          <w:kern w:val="28"/>
          <w:sz w:val="28"/>
          <w:szCs w:val="18"/>
        </w:rPr>
        <w:t xml:space="preserve"> </w:t>
      </w:r>
      <w:r w:rsidRPr="00651EDD">
        <w:rPr>
          <w:rFonts w:cs="Arial"/>
          <w:bCs/>
          <w:iCs/>
          <w:kern w:val="28"/>
          <w:sz w:val="28"/>
          <w:szCs w:val="18"/>
        </w:rPr>
        <w:t>Себестоимость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вычислении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традиционные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сметные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калькуляции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"Затраты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+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Прибыль",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определяют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исходя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требуемых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ожидаемой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прибыли,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быть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заменены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следующую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расчетную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схему.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ahoma"/>
          <w:b/>
          <w:kern w:val="28"/>
          <w:sz w:val="28"/>
          <w:szCs w:val="18"/>
        </w:rPr>
      </w:pPr>
      <w:r w:rsidRPr="00651EDD">
        <w:rPr>
          <w:rFonts w:cs="Tahoma"/>
          <w:b/>
          <w:kern w:val="28"/>
          <w:sz w:val="28"/>
          <w:szCs w:val="18"/>
        </w:rPr>
        <w:t>Определение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потенциальной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рыночной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цены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(целевой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цены).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Целевая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клиенты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готовы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заплатить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образом,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ценовой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предрасположенностью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клиентов,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можно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помощью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различных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методов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поиска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новый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методике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обязательно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быть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рынком,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т.е.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либо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через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маркетинговое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исследование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(например,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через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опрос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анкетирование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потенциальных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покупателей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дилеров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предприятия),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либо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путем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сопоставления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условиями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конкурентов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(бенчмаркинг).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ahoma"/>
          <w:b/>
          <w:kern w:val="28"/>
          <w:sz w:val="28"/>
          <w:szCs w:val="18"/>
        </w:rPr>
      </w:pPr>
      <w:r w:rsidRPr="00651EDD">
        <w:rPr>
          <w:rFonts w:cs="Tahoma"/>
          <w:b/>
          <w:kern w:val="28"/>
          <w:sz w:val="28"/>
          <w:szCs w:val="18"/>
        </w:rPr>
        <w:t>Определение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целевой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прибыли.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Достижимая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руководством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уменьшается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величину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прибыли.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Прибыль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заранее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планируемый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показатель.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идеале,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величина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прибыли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(план)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покрывать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развитие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удовлетворение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запросов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собственников).</w:t>
      </w:r>
    </w:p>
    <w:p w:rsidR="001608AF" w:rsidRP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ahoma"/>
          <w:b/>
          <w:kern w:val="28"/>
          <w:sz w:val="28"/>
          <w:szCs w:val="18"/>
        </w:rPr>
      </w:pPr>
      <w:r>
        <w:rPr>
          <w:rFonts w:cs="Tahoma"/>
          <w:kern w:val="28"/>
          <w:sz w:val="28"/>
          <w:szCs w:val="18"/>
        </w:rPr>
        <w:br w:type="page"/>
      </w:r>
      <w:r w:rsidR="001608AF" w:rsidRPr="00651EDD">
        <w:rPr>
          <w:rFonts w:cs="Tahoma"/>
          <w:b/>
          <w:kern w:val="28"/>
          <w:sz w:val="28"/>
          <w:szCs w:val="18"/>
        </w:rPr>
        <w:t>Определение</w:t>
      </w:r>
      <w:r w:rsidRPr="00651EDD">
        <w:rPr>
          <w:rFonts w:cs="Tahoma"/>
          <w:b/>
          <w:kern w:val="28"/>
          <w:sz w:val="28"/>
          <w:szCs w:val="18"/>
        </w:rPr>
        <w:t xml:space="preserve"> </w:t>
      </w:r>
      <w:r w:rsidR="001608AF" w:rsidRPr="00651EDD">
        <w:rPr>
          <w:rFonts w:cs="Tahoma"/>
          <w:b/>
          <w:kern w:val="28"/>
          <w:sz w:val="28"/>
          <w:szCs w:val="18"/>
        </w:rPr>
        <w:t>допустимых</w:t>
      </w:r>
      <w:r w:rsidRPr="00651EDD">
        <w:rPr>
          <w:rFonts w:cs="Tahoma"/>
          <w:b/>
          <w:kern w:val="28"/>
          <w:sz w:val="28"/>
          <w:szCs w:val="18"/>
        </w:rPr>
        <w:t xml:space="preserve"> </w:t>
      </w:r>
      <w:r w:rsidR="001608AF" w:rsidRPr="00651EDD">
        <w:rPr>
          <w:rFonts w:cs="Tahoma"/>
          <w:b/>
          <w:kern w:val="28"/>
          <w:sz w:val="28"/>
          <w:szCs w:val="18"/>
        </w:rPr>
        <w:t>затрат.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Разница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между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прибылью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допустимые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затраты,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т.е.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затраты,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теоретически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нельзя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превышать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производстве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чтобы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гарантировать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рыночный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успех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долгосрочной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перспективе.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Столь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узко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заданные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допустимые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затраты,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правило,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достижимы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лишь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большим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усилием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практике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обычно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превышают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целевые.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ahoma"/>
          <w:b/>
          <w:kern w:val="28"/>
          <w:sz w:val="28"/>
          <w:szCs w:val="18"/>
        </w:rPr>
      </w:pPr>
      <w:r w:rsidRPr="00651EDD">
        <w:rPr>
          <w:rFonts w:cs="Tahoma"/>
          <w:b/>
          <w:kern w:val="28"/>
          <w:sz w:val="28"/>
          <w:szCs w:val="18"/>
        </w:rPr>
        <w:t>Определение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прогнозируемых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нормативных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затрат.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Из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разницы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между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допустимыми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нормативными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(реальными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образуется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сокращению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нужно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достигать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поэтапно,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счет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своевременного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использования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специальных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инструментов.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ahoma"/>
          <w:kern w:val="28"/>
          <w:sz w:val="28"/>
          <w:szCs w:val="18"/>
        </w:rPr>
      </w:pPr>
      <w:r w:rsidRPr="00651EDD">
        <w:rPr>
          <w:rFonts w:cs="Tahoma"/>
          <w:b/>
          <w:kern w:val="28"/>
          <w:sz w:val="28"/>
          <w:szCs w:val="18"/>
        </w:rPr>
        <w:t>Установление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вторичных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целевых</w:t>
      </w:r>
      <w:r w:rsidR="00651EDD" w:rsidRPr="00651EDD">
        <w:rPr>
          <w:rFonts w:cs="Tahoma"/>
          <w:b/>
          <w:kern w:val="28"/>
          <w:sz w:val="28"/>
          <w:szCs w:val="18"/>
        </w:rPr>
        <w:t xml:space="preserve"> </w:t>
      </w:r>
      <w:r w:rsidRPr="00651EDD">
        <w:rPr>
          <w:rFonts w:cs="Tahoma"/>
          <w:b/>
          <w:kern w:val="28"/>
          <w:sz w:val="28"/>
          <w:szCs w:val="18"/>
        </w:rPr>
        <w:t>затрат</w:t>
      </w:r>
      <w:r w:rsidRPr="00651EDD">
        <w:rPr>
          <w:rFonts w:cs="Tahoma"/>
          <w:kern w:val="28"/>
          <w:sz w:val="28"/>
          <w:szCs w:val="18"/>
        </w:rPr>
        <w:t>.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зависимости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конкурентоспособности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экономической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затраты,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стремится,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будут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находиться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между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допустимыми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нормативными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отражено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следующей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схеме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(см.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рис.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16).</w:t>
      </w:r>
    </w:p>
    <w:p w:rsidR="001608AF" w:rsidRPr="00651EDD" w:rsidRDefault="002561FD" w:rsidP="00651EDD">
      <w:pPr>
        <w:autoSpaceDE w:val="0"/>
        <w:autoSpaceDN w:val="0"/>
        <w:adjustRightInd w:val="0"/>
        <w:spacing w:line="360" w:lineRule="auto"/>
        <w:jc w:val="both"/>
        <w:rPr>
          <w:rFonts w:cs="Tahoma"/>
          <w:kern w:val="28"/>
          <w:sz w:val="28"/>
          <w:szCs w:val="18"/>
        </w:rPr>
      </w:pPr>
      <w:r>
        <w:rPr>
          <w:rFonts w:cs="Tahoma"/>
          <w:kern w:val="28"/>
          <w:sz w:val="2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356.25pt">
            <v:imagedata r:id="rId7" o:title=""/>
          </v:shape>
        </w:pic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18"/>
        </w:rPr>
      </w:pPr>
      <w:r w:rsidRPr="00651EDD">
        <w:rPr>
          <w:iCs/>
          <w:kern w:val="28"/>
          <w:sz w:val="28"/>
          <w:szCs w:val="18"/>
        </w:rPr>
        <w:t>Рис.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16.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Балансировка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затрат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и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определение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потребности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в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их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снижении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при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использовании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таргет-костинга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прикладном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аспекте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можно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отнести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большое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количество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различных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расчетных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методик,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связанных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исчислением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анализом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Однако,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мировая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практика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развития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свидетельствует,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большинстве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случаев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обязательном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порядке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агрегируется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элементами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функционально-стоимостного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анализа,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продиктовано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ориентацией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конкретные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запросы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потребителя.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Центральным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пунктом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функционально-производственного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метода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является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выделение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значимости.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Основная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идея,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заложенная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методе,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состоит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услуга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наполнена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функциями,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несущими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пользу.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нужно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многочисленные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оцениваются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значением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потребителей.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определить,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какая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часть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полезности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приходится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функцию.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Значимость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важность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исходный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пункт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декомпозиции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суммарных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приходящаяся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функцию,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соответствовать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значимости.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чьи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части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лежат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выше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уровня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значимости,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нужно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изыскивать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возможности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сокращения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Если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же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уровень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значимости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окажется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выше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уровня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речь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уже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пойдет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хорошо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реализованной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получает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меньший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приоритет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процессе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снижения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Применение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пошаговую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методику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расчетов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будем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рассматривать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примере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проектирования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современного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дивана,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рассчитанного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покупателей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высокого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достатка.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1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шаг: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функциональной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структуры.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Предъявляемые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рынком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требования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необходимо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редуцировать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учитывать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кроме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технических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рабочих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критериев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также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субъективно-эмоциональные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требования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стороны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клиентов.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результате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шага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функциональная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структура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изделия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принять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вид,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каким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представляют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Основная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функциональная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карта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изделия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нашем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примере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состоит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следующих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упрощенном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виде):</w:t>
      </w:r>
    </w:p>
    <w:p w:rsidR="001608AF" w:rsidRPr="00651EDD" w:rsidRDefault="001608AF" w:rsidP="00651ED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место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отдыха;</w:t>
      </w:r>
    </w:p>
    <w:p w:rsidR="001608AF" w:rsidRPr="00651EDD" w:rsidRDefault="001608AF" w:rsidP="00651ED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спальное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место;</w:t>
      </w:r>
    </w:p>
    <w:p w:rsidR="001608AF" w:rsidRPr="00651EDD" w:rsidRDefault="001608AF" w:rsidP="00651ED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престижность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(дизайн);</w:t>
      </w:r>
    </w:p>
    <w:p w:rsidR="001608AF" w:rsidRPr="00651EDD" w:rsidRDefault="001608AF" w:rsidP="00651EDD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емкость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хранения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белья,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бытовых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предметов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т.п.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2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шаг: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важности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Желаемые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клиентами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оцениваются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значению.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помощью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анкетирования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клиентов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мебельной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выставке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получило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следующую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шкалу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оценок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продукта:</w:t>
      </w:r>
      <w:r w:rsidR="00651EDD">
        <w:rPr>
          <w:rFonts w:cs="Tahoma"/>
          <w:kern w:val="28"/>
          <w:sz w:val="28"/>
          <w:szCs w:val="18"/>
        </w:rPr>
        <w:t xml:space="preserve">  </w:t>
      </w:r>
    </w:p>
    <w:p w:rsidR="001608AF" w:rsidRP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>
        <w:rPr>
          <w:rFonts w:cs="Arial"/>
          <w:bCs/>
          <w:caps/>
          <w:kern w:val="28"/>
          <w:sz w:val="28"/>
          <w:szCs w:val="18"/>
        </w:rPr>
        <w:br w:type="page"/>
      </w:r>
      <w:r w:rsidR="001608AF" w:rsidRPr="00651EDD">
        <w:rPr>
          <w:rFonts w:cs="Arial"/>
          <w:bCs/>
          <w:caps/>
          <w:kern w:val="28"/>
          <w:sz w:val="28"/>
          <w:szCs w:val="18"/>
        </w:rPr>
        <w:t>Таблица</w:t>
      </w:r>
      <w:r>
        <w:rPr>
          <w:rFonts w:cs="Arial"/>
          <w:bCs/>
          <w:caps/>
          <w:kern w:val="28"/>
          <w:sz w:val="28"/>
          <w:szCs w:val="18"/>
        </w:rPr>
        <w:t xml:space="preserve"> </w:t>
      </w:r>
      <w:r w:rsidR="001608AF" w:rsidRPr="00651EDD">
        <w:rPr>
          <w:rFonts w:cs="Arial"/>
          <w:bCs/>
          <w:caps/>
          <w:kern w:val="28"/>
          <w:sz w:val="28"/>
          <w:szCs w:val="18"/>
        </w:rPr>
        <w:t>24</w:t>
      </w:r>
    </w:p>
    <w:p w:rsidR="001608AF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  <w:r w:rsidRPr="00651EDD">
        <w:rPr>
          <w:rFonts w:cs="Arial"/>
          <w:bCs/>
          <w:kern w:val="28"/>
          <w:sz w:val="28"/>
          <w:szCs w:val="20"/>
        </w:rPr>
        <w:t>Оценка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значимости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функций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изделия</w:t>
      </w:r>
    </w:p>
    <w:p w:rsidR="00651EDD" w:rsidRP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887"/>
        <w:gridCol w:w="1513"/>
        <w:gridCol w:w="1513"/>
        <w:gridCol w:w="1513"/>
        <w:gridCol w:w="1513"/>
        <w:gridCol w:w="1505"/>
      </w:tblGrid>
      <w:tr w:rsidR="001608AF" w:rsidRPr="00651EDD" w:rsidTr="00847DF8">
        <w:trPr>
          <w:tblCellSpacing w:w="-8" w:type="dxa"/>
          <w:jc w:val="center"/>
        </w:trPr>
        <w:tc>
          <w:tcPr>
            <w:tcW w:w="100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651EDD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800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651EDD">
              <w:rPr>
                <w:rFonts w:cs="Arial"/>
                <w:kern w:val="28"/>
                <w:sz w:val="20"/>
                <w:szCs w:val="20"/>
              </w:rPr>
              <w:t>Функции</w:t>
            </w:r>
          </w:p>
        </w:tc>
      </w:tr>
      <w:tr w:rsidR="001608AF" w:rsidRPr="00651EDD" w:rsidTr="00847DF8">
        <w:trPr>
          <w:tblCellSpacing w:w="-8" w:type="dxa"/>
          <w:jc w:val="center"/>
        </w:trPr>
        <w:tc>
          <w:tcPr>
            <w:tcW w:w="3712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Место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для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отдыха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Спальное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место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Престижность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(дизайн)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Емкость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для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хранения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Итого</w:t>
            </w:r>
          </w:p>
        </w:tc>
      </w:tr>
      <w:tr w:rsidR="001608AF" w:rsidRPr="00651EDD" w:rsidTr="00847DF8">
        <w:trPr>
          <w:tblCellSpacing w:w="-8" w:type="dxa"/>
          <w:jc w:val="center"/>
        </w:trPr>
        <w:tc>
          <w:tcPr>
            <w:tcW w:w="10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Важность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0,43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0,10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0,45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0,02</w:t>
            </w:r>
          </w:p>
        </w:tc>
        <w:tc>
          <w:tcPr>
            <w:tcW w:w="8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1,00</w:t>
            </w:r>
          </w:p>
        </w:tc>
      </w:tr>
    </w:tbl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3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шаг: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Выяснение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общего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вклада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Специалисты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коллегиально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определяют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вклад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реализацию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функций.</w:t>
      </w:r>
      <w:r w:rsidR="00651EDD">
        <w:rPr>
          <w:rFonts w:cs="Tahoma"/>
          <w:kern w:val="28"/>
          <w:sz w:val="28"/>
          <w:szCs w:val="18"/>
        </w:rPr>
        <w:t xml:space="preserve">  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651EDD">
        <w:rPr>
          <w:rFonts w:cs="Arial"/>
          <w:bCs/>
          <w:caps/>
          <w:kern w:val="28"/>
          <w:sz w:val="28"/>
          <w:szCs w:val="18"/>
        </w:rPr>
        <w:t>Таблица</w:t>
      </w:r>
      <w:r w:rsidR="00651EDD">
        <w:rPr>
          <w:rFonts w:cs="Arial"/>
          <w:bCs/>
          <w:caps/>
          <w:kern w:val="28"/>
          <w:sz w:val="28"/>
          <w:szCs w:val="18"/>
        </w:rPr>
        <w:t xml:space="preserve"> </w:t>
      </w:r>
      <w:r w:rsidRPr="00651EDD">
        <w:rPr>
          <w:rFonts w:cs="Arial"/>
          <w:bCs/>
          <w:caps/>
          <w:kern w:val="28"/>
          <w:sz w:val="28"/>
          <w:szCs w:val="18"/>
        </w:rPr>
        <w:t>25</w:t>
      </w:r>
    </w:p>
    <w:p w:rsidR="001608AF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  <w:r w:rsidRPr="00651EDD">
        <w:rPr>
          <w:rFonts w:cs="Arial"/>
          <w:bCs/>
          <w:kern w:val="28"/>
          <w:sz w:val="28"/>
          <w:szCs w:val="20"/>
        </w:rPr>
        <w:t>Выяснение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общего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вклада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компонентов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продукта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в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реализацию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функций,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%</w:t>
      </w:r>
    </w:p>
    <w:p w:rsidR="00651EDD" w:rsidRP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5"/>
        <w:gridCol w:w="3329"/>
        <w:gridCol w:w="1417"/>
        <w:gridCol w:w="1417"/>
        <w:gridCol w:w="1417"/>
        <w:gridCol w:w="1409"/>
      </w:tblGrid>
      <w:tr w:rsidR="001608AF" w:rsidRPr="00651EDD" w:rsidTr="00847DF8">
        <w:trPr>
          <w:tblCellSpacing w:w="-8" w:type="dxa"/>
          <w:jc w:val="center"/>
        </w:trPr>
        <w:tc>
          <w:tcPr>
            <w:tcW w:w="25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651EDD">
              <w:rPr>
                <w:rFonts w:cs="Arial"/>
                <w:kern w:val="28"/>
                <w:sz w:val="20"/>
                <w:szCs w:val="20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651EDD">
              <w:rPr>
                <w:rFonts w:cs="Arial"/>
                <w:kern w:val="28"/>
                <w:sz w:val="20"/>
                <w:szCs w:val="20"/>
              </w:rPr>
              <w:t>Компоненты*</w:t>
            </w:r>
          </w:p>
        </w:tc>
        <w:tc>
          <w:tcPr>
            <w:tcW w:w="750" w:type="pct"/>
            <w:gridSpan w:val="4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651EDD">
              <w:rPr>
                <w:rFonts w:cs="Arial"/>
                <w:kern w:val="28"/>
                <w:sz w:val="20"/>
                <w:szCs w:val="20"/>
              </w:rPr>
              <w:t>Функции</w:t>
            </w:r>
          </w:p>
        </w:tc>
      </w:tr>
      <w:tr w:rsidR="001608AF" w:rsidRPr="00651EDD" w:rsidTr="00847DF8">
        <w:trPr>
          <w:tblCellSpacing w:w="-8" w:type="dxa"/>
          <w:jc w:val="center"/>
        </w:trPr>
        <w:tc>
          <w:tcPr>
            <w:tcW w:w="84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667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Место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для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отдыха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Спальное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место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Престижность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(дизайн)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Емкость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для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хранения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Каркас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23,50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19,00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15,00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90,00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Пруж.</w:t>
            </w:r>
            <w:r w:rsidR="00651EDD"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Courier New"/>
                <w:kern w:val="28"/>
                <w:sz w:val="20"/>
                <w:szCs w:val="20"/>
              </w:rPr>
              <w:t>блок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36,00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6,00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4,50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Поролон.ватный</w:t>
            </w:r>
            <w:r w:rsidR="00651EDD"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Courier New"/>
                <w:kern w:val="28"/>
                <w:sz w:val="20"/>
                <w:szCs w:val="20"/>
              </w:rPr>
              <w:t>наполнитель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20,50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8,00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2,50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Механизм</w:t>
            </w:r>
            <w:r w:rsidR="00651EDD"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Courier New"/>
                <w:kern w:val="28"/>
                <w:sz w:val="20"/>
                <w:szCs w:val="20"/>
              </w:rPr>
              <w:t>трансформации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17,00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65,00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10,00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5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Материал</w:t>
            </w:r>
            <w:r w:rsidR="00651EDD"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Courier New"/>
                <w:kern w:val="28"/>
                <w:sz w:val="20"/>
                <w:szCs w:val="20"/>
              </w:rPr>
              <w:t>обивки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3,00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59,00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6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Накладки</w:t>
            </w:r>
            <w:r w:rsidR="00651EDD"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Courier New"/>
                <w:kern w:val="28"/>
                <w:sz w:val="20"/>
                <w:szCs w:val="20"/>
              </w:rPr>
              <w:t>деревянные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17,00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651EDD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Итого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100,00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100,00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100,00</w:t>
            </w:r>
          </w:p>
        </w:tc>
        <w:tc>
          <w:tcPr>
            <w:tcW w:w="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100,00</w:t>
            </w:r>
          </w:p>
        </w:tc>
      </w:tr>
    </w:tbl>
    <w:p w:rsidR="001608AF" w:rsidRPr="00651EDD" w:rsidRDefault="001608AF" w:rsidP="00651EDD">
      <w:pPr>
        <w:pBdr>
          <w:bottom w:val="single" w:sz="6" w:space="3" w:color="9E9E9E"/>
          <w:right w:val="single" w:sz="6" w:space="3" w:color="9E9E9E"/>
        </w:pBdr>
        <w:shd w:val="clear" w:color="auto" w:fill="EFEFEF"/>
        <w:autoSpaceDE w:val="0"/>
        <w:autoSpaceDN w:val="0"/>
        <w:adjustRightInd w:val="0"/>
        <w:spacing w:line="360" w:lineRule="auto"/>
        <w:jc w:val="both"/>
        <w:rPr>
          <w:rFonts w:cs="Tahoma"/>
          <w:kern w:val="28"/>
          <w:sz w:val="20"/>
          <w:szCs w:val="20"/>
        </w:rPr>
      </w:pPr>
      <w:r w:rsidRPr="00651EDD">
        <w:rPr>
          <w:rFonts w:cs="Tahoma"/>
          <w:kern w:val="28"/>
          <w:sz w:val="20"/>
          <w:szCs w:val="20"/>
        </w:rPr>
        <w:t>*</w:t>
      </w:r>
      <w:r w:rsidR="00651EDD" w:rsidRPr="00651EDD">
        <w:rPr>
          <w:rFonts w:cs="Tahoma"/>
          <w:kern w:val="28"/>
          <w:sz w:val="20"/>
          <w:szCs w:val="20"/>
        </w:rPr>
        <w:t xml:space="preserve"> </w:t>
      </w:r>
      <w:r w:rsidRPr="00651EDD">
        <w:rPr>
          <w:rFonts w:cs="Tahoma"/>
          <w:kern w:val="28"/>
          <w:sz w:val="20"/>
          <w:szCs w:val="20"/>
        </w:rPr>
        <w:t>-</w:t>
      </w:r>
      <w:r w:rsidR="00651EDD" w:rsidRPr="00651EDD">
        <w:rPr>
          <w:rFonts w:cs="Tahoma"/>
          <w:kern w:val="28"/>
          <w:sz w:val="20"/>
          <w:szCs w:val="20"/>
        </w:rPr>
        <w:t xml:space="preserve"> </w:t>
      </w:r>
      <w:r w:rsidRPr="00651EDD">
        <w:rPr>
          <w:rFonts w:cs="Tahoma"/>
          <w:kern w:val="28"/>
          <w:sz w:val="20"/>
          <w:szCs w:val="20"/>
        </w:rPr>
        <w:t>компоненты</w:t>
      </w:r>
      <w:r w:rsidR="00651EDD" w:rsidRPr="00651EDD">
        <w:rPr>
          <w:rFonts w:cs="Tahoma"/>
          <w:kern w:val="28"/>
          <w:sz w:val="20"/>
          <w:szCs w:val="20"/>
        </w:rPr>
        <w:t xml:space="preserve"> </w:t>
      </w:r>
      <w:r w:rsidRPr="00651EDD">
        <w:rPr>
          <w:rFonts w:cs="Tahoma"/>
          <w:kern w:val="28"/>
          <w:sz w:val="20"/>
          <w:szCs w:val="20"/>
        </w:rPr>
        <w:t>изделия</w:t>
      </w:r>
      <w:r w:rsidR="00651EDD" w:rsidRPr="00651EDD">
        <w:rPr>
          <w:rFonts w:cs="Tahoma"/>
          <w:kern w:val="28"/>
          <w:sz w:val="20"/>
          <w:szCs w:val="20"/>
        </w:rPr>
        <w:t xml:space="preserve"> </w:t>
      </w:r>
      <w:r w:rsidRPr="00651EDD">
        <w:rPr>
          <w:rFonts w:cs="Tahoma"/>
          <w:kern w:val="28"/>
          <w:sz w:val="20"/>
          <w:szCs w:val="20"/>
        </w:rPr>
        <w:t>приведены</w:t>
      </w:r>
      <w:r w:rsidR="00651EDD" w:rsidRPr="00651EDD">
        <w:rPr>
          <w:rFonts w:cs="Tahoma"/>
          <w:kern w:val="28"/>
          <w:sz w:val="20"/>
          <w:szCs w:val="20"/>
        </w:rPr>
        <w:t xml:space="preserve"> </w:t>
      </w:r>
      <w:r w:rsidRPr="00651EDD">
        <w:rPr>
          <w:rFonts w:cs="Tahoma"/>
          <w:kern w:val="28"/>
          <w:sz w:val="20"/>
          <w:szCs w:val="20"/>
        </w:rPr>
        <w:t>укрупненно.</w:t>
      </w:r>
    </w:p>
    <w:p w:rsid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Данную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таблицу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интерпретировать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следующим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образом: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функциональную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составляющую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например,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"Престижность"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59%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отвечает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материал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обивки,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17%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накладки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деревянные,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15%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каркас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дивана,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4,5%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пружинный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блок,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2,5%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поролоновый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наполнитель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наконец,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последние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2%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обеспечиваются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механизмом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трансформации.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4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шаг: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значимости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важность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(вес)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умножается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соответственно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действующую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степень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реализации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функции.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шаге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значимость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изделии.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перемножается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вкладом,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вносит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выполнение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Суммы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строкам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(см.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табл.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26)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показывают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значимость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изделия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процентах).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Иными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словами,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получаем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ответ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вопрос: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насколько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важен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исходя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предпочтений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потребителей.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651EDD">
        <w:rPr>
          <w:rFonts w:cs="Arial"/>
          <w:bCs/>
          <w:caps/>
          <w:kern w:val="28"/>
          <w:sz w:val="28"/>
          <w:szCs w:val="18"/>
        </w:rPr>
        <w:t>Таблица</w:t>
      </w:r>
      <w:r w:rsidR="00651EDD">
        <w:rPr>
          <w:rFonts w:cs="Arial"/>
          <w:bCs/>
          <w:caps/>
          <w:kern w:val="28"/>
          <w:sz w:val="28"/>
          <w:szCs w:val="18"/>
        </w:rPr>
        <w:t xml:space="preserve"> </w:t>
      </w:r>
      <w:r w:rsidRPr="00651EDD">
        <w:rPr>
          <w:rFonts w:cs="Arial"/>
          <w:bCs/>
          <w:caps/>
          <w:kern w:val="28"/>
          <w:sz w:val="28"/>
          <w:szCs w:val="18"/>
        </w:rPr>
        <w:t>26</w:t>
      </w:r>
    </w:p>
    <w:p w:rsidR="001608AF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  <w:r w:rsidRPr="00651EDD">
        <w:rPr>
          <w:rFonts w:cs="Arial"/>
          <w:bCs/>
          <w:kern w:val="28"/>
          <w:sz w:val="28"/>
          <w:szCs w:val="20"/>
        </w:rPr>
        <w:t>Выяснение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полезности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отдельных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компонентов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продукта,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%</w:t>
      </w:r>
    </w:p>
    <w:p w:rsidR="00651EDD" w:rsidRP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4"/>
        <w:gridCol w:w="3333"/>
        <w:gridCol w:w="1133"/>
        <w:gridCol w:w="1133"/>
        <w:gridCol w:w="1133"/>
        <w:gridCol w:w="1133"/>
        <w:gridCol w:w="1125"/>
      </w:tblGrid>
      <w:tr w:rsidR="001608AF" w:rsidRPr="00651EDD" w:rsidTr="00847DF8">
        <w:trPr>
          <w:tblCellSpacing w:w="-8" w:type="dxa"/>
          <w:jc w:val="center"/>
        </w:trPr>
        <w:tc>
          <w:tcPr>
            <w:tcW w:w="25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651EDD">
              <w:rPr>
                <w:rFonts w:cs="Arial"/>
                <w:kern w:val="28"/>
                <w:sz w:val="20"/>
                <w:szCs w:val="20"/>
              </w:rPr>
              <w:t>№</w:t>
            </w:r>
          </w:p>
        </w:tc>
        <w:tc>
          <w:tcPr>
            <w:tcW w:w="1750" w:type="pct"/>
            <w:vMerge w:val="restar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651EDD">
              <w:rPr>
                <w:rFonts w:cs="Arial"/>
                <w:kern w:val="28"/>
                <w:sz w:val="20"/>
                <w:szCs w:val="20"/>
              </w:rPr>
              <w:t>Компоненты</w:t>
            </w:r>
          </w:p>
        </w:tc>
        <w:tc>
          <w:tcPr>
            <w:tcW w:w="600" w:type="pct"/>
            <w:gridSpan w:val="5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651EDD">
              <w:rPr>
                <w:rFonts w:cs="Arial"/>
                <w:kern w:val="28"/>
                <w:sz w:val="20"/>
                <w:szCs w:val="20"/>
              </w:rPr>
              <w:t>Функции</w:t>
            </w:r>
          </w:p>
        </w:tc>
      </w:tr>
      <w:tr w:rsidR="001608AF" w:rsidRPr="00651EDD" w:rsidTr="00847DF8">
        <w:trPr>
          <w:tblCellSpacing w:w="-8" w:type="dxa"/>
          <w:jc w:val="center"/>
        </w:trPr>
        <w:tc>
          <w:tcPr>
            <w:tcW w:w="848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6674" w:type="dxa"/>
            <w:vMerge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Местодля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отдыха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Спальное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место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Престижность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(дизайн)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Емкость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для</w:t>
            </w:r>
            <w:r w:rsidR="00651EDD" w:rsidRPr="00651EDD">
              <w:rPr>
                <w:rFonts w:cs="Arial"/>
                <w:bCs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хранения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shd w:val="clear" w:color="auto" w:fill="FFEE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kern w:val="28"/>
                <w:sz w:val="20"/>
                <w:szCs w:val="20"/>
              </w:rPr>
            </w:pPr>
            <w:r w:rsidRPr="00651EDD">
              <w:rPr>
                <w:rFonts w:cs="Arial"/>
                <w:bCs/>
                <w:kern w:val="28"/>
                <w:sz w:val="20"/>
                <w:szCs w:val="20"/>
              </w:rPr>
              <w:t>Итого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Каркас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10,11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1,90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6,75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1,80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20,56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Пруж.</w:t>
            </w:r>
            <w:r w:rsidR="00651EDD"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Courier New"/>
                <w:kern w:val="28"/>
                <w:sz w:val="20"/>
                <w:szCs w:val="20"/>
              </w:rPr>
              <w:t>блок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15,48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0,60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2,03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18,11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3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Поролон.</w:t>
            </w:r>
            <w:r w:rsidR="00651EDD"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Courier New"/>
                <w:kern w:val="28"/>
                <w:sz w:val="20"/>
                <w:szCs w:val="20"/>
              </w:rPr>
              <w:t>ватный</w:t>
            </w:r>
          </w:p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наполнитель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8,82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0,80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1,13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10,74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4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Механизм</w:t>
            </w:r>
            <w:r w:rsidR="00651EDD"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Courier New"/>
                <w:kern w:val="28"/>
                <w:sz w:val="20"/>
                <w:szCs w:val="20"/>
              </w:rPr>
              <w:t>трансформации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7,31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6,50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0,90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0,20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14,91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5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Материал</w:t>
            </w:r>
            <w:r w:rsidR="00651EDD"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Courier New"/>
                <w:kern w:val="28"/>
                <w:sz w:val="20"/>
                <w:szCs w:val="20"/>
              </w:rPr>
              <w:t>обивки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1,29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0,20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26,55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28,04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6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Накладки</w:t>
            </w:r>
            <w:r w:rsidR="00651EDD"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651EDD">
              <w:rPr>
                <w:rFonts w:cs="Courier New"/>
                <w:kern w:val="28"/>
                <w:sz w:val="20"/>
                <w:szCs w:val="20"/>
              </w:rPr>
              <w:t>деревянные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7,65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0,00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7,65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651EDD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17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Итого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651EDD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651EDD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651EDD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651EDD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651EDD" w:rsidRDefault="001608AF" w:rsidP="00651ED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651EDD">
              <w:rPr>
                <w:rFonts w:cs="Courier New"/>
                <w:kern w:val="28"/>
                <w:sz w:val="20"/>
                <w:szCs w:val="20"/>
              </w:rPr>
              <w:t>100,00</w:t>
            </w:r>
          </w:p>
        </w:tc>
      </w:tr>
    </w:tbl>
    <w:p w:rsidR="00651EDD" w:rsidRPr="00651EDD" w:rsidRDefault="00651EDD" w:rsidP="00651EDD">
      <w:pPr>
        <w:autoSpaceDE w:val="0"/>
        <w:autoSpaceDN w:val="0"/>
        <w:adjustRightInd w:val="0"/>
        <w:spacing w:line="360" w:lineRule="auto"/>
        <w:jc w:val="both"/>
        <w:rPr>
          <w:rFonts w:cs="Tahoma"/>
          <w:kern w:val="28"/>
          <w:sz w:val="20"/>
          <w:szCs w:val="20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5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шаг: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удельной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затратоемкости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этапе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рассчитывается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лишь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процентная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ранее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затратах.</w:t>
      </w:r>
    </w:p>
    <w:p w:rsidR="001608AF" w:rsidRP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>
        <w:rPr>
          <w:rFonts w:cs="Arial"/>
          <w:bCs/>
          <w:caps/>
          <w:kern w:val="28"/>
          <w:sz w:val="28"/>
          <w:szCs w:val="18"/>
        </w:rPr>
        <w:br w:type="page"/>
      </w:r>
      <w:r w:rsidR="001608AF" w:rsidRPr="00651EDD">
        <w:rPr>
          <w:rFonts w:cs="Arial"/>
          <w:bCs/>
          <w:caps/>
          <w:kern w:val="28"/>
          <w:sz w:val="28"/>
          <w:szCs w:val="18"/>
        </w:rPr>
        <w:t>Таблица</w:t>
      </w:r>
      <w:r>
        <w:rPr>
          <w:rFonts w:cs="Arial"/>
          <w:bCs/>
          <w:caps/>
          <w:kern w:val="28"/>
          <w:sz w:val="28"/>
          <w:szCs w:val="18"/>
        </w:rPr>
        <w:t xml:space="preserve"> </w:t>
      </w:r>
      <w:r w:rsidR="001608AF" w:rsidRPr="00651EDD">
        <w:rPr>
          <w:rFonts w:cs="Arial"/>
          <w:bCs/>
          <w:caps/>
          <w:kern w:val="28"/>
          <w:sz w:val="28"/>
          <w:szCs w:val="18"/>
        </w:rPr>
        <w:t>27</w:t>
      </w:r>
    </w:p>
    <w:p w:rsidR="001608AF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  <w:r w:rsidRPr="00651EDD">
        <w:rPr>
          <w:rFonts w:cs="Arial"/>
          <w:bCs/>
          <w:kern w:val="28"/>
          <w:sz w:val="28"/>
          <w:szCs w:val="20"/>
        </w:rPr>
        <w:t>Определение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затратоемкости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компонентов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изделия</w:t>
      </w:r>
    </w:p>
    <w:p w:rsidR="00651EDD" w:rsidRP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9"/>
        <w:gridCol w:w="2841"/>
        <w:gridCol w:w="2841"/>
        <w:gridCol w:w="2833"/>
      </w:tblGrid>
      <w:tr w:rsidR="001608AF" w:rsidRPr="00651EDD" w:rsidTr="00847DF8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F5747C">
              <w:rPr>
                <w:rFonts w:cs="Arial"/>
                <w:kern w:val="28"/>
                <w:sz w:val="20"/>
                <w:szCs w:val="20"/>
              </w:rPr>
              <w:t>№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F5747C">
              <w:rPr>
                <w:rFonts w:cs="Arial"/>
                <w:kern w:val="28"/>
                <w:sz w:val="20"/>
                <w:szCs w:val="20"/>
              </w:rPr>
              <w:t>Компонент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F5747C">
              <w:rPr>
                <w:rFonts w:cs="Arial"/>
                <w:kern w:val="28"/>
                <w:sz w:val="20"/>
                <w:szCs w:val="20"/>
              </w:rPr>
              <w:t>Целевые</w:t>
            </w:r>
            <w:r w:rsidR="00651EDD" w:rsidRPr="00F5747C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Arial"/>
                <w:kern w:val="28"/>
                <w:sz w:val="20"/>
                <w:szCs w:val="20"/>
              </w:rPr>
              <w:t>затраты,</w:t>
            </w:r>
            <w:r w:rsidR="00651EDD" w:rsidRPr="00F5747C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Arial"/>
                <w:kern w:val="28"/>
                <w:sz w:val="20"/>
                <w:szCs w:val="20"/>
              </w:rPr>
              <w:t>руб.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F5747C">
              <w:rPr>
                <w:rFonts w:cs="Arial"/>
                <w:kern w:val="28"/>
                <w:sz w:val="20"/>
                <w:szCs w:val="20"/>
              </w:rPr>
              <w:t>Затрато-емкость,</w:t>
            </w:r>
            <w:r w:rsidR="00651EDD" w:rsidRPr="00F5747C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Arial"/>
                <w:kern w:val="28"/>
                <w:sz w:val="20"/>
                <w:szCs w:val="20"/>
              </w:rPr>
              <w:t>%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Каркас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125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000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10,75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2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Пруж.блок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150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000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12,90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3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Поролон.ватный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наполнитель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130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000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11,18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4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Механизм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трансформации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162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500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13,98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5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Материал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обивки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425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000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36,56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6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Накладки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деревянные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170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000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14,62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651EDD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Итого: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162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500</w:t>
            </w:r>
          </w:p>
        </w:tc>
        <w:tc>
          <w:tcPr>
            <w:tcW w:w="1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100,00</w:t>
            </w:r>
          </w:p>
        </w:tc>
      </w:tr>
    </w:tbl>
    <w:p w:rsidR="00F5747C" w:rsidRDefault="00F5747C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6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шаг: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Вычисление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Основным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инструментом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будет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являться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(ИЦЗ),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рассчитывать,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частное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себестоимости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(затратности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показатель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значимости.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Процентное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значение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полезности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противопоставляется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фактической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приходящейся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производстве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Деление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полезности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необходимый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сопоставления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функциональных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характеристик,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образуемых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рыночным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запросам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потребителей,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учетом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вызываемых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издержек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производства.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Процесс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декомпозиции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исчисления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возможность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взглянуть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точки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зрения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конечных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выпускаемой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Следовательно,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позволяет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указать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пути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превентивного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снижения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себестоимости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счет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корректировки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свойств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уделяют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особого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внимания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выборе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товара.</w:t>
      </w:r>
    </w:p>
    <w:p w:rsidR="001608AF" w:rsidRPr="00651EDD" w:rsidRDefault="00F5747C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>
        <w:rPr>
          <w:rFonts w:cs="Arial"/>
          <w:bCs/>
          <w:caps/>
          <w:kern w:val="28"/>
          <w:sz w:val="28"/>
          <w:szCs w:val="18"/>
        </w:rPr>
        <w:br w:type="page"/>
      </w:r>
      <w:r w:rsidR="001608AF" w:rsidRPr="00651EDD">
        <w:rPr>
          <w:rFonts w:cs="Arial"/>
          <w:bCs/>
          <w:caps/>
          <w:kern w:val="28"/>
          <w:sz w:val="28"/>
          <w:szCs w:val="18"/>
        </w:rPr>
        <w:t>Таблица</w:t>
      </w:r>
      <w:r w:rsidR="00651EDD">
        <w:rPr>
          <w:rFonts w:cs="Arial"/>
          <w:bCs/>
          <w:caps/>
          <w:kern w:val="28"/>
          <w:sz w:val="28"/>
          <w:szCs w:val="18"/>
        </w:rPr>
        <w:t xml:space="preserve"> </w:t>
      </w:r>
      <w:r w:rsidR="001608AF" w:rsidRPr="00651EDD">
        <w:rPr>
          <w:rFonts w:cs="Arial"/>
          <w:bCs/>
          <w:caps/>
          <w:kern w:val="28"/>
          <w:sz w:val="28"/>
          <w:szCs w:val="18"/>
        </w:rPr>
        <w:t>28</w:t>
      </w:r>
    </w:p>
    <w:p w:rsidR="001608AF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  <w:r w:rsidRPr="00651EDD">
        <w:rPr>
          <w:rFonts w:cs="Arial"/>
          <w:bCs/>
          <w:kern w:val="28"/>
          <w:sz w:val="28"/>
          <w:szCs w:val="20"/>
        </w:rPr>
        <w:t>Расчет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индекса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целевых</w:t>
      </w:r>
      <w:r w:rsidR="00651EDD">
        <w:rPr>
          <w:rFonts w:cs="Arial"/>
          <w:bCs/>
          <w:kern w:val="28"/>
          <w:sz w:val="28"/>
          <w:szCs w:val="20"/>
        </w:rPr>
        <w:t xml:space="preserve"> </w:t>
      </w:r>
      <w:r w:rsidRPr="00651EDD">
        <w:rPr>
          <w:rFonts w:cs="Arial"/>
          <w:bCs/>
          <w:kern w:val="28"/>
          <w:sz w:val="28"/>
          <w:szCs w:val="20"/>
        </w:rPr>
        <w:t>затрат</w:t>
      </w:r>
    </w:p>
    <w:p w:rsidR="00F5747C" w:rsidRPr="00651EDD" w:rsidRDefault="00F5747C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kern w:val="28"/>
          <w:sz w:val="28"/>
          <w:szCs w:val="20"/>
        </w:rPr>
      </w:pP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29"/>
        <w:gridCol w:w="2083"/>
        <w:gridCol w:w="2083"/>
        <w:gridCol w:w="2083"/>
        <w:gridCol w:w="2266"/>
      </w:tblGrid>
      <w:tr w:rsidR="001608AF" w:rsidRPr="00651EDD" w:rsidTr="00847DF8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F5747C">
              <w:rPr>
                <w:rFonts w:cs="Arial"/>
                <w:kern w:val="28"/>
                <w:sz w:val="20"/>
                <w:szCs w:val="20"/>
              </w:rPr>
              <w:t>№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F5747C">
              <w:rPr>
                <w:rFonts w:cs="Arial"/>
                <w:kern w:val="28"/>
                <w:sz w:val="20"/>
                <w:szCs w:val="20"/>
              </w:rPr>
              <w:t>Компонент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F5747C">
              <w:rPr>
                <w:rFonts w:cs="Arial"/>
                <w:kern w:val="28"/>
                <w:sz w:val="20"/>
                <w:szCs w:val="20"/>
              </w:rPr>
              <w:t>Полезность,</w:t>
            </w:r>
            <w:r w:rsidR="00651EDD" w:rsidRPr="00F5747C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Arial"/>
                <w:kern w:val="28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F5747C">
              <w:rPr>
                <w:rFonts w:cs="Arial"/>
                <w:kern w:val="28"/>
                <w:sz w:val="20"/>
                <w:szCs w:val="20"/>
              </w:rPr>
              <w:t>Затратоемкость,</w:t>
            </w:r>
            <w:r w:rsidR="00651EDD" w:rsidRPr="00F5747C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Arial"/>
                <w:kern w:val="28"/>
                <w:sz w:val="20"/>
                <w:szCs w:val="20"/>
              </w:rPr>
              <w:t>%</w:t>
            </w:r>
          </w:p>
        </w:tc>
        <w:tc>
          <w:tcPr>
            <w:tcW w:w="12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shd w:val="clear" w:color="auto" w:fill="E6E6FF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kern w:val="28"/>
                <w:sz w:val="20"/>
                <w:szCs w:val="20"/>
              </w:rPr>
            </w:pPr>
            <w:r w:rsidRPr="00F5747C">
              <w:rPr>
                <w:rFonts w:cs="Arial"/>
                <w:kern w:val="28"/>
                <w:sz w:val="20"/>
                <w:szCs w:val="20"/>
              </w:rPr>
              <w:t>ИЦЗ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Каркас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20,56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10,75</w:t>
            </w:r>
          </w:p>
        </w:tc>
        <w:tc>
          <w:tcPr>
            <w:tcW w:w="12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0,523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2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Пруж.блок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18,11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12,90</w:t>
            </w:r>
          </w:p>
        </w:tc>
        <w:tc>
          <w:tcPr>
            <w:tcW w:w="12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0,713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3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Поролон.ватный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наполнитель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10,74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11,18</w:t>
            </w:r>
          </w:p>
        </w:tc>
        <w:tc>
          <w:tcPr>
            <w:tcW w:w="12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1,041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4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Механизм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трансформации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14,91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13,98</w:t>
            </w:r>
          </w:p>
        </w:tc>
        <w:tc>
          <w:tcPr>
            <w:tcW w:w="12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0,938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5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Материал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обивки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28,04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36,56</w:t>
            </w:r>
          </w:p>
        </w:tc>
        <w:tc>
          <w:tcPr>
            <w:tcW w:w="12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1,304</w:t>
            </w:r>
          </w:p>
        </w:tc>
      </w:tr>
      <w:tr w:rsidR="001608AF" w:rsidRPr="00651EDD" w:rsidTr="00272FAA">
        <w:trPr>
          <w:tblCellSpacing w:w="-8" w:type="dxa"/>
          <w:jc w:val="center"/>
        </w:trPr>
        <w:tc>
          <w:tcPr>
            <w:tcW w:w="5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6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Накладки</w:t>
            </w:r>
            <w:r w:rsidR="00651EDD" w:rsidRPr="00F5747C">
              <w:rPr>
                <w:rFonts w:cs="Courier New"/>
                <w:kern w:val="28"/>
                <w:sz w:val="20"/>
                <w:szCs w:val="20"/>
              </w:rPr>
              <w:t xml:space="preserve"> </w:t>
            </w:r>
            <w:r w:rsidRPr="00F5747C">
              <w:rPr>
                <w:rFonts w:cs="Courier New"/>
                <w:kern w:val="28"/>
                <w:sz w:val="20"/>
                <w:szCs w:val="20"/>
              </w:rPr>
              <w:t>деревянные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7,65</w:t>
            </w:r>
          </w:p>
        </w:tc>
        <w:tc>
          <w:tcPr>
            <w:tcW w:w="11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14,62</w:t>
            </w:r>
          </w:p>
        </w:tc>
        <w:tc>
          <w:tcPr>
            <w:tcW w:w="120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1608AF" w:rsidRPr="00F5747C" w:rsidRDefault="001608AF" w:rsidP="00F574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Courier New"/>
                <w:kern w:val="28"/>
                <w:sz w:val="20"/>
                <w:szCs w:val="20"/>
              </w:rPr>
            </w:pPr>
            <w:r w:rsidRPr="00F5747C">
              <w:rPr>
                <w:rFonts w:cs="Courier New"/>
                <w:kern w:val="28"/>
                <w:sz w:val="20"/>
                <w:szCs w:val="20"/>
              </w:rPr>
              <w:t>1,912</w:t>
            </w:r>
          </w:p>
        </w:tc>
      </w:tr>
    </w:tbl>
    <w:p w:rsidR="00F5747C" w:rsidRDefault="00F5747C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7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шаг: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Построение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диаграммы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После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расчета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можно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начинать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анализ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рамках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концепции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Однако,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того,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чтобы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облегчить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процесс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сделать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более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наглядным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использовать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специальный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инструмент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диаграмму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единой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координатной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плоскости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противопоставляет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полезность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(см.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рис.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17).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Обозначим: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уi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себестоимости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всего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%,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хi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полезности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%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общей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оценке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покупателей),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i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компонентов,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i=1,2,#,n,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q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параметр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(границ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терпимости),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тогда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будет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равен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уi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/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хi</w:t>
      </w:r>
    </w:p>
    <w:p w:rsidR="001608AF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идеальном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случае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должен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быть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равен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1,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означало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полное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понесенных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функциональной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полезности,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признанной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рынком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(потребителями).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практике,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очевидно,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трудно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выполнимо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всех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компонентов.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идеальный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случай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слишком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узким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стандартом,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имеет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смысл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устанавливать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(границы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терпимости),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входить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отдельные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компоненты.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задается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двумя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кривыми,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ограничивают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возможность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отклонения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каждого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идеального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случая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(ИЦЗ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=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1).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Ширина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отклонений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диаграмме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зачастую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выбирается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чтобы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становилась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уже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росте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полезности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т.к.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случае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наблюдается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рост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затратности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соответственно,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рост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влияния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себестоимость.</w:t>
      </w:r>
    </w:p>
    <w:p w:rsidR="00F5747C" w:rsidRPr="00651EDD" w:rsidRDefault="00F5747C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651EDD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>
        <w:rPr>
          <w:rFonts w:cs="Tahoma"/>
          <w:kern w:val="28"/>
          <w:sz w:val="28"/>
          <w:szCs w:val="18"/>
        </w:rPr>
        <w:t xml:space="preserve">  </w:t>
      </w:r>
      <w:r w:rsidR="002561FD">
        <w:rPr>
          <w:rFonts w:cs="Tahoma"/>
          <w:kern w:val="28"/>
          <w:sz w:val="28"/>
          <w:szCs w:val="18"/>
        </w:rPr>
        <w:pict>
          <v:shape id="_x0000_i1026" type="#_x0000_t75" style="width:297pt;height:225pt">
            <v:imagedata r:id="rId8" o:title=""/>
          </v:shape>
        </w:pic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28"/>
          <w:sz w:val="28"/>
          <w:szCs w:val="18"/>
        </w:rPr>
      </w:pPr>
      <w:r w:rsidRPr="00651EDD">
        <w:rPr>
          <w:iCs/>
          <w:kern w:val="28"/>
          <w:sz w:val="28"/>
          <w:szCs w:val="18"/>
        </w:rPr>
        <w:t>Рис.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17.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Графический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анализ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компонентовна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основе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диаграммы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целевых</w:t>
      </w:r>
      <w:r w:rsidR="00651EDD">
        <w:rPr>
          <w:iCs/>
          <w:kern w:val="28"/>
          <w:sz w:val="28"/>
          <w:szCs w:val="18"/>
        </w:rPr>
        <w:t xml:space="preserve"> </w:t>
      </w:r>
      <w:r w:rsidRPr="00651EDD">
        <w:rPr>
          <w:iCs/>
          <w:kern w:val="28"/>
          <w:sz w:val="28"/>
          <w:szCs w:val="18"/>
        </w:rPr>
        <w:t>затрат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Как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один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вариантов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решения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задачи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границы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определять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двум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следующим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математическим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функциям: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iCs/>
          <w:kern w:val="28"/>
          <w:sz w:val="28"/>
          <w:szCs w:val="18"/>
        </w:rPr>
      </w:pPr>
      <w:r w:rsidRPr="00651EDD">
        <w:rPr>
          <w:rFonts w:cs="Courier New"/>
          <w:iCs/>
          <w:kern w:val="28"/>
          <w:sz w:val="28"/>
          <w:szCs w:val="18"/>
        </w:rPr>
        <w:t>у1</w:t>
      </w:r>
      <w:r w:rsidR="00651EDD">
        <w:rPr>
          <w:rFonts w:cs="Courier New"/>
          <w:iCs/>
          <w:kern w:val="28"/>
          <w:sz w:val="28"/>
          <w:szCs w:val="18"/>
        </w:rPr>
        <w:t xml:space="preserve"> </w:t>
      </w:r>
      <w:r w:rsidRPr="00651EDD">
        <w:rPr>
          <w:rFonts w:cs="Courier New"/>
          <w:iCs/>
          <w:kern w:val="28"/>
          <w:sz w:val="28"/>
          <w:szCs w:val="18"/>
        </w:rPr>
        <w:t>=</w:t>
      </w:r>
      <w:r w:rsidR="00651EDD">
        <w:rPr>
          <w:rFonts w:cs="Courier New"/>
          <w:iCs/>
          <w:kern w:val="28"/>
          <w:sz w:val="28"/>
          <w:szCs w:val="18"/>
        </w:rPr>
        <w:t xml:space="preserve"> </w:t>
      </w:r>
      <w:r w:rsidRPr="00651EDD">
        <w:rPr>
          <w:rFonts w:cs="Courier New"/>
          <w:iCs/>
          <w:kern w:val="28"/>
          <w:sz w:val="28"/>
          <w:szCs w:val="18"/>
        </w:rPr>
        <w:t>(х2</w:t>
      </w:r>
      <w:r w:rsidR="00651EDD">
        <w:rPr>
          <w:rFonts w:cs="Courier New"/>
          <w:iCs/>
          <w:kern w:val="28"/>
          <w:sz w:val="28"/>
          <w:szCs w:val="18"/>
        </w:rPr>
        <w:t xml:space="preserve"> </w:t>
      </w:r>
      <w:r w:rsidRPr="00651EDD">
        <w:rPr>
          <w:rFonts w:cs="Courier New"/>
          <w:iCs/>
          <w:kern w:val="28"/>
          <w:sz w:val="28"/>
          <w:szCs w:val="18"/>
        </w:rPr>
        <w:t>+</w:t>
      </w:r>
      <w:r w:rsidR="00651EDD">
        <w:rPr>
          <w:rFonts w:cs="Courier New"/>
          <w:iCs/>
          <w:kern w:val="28"/>
          <w:sz w:val="28"/>
          <w:szCs w:val="18"/>
        </w:rPr>
        <w:t xml:space="preserve"> </w:t>
      </w:r>
      <w:r w:rsidRPr="00651EDD">
        <w:rPr>
          <w:rFonts w:cs="Courier New"/>
          <w:iCs/>
          <w:kern w:val="28"/>
          <w:sz w:val="28"/>
          <w:szCs w:val="18"/>
        </w:rPr>
        <w:t>q2)</w:t>
      </w:r>
      <w:r w:rsidR="00651EDD">
        <w:rPr>
          <w:rFonts w:cs="Courier New"/>
          <w:iCs/>
          <w:kern w:val="28"/>
          <w:sz w:val="28"/>
          <w:szCs w:val="18"/>
        </w:rPr>
        <w:t xml:space="preserve"> </w:t>
      </w:r>
      <w:r w:rsidRPr="00651EDD">
        <w:rPr>
          <w:rFonts w:cs="Courier New"/>
          <w:iCs/>
          <w:kern w:val="28"/>
          <w:sz w:val="28"/>
          <w:szCs w:val="18"/>
        </w:rPr>
        <w:t>и</w:t>
      </w:r>
      <w:r w:rsidR="00651EDD">
        <w:rPr>
          <w:rFonts w:cs="Courier New"/>
          <w:iCs/>
          <w:kern w:val="28"/>
          <w:sz w:val="28"/>
          <w:szCs w:val="18"/>
        </w:rPr>
        <w:t xml:space="preserve"> </w:t>
      </w:r>
      <w:r w:rsidRPr="00651EDD">
        <w:rPr>
          <w:rFonts w:cs="Courier New"/>
          <w:iCs/>
          <w:kern w:val="28"/>
          <w:sz w:val="28"/>
          <w:szCs w:val="18"/>
        </w:rPr>
        <w:t>у2</w:t>
      </w:r>
      <w:r w:rsidR="00651EDD">
        <w:rPr>
          <w:rFonts w:cs="Courier New"/>
          <w:iCs/>
          <w:kern w:val="28"/>
          <w:sz w:val="28"/>
          <w:szCs w:val="18"/>
        </w:rPr>
        <w:t xml:space="preserve"> </w:t>
      </w:r>
      <w:r w:rsidRPr="00651EDD">
        <w:rPr>
          <w:rFonts w:cs="Courier New"/>
          <w:iCs/>
          <w:kern w:val="28"/>
          <w:sz w:val="28"/>
          <w:szCs w:val="18"/>
        </w:rPr>
        <w:t>=</w:t>
      </w:r>
      <w:r w:rsidR="00651EDD">
        <w:rPr>
          <w:rFonts w:cs="Courier New"/>
          <w:iCs/>
          <w:kern w:val="28"/>
          <w:sz w:val="28"/>
          <w:szCs w:val="18"/>
        </w:rPr>
        <w:t xml:space="preserve">   </w:t>
      </w:r>
      <w:r w:rsidRPr="00651EDD">
        <w:rPr>
          <w:rFonts w:cs="Courier New"/>
          <w:iCs/>
          <w:kern w:val="28"/>
          <w:sz w:val="28"/>
          <w:szCs w:val="18"/>
        </w:rPr>
        <w:t>(х2</w:t>
      </w:r>
      <w:r w:rsidR="00651EDD">
        <w:rPr>
          <w:rFonts w:cs="Courier New"/>
          <w:iCs/>
          <w:kern w:val="28"/>
          <w:sz w:val="28"/>
          <w:szCs w:val="18"/>
        </w:rPr>
        <w:t xml:space="preserve"> </w:t>
      </w:r>
      <w:r w:rsidRPr="00651EDD">
        <w:rPr>
          <w:rFonts w:cs="Courier New"/>
          <w:iCs/>
          <w:kern w:val="28"/>
          <w:sz w:val="28"/>
          <w:szCs w:val="18"/>
        </w:rPr>
        <w:t>–</w:t>
      </w:r>
      <w:r w:rsidR="00651EDD">
        <w:rPr>
          <w:rFonts w:cs="Courier New"/>
          <w:iCs/>
          <w:kern w:val="28"/>
          <w:sz w:val="28"/>
          <w:szCs w:val="18"/>
        </w:rPr>
        <w:t xml:space="preserve"> </w:t>
      </w:r>
      <w:r w:rsidRPr="00651EDD">
        <w:rPr>
          <w:rFonts w:cs="Courier New"/>
          <w:iCs/>
          <w:kern w:val="28"/>
          <w:sz w:val="28"/>
          <w:szCs w:val="18"/>
        </w:rPr>
        <w:t>q2),</w:t>
      </w:r>
      <w:r w:rsidR="00651EDD">
        <w:rPr>
          <w:rFonts w:cs="Courier New"/>
          <w:iCs/>
          <w:kern w:val="28"/>
          <w:sz w:val="28"/>
          <w:szCs w:val="18"/>
        </w:rPr>
        <w:t xml:space="preserve">  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где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у1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верхняя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граница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затрат;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у2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нижняя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граница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затрат;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полезность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компонента;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приходящаяся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q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-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изменяемый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параметр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(критерий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"терпимости")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определения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задается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руководством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компании.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Зона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показывает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допустимый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предел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отклонений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идеальной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линии.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Параметр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q,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предопределяющий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ширину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будет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зависеть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следующих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условий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29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:</w:t>
      </w:r>
    </w:p>
    <w:p w:rsidR="001608AF" w:rsidRPr="00651EDD" w:rsidRDefault="001608AF" w:rsidP="00F5747C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</w:rPr>
      </w:pPr>
      <w:r w:rsidRPr="00651EDD">
        <w:rPr>
          <w:rFonts w:cs="Tahoma"/>
          <w:kern w:val="28"/>
          <w:sz w:val="28"/>
          <w:szCs w:val="18"/>
        </w:rPr>
        <w:t>Чем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больше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ориентация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всего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продукта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рыночно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допустимые,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более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узкой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быть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следовательно,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величина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параметра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q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быть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меньше.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накоплении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положительного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опыта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достижению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допустимая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диаграмме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может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принудительно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сужаться,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соответственно,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параметр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q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может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быть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уменьшен.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Если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изделия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находится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выше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идеальной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линии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(зоны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затрат),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он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переоценен,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необходимо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сокращать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(потенциал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для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снижения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себестоимости).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Делать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нужно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тех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пор,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соответствующий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индекс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приблизится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единице.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Если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же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оказался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ниже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идеальной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линии,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проверить,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должном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уровне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реализована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функциональная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часть,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т.к.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покажется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потребителю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слишком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простым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(необходимость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совершенствования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компонента).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самом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деле,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каркас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(основа)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современного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дивана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имеющего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возможность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свободной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трансформации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является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достаточно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сложным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узлом,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будет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приходиться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повышенная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нагрузка.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Поэтому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элемент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конструкции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диване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может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быть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простым,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соответственно,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дешевым.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Возможно,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следует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обратить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внимание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дизайнера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конструктора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каркас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его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качественных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характеристик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заявляемому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высокому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уровню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изделия.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же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касается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пятого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шестого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компонентов,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необходимо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предпринять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возможные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шаги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снижению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стоимости,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т.к.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превышает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полезность.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Обивочный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материал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можно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либо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заменить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менее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дорогой,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либо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скомбинировать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таковым,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чтобы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компонент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попал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зону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деревянные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накладки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скорее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придется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оставить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именно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эти,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т.к.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более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дешевые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накладки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будут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соответствовать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"имиджевому"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уровню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дивана,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напротив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снизят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спрос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группы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клиентов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данную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модель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мягкой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мебели.</w:t>
      </w: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651EDD">
        <w:rPr>
          <w:rFonts w:cs="Tahoma"/>
          <w:kern w:val="28"/>
          <w:sz w:val="28"/>
          <w:szCs w:val="18"/>
        </w:rPr>
        <w:t>Таким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образом,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преимущества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состоят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систематизации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мероприятий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снижению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максимальной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ориентации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удовлетворение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запросов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клиентов.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Посредством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деления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целевых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устанавливаются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точные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нормы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которые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повышают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внимание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менеджеров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контролю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предприятия.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Основываясь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вышесказанном,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хочу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отметить,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что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таргет-костинг,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сути,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представляет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собой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наиболее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перспективный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стратегический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инструмент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прямого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превентивного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управления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затратами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в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современной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концепции</w:t>
      </w:r>
      <w:r w:rsidR="00651EDD">
        <w:rPr>
          <w:rFonts w:cs="Tahoma"/>
          <w:kern w:val="28"/>
          <w:sz w:val="28"/>
          <w:szCs w:val="18"/>
        </w:rPr>
        <w:t xml:space="preserve"> </w:t>
      </w:r>
      <w:r w:rsidRPr="00651EDD">
        <w:rPr>
          <w:rFonts w:cs="Tahoma"/>
          <w:kern w:val="28"/>
          <w:sz w:val="28"/>
          <w:szCs w:val="18"/>
        </w:rPr>
        <w:t>контроллинга.</w:t>
      </w:r>
    </w:p>
    <w:p w:rsidR="001608AF" w:rsidRPr="00F5747C" w:rsidRDefault="001608AF" w:rsidP="00F5747C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Tahoma"/>
          <w:b/>
          <w:kern w:val="28"/>
          <w:sz w:val="28"/>
          <w:szCs w:val="18"/>
        </w:rPr>
      </w:pPr>
      <w:r w:rsidRPr="00651EDD">
        <w:rPr>
          <w:sz w:val="28"/>
        </w:rPr>
        <w:br w:type="page"/>
      </w:r>
      <w:r w:rsidRPr="00F5747C">
        <w:rPr>
          <w:rFonts w:cs="Tahoma"/>
          <w:b/>
          <w:kern w:val="28"/>
          <w:sz w:val="28"/>
          <w:szCs w:val="18"/>
        </w:rPr>
        <w:t>Список</w:t>
      </w:r>
      <w:r w:rsidR="00651EDD" w:rsidRPr="00F5747C">
        <w:rPr>
          <w:rFonts w:cs="Tahoma"/>
          <w:b/>
          <w:kern w:val="28"/>
          <w:sz w:val="28"/>
          <w:szCs w:val="18"/>
        </w:rPr>
        <w:t xml:space="preserve"> </w:t>
      </w:r>
      <w:r w:rsidRPr="00F5747C">
        <w:rPr>
          <w:rFonts w:cs="Tahoma"/>
          <w:b/>
          <w:kern w:val="28"/>
          <w:sz w:val="28"/>
          <w:szCs w:val="18"/>
        </w:rPr>
        <w:t>использованных</w:t>
      </w:r>
      <w:r w:rsidR="00651EDD" w:rsidRPr="00F5747C">
        <w:rPr>
          <w:rFonts w:cs="Tahoma"/>
          <w:b/>
          <w:kern w:val="28"/>
          <w:sz w:val="28"/>
          <w:szCs w:val="18"/>
        </w:rPr>
        <w:t xml:space="preserve"> </w:t>
      </w:r>
      <w:r w:rsidRPr="00F5747C">
        <w:rPr>
          <w:rFonts w:cs="Tahoma"/>
          <w:b/>
          <w:kern w:val="28"/>
          <w:sz w:val="28"/>
          <w:szCs w:val="18"/>
        </w:rPr>
        <w:t>источников</w:t>
      </w:r>
    </w:p>
    <w:p w:rsidR="00F5747C" w:rsidRPr="00651EDD" w:rsidRDefault="00F5747C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1608AF" w:rsidRPr="00651EDD" w:rsidRDefault="001608AF" w:rsidP="00651ED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6"/>
        </w:rPr>
      </w:pPr>
      <w:r w:rsidRPr="00651EDD">
        <w:rPr>
          <w:rFonts w:cs="Tahoma"/>
          <w:kern w:val="28"/>
          <w:sz w:val="28"/>
          <w:szCs w:val="16"/>
        </w:rPr>
        <w:t>1.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менеджмент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/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Под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ред.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В.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Красновой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и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А.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Привалова.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Изд.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5-е,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доп.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-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М.:"Журнал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Эксперт",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"Издательство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ЭКСМО",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2002.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-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656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с.</w:t>
      </w:r>
    </w:p>
    <w:p w:rsidR="00651EDD" w:rsidRPr="00651EDD" w:rsidRDefault="001608AF" w:rsidP="00F574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51EDD">
        <w:rPr>
          <w:rFonts w:cs="Tahoma"/>
          <w:kern w:val="28"/>
          <w:sz w:val="28"/>
          <w:szCs w:val="16"/>
        </w:rPr>
        <w:t>2.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Лукашенко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А.Г.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Курс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на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построение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сильной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и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процветающей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Беларуси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остается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незыблемым.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Выступление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Президента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А.Г.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Лукашенко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при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представлении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ежигодного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послания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Парламенту//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Советская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Белоруссия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№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122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от</w:t>
      </w:r>
      <w:r w:rsidR="00651EDD">
        <w:rPr>
          <w:rFonts w:cs="Tahoma"/>
          <w:kern w:val="28"/>
          <w:sz w:val="28"/>
          <w:szCs w:val="16"/>
        </w:rPr>
        <w:t xml:space="preserve"> </w:t>
      </w:r>
      <w:r w:rsidRPr="00651EDD">
        <w:rPr>
          <w:rFonts w:cs="Tahoma"/>
          <w:kern w:val="28"/>
          <w:sz w:val="28"/>
          <w:szCs w:val="16"/>
        </w:rPr>
        <w:t>24.04.2002.</w:t>
      </w:r>
      <w:bookmarkStart w:id="0" w:name="_GoBack"/>
      <w:bookmarkEnd w:id="0"/>
    </w:p>
    <w:sectPr w:rsidR="00651EDD" w:rsidRPr="00651EDD" w:rsidSect="00651EDD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F8" w:rsidRDefault="00847DF8">
      <w:r>
        <w:separator/>
      </w:r>
    </w:p>
  </w:endnote>
  <w:endnote w:type="continuationSeparator" w:id="0">
    <w:p w:rsidR="00847DF8" w:rsidRDefault="0084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F8" w:rsidRDefault="00847DF8">
      <w:r>
        <w:separator/>
      </w:r>
    </w:p>
  </w:footnote>
  <w:footnote w:type="continuationSeparator" w:id="0">
    <w:p w:rsidR="00847DF8" w:rsidRDefault="0084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DD" w:rsidRDefault="00651EDD" w:rsidP="00CC000B">
    <w:pPr>
      <w:pStyle w:val="a3"/>
      <w:framePr w:wrap="around" w:vAnchor="text" w:hAnchor="margin" w:xAlign="right" w:y="1"/>
      <w:rPr>
        <w:rStyle w:val="a5"/>
      </w:rPr>
    </w:pPr>
  </w:p>
  <w:p w:rsidR="00651EDD" w:rsidRDefault="00651EDD" w:rsidP="008B27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DD" w:rsidRDefault="004B5E62" w:rsidP="00CC000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51EDD" w:rsidRDefault="00651EDD" w:rsidP="008B27E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BCCA1"/>
    <w:multiLevelType w:val="multilevel"/>
    <w:tmpl w:val="007B2DB9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7ED"/>
    <w:rsid w:val="001608AF"/>
    <w:rsid w:val="002561FD"/>
    <w:rsid w:val="00272FAA"/>
    <w:rsid w:val="004B5E62"/>
    <w:rsid w:val="00651EDD"/>
    <w:rsid w:val="00685DAF"/>
    <w:rsid w:val="00847DF8"/>
    <w:rsid w:val="008B27ED"/>
    <w:rsid w:val="00CC000B"/>
    <w:rsid w:val="00F5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7796764-D0C2-47FF-99C5-30B4E71D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27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B27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ЦЕЛЕВОЕ УПРАВЛЕНИЕ ЗАТРАТАМИ В СИСТЕМЕ СТРАТЕГИЧЕ-СКОГО КОНТРОЛЛИНГА, КАК ИНСТРУМЕНТ ПОВЫШЕНИЯ КОН-КУРЕНТОСПОСОБНОСТИ ПРОДУКЦИИ</vt:lpstr>
    </vt:vector>
  </TitlesOfParts>
  <Company>Microsoft</Company>
  <LinksUpToDate>false</LinksUpToDate>
  <CharactersWithSpaces>19542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ЦЕЛЕВОЕ УПРАВЛЕНИЕ ЗАТРАТАМИ В СИСТЕМЕ СТРАТЕГИЧЕ-СКОГО КОНТРОЛЛИНГА, КАК ИНСТРУМЕНТ ПОВЫШЕНИЯ КОН-КУРЕНТОСПОСОБНОСТИ ПРОДУКЦИИ</dc:title>
  <dc:subject/>
  <dc:creator>Admin</dc:creator>
  <cp:keywords/>
  <dc:description/>
  <cp:lastModifiedBy>admin</cp:lastModifiedBy>
  <cp:revision>2</cp:revision>
  <dcterms:created xsi:type="dcterms:W3CDTF">2014-02-24T13:50:00Z</dcterms:created>
  <dcterms:modified xsi:type="dcterms:W3CDTF">2014-02-24T13:50:00Z</dcterms:modified>
</cp:coreProperties>
</file>