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305" w:rsidRPr="00A3405E" w:rsidRDefault="00012305" w:rsidP="00012305">
      <w:pPr>
        <w:spacing w:before="120"/>
        <w:jc w:val="center"/>
        <w:rPr>
          <w:rFonts w:ascii="Times New Roman" w:hAnsi="Times New Roman" w:cs="Times New Roman"/>
          <w:b/>
          <w:bCs/>
          <w:sz w:val="32"/>
          <w:szCs w:val="32"/>
        </w:rPr>
      </w:pPr>
      <w:r w:rsidRPr="00A3405E">
        <w:rPr>
          <w:rFonts w:ascii="Times New Roman" w:hAnsi="Times New Roman" w:cs="Times New Roman"/>
          <w:b/>
          <w:bCs/>
          <w:sz w:val="32"/>
          <w:szCs w:val="32"/>
        </w:rPr>
        <w:t>Ценные бумаги и валютные ценности как объекты гражданских прав</w:t>
      </w:r>
    </w:p>
    <w:p w:rsidR="00012305" w:rsidRPr="00A3405E" w:rsidRDefault="00012305" w:rsidP="00012305">
      <w:pPr>
        <w:spacing w:before="120"/>
        <w:jc w:val="center"/>
        <w:rPr>
          <w:rFonts w:ascii="Times New Roman" w:hAnsi="Times New Roman" w:cs="Times New Roman"/>
          <w:b/>
          <w:bCs/>
          <w:sz w:val="28"/>
          <w:szCs w:val="28"/>
        </w:rPr>
      </w:pPr>
      <w:r w:rsidRPr="00A3405E">
        <w:rPr>
          <w:rFonts w:ascii="Times New Roman" w:hAnsi="Times New Roman" w:cs="Times New Roman"/>
          <w:b/>
          <w:bCs/>
          <w:sz w:val="28"/>
          <w:szCs w:val="28"/>
        </w:rPr>
        <w:t xml:space="preserve">1. Понятие и признаки ценной бумаги.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С развитием в нашей стране рыночных отношений обозначилась настоятельная необходимость расширения сферы применения ценных бумаг в хозяйственном обороте. Они относятся к числу объектов гражданских прав, что обусловливает их регламентацию в рамках гражданского законодательства.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Ценные бумаги (за исключением так называемых "бездокументарных ценных бумаг") - движимые, неделимые вещи. Как правило, их рассматривают в качестве индивидуально-определенных вещей, за исключением бумаг на предъявителя, которые в ряде случаев могут быть отнесены к вещам, определяемым родовыми признаками [1, c. 256].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Прежде всего, при рассмотрении понятия и признаков ценной бумаги следует отметить некоторые особенности определений ценной бумаги, данных современным российским законодательством.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Одно из первых современных определений содержалось в Положении о выпуске и обращении ценных бумаг и фондовых биржах в РСФСР, утвержденном постановлением Правительства РСФСР от 28 декабря 1991 г. N 78. Это определение единодушно (и вполне заслуженно) критикуется исследователями вследствие наличия в нем целого ряда логических противоречий, несоответствий с общепризнанными теоретическими положениями.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Помимо упомянутого определения ценной бумаги были даны в Основах гражданского законодательства Союза ССР и союзных республик (ст.31), в ст.142 ГК РФ, в Законе РФ от 9 октября 1992 г. "О валютном регулировании и валютном контроле", а также в Федеральном законе от 22 апреля 1996 г. "О рынке ценных бумаг".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Сравнительный анализ содержащихся в них определений позволяет выявить следующие смысловые различия.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Как правило, прямо предусматривается существование ценной бумаги в форме документа (исключение составляет Закон "О рынке ценных бумаг", в котором говорится о "любой ценной бумаге, в том числе бездокументарной").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Закон "О валютном регулировании и валютном контроле" в качестве основного критерия отнесения документов к числу ценных бумаг называет его принадлежность к числу "долговых обязательств", что в конечном счете может привести к признанию ценной бумагой любой долговой расписки. В ГК РФ в качестве такого критерия принято соответствие документа признакам, перечисленным в ст.142, а также его отнесение к числу ценных бумаг законом или в установленном законом порядке (ст.143 ГК РФ).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У законодателя, очевидно, отсутствует ясное понимание характера прав, которые могут быть удостоверены ценными бумагами. Так, в определении ГК прямо предусматривается возможность удостоверения лишь имущественных прав, в то время как в Законе "О рынке ценных бумаг" признается возможность удостоверения ценными бумагами совокупности имущественных и неимущественных прав [1, c. 258].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Выявить причины указанных различий и обозначить возможные пути их устранения позволит анализ признаков ценной бумаги.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Разные авторы приводят различное количество признаков. Так, в трудах юристов начала нашего века в качестве единственного определяющего признака приводится начало презентации, а современные отечественные исследователи насчитывают от двух до шести признаков.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На наш взгляд, исчерпывающей, наиболее лаконичной и в то же время достаточно детализированной является следующая совокупность признаков ценной бумаги. Такая бумага удостоверяет субъективные гражданские права; соответствует началу презентации; обладает свойством публичной достоверности; соответствует легальным основаниям отнесения к числу ценных бумаг (причислена законом и т.п.). Проанализируем каждый из названных признаков.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Права, удостоверяемые ценными бумагами. Общепризнанно, что бумага становится ценной не сама по себе, а потому, что удостоверяет право на что-то, имеющее ценность. В то же время проблема юридической природы удостоверяемых прав не находит однозначного решения ни в современной цивилистической науке, ни в законодательстве.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В соответствии с современной доктриной удостоверяемые ценными бумагами права могут быть обязательственными, вещными или корпоративными (права участия в акционерном обществе). Последние, по мнению большинства исследователей, являются комплексными, включая в себя как имущественные, так и личные неимущественные правомочия (в том числе определяющее для акции правомочие на участие в управлении делами АО).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Начало презентации. Как уже отмечалось, бумага становится ценной не сама по себе, а потому, что выражает право на что-то, имеющее ценность. В то же время ценной бумагой может быть признан не каждый документ, свидетельствующий о праве на ценность, а только тот документ, который право на ценность ставит в тесную связь с бумагой. Таким образом, предъявление бумаги (ее "презентация") оказывается необходимым для осуществления выраженного в ней права.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Необходимость такого предъявления бумаги имеет двоякое значение. Во-первых, предъявление бумаги необходимо кредитору для его легитимации в качестве субъекта выраженного в ней права. Во-вторых, лицо, обязанное по бумаге, может выполнить свою обязанность только в отношении предъявителя бумаги.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Описанное свойство является важнейшим в теории ценных бумаг и носит название "начало презентации".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Из-за необходимости соответствия ценной бумаги началу презентации в ней не может быть выражено правоотношение, в силу которого обе стороны взаимно приобретали бы права и обязанности, так как сторона, не владеющая бумагой, не сможет в этом случае осуществить принадлежащих ей прав.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Из начала презентации следует, что право собственности или иное вещное право на документ должно быть таким образом связано с правом, инкорпорируемым в нем, что без него оно не может быть ни осуществлено, ни передано (право "из бумаги" следует за правом "на бумагу"). Верно и обратное утверждение (т.е. право "на бумагу" следует за правом "из бумаги"). Невозможно осуществить передачу права на бумагу без права из бумаги и наоборот.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Свойство публичной достоверности. Считается, что свойством публичной достоверности обладают ценные бумаги, содержание которых, безусловно, определяет права их добросовестного приобретателя. Тот, кто приобретает такую бумагу, добросовестно доверяя ее содержанию, приобретает выраженное в ней право таким, каким оно является согласно этому содержанию.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Указанное свойство выражено в п.2 ст.147 ГК РФ, в соответствии с которым отказ от исполнения обязательства, удостоверенного ценной бумагой, со ссылкой на отсутствие основания обязательства или на его недействительность, не допускается.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Уже давно отмечалось, что свойство публичной достоверности не следует рассматривать в качестве следствия абстрактного характера ценной бумаги. В самом деле, большинство ценных бумаг имеют каузальный характер, т.е. в их содержании имеется указание на соответствующую хозяйственную сделку (сделку, преследующую целью получение хозяйственного результата - обмен благ, дарение и т.д.).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Таким образом, ограничение возражений обязанного лица зависит не от абстрактности ценной бумаги, а от особого способа легитимации ее держателя в качестве субъекта соответствующего права.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Публичная достоверность ценной бумаги означает, во-первых, что отказ от исполнения обязательства, воплощенного в ней, лицу, легитимируемому бумагой, возможен лишь в случае приведения должником возражений: а) касающихся действительности бумаги (недееспособность должника во время составления бумаги, несоответствие бумаги установленным реквизитам и т.п.); б) вытекающих из содержания бумаги (из определения времени и условий исполнения, указанных в документе, и т.д.); в) полагающихся должнику непосредственно против кредитора. К числу последних относятся: возражения, которые вообще ставят под вопрос правоприобретение данного держателя (в частности, путем ссылки на то, что он приобрел бумагу у недееспособного лица); возражения, посредством которых должник прекращает соответствующее право требования или уменьшает размер своего долга (требование о зачете встречного однородного требования). Исключены возражения, основанные на отношениях обязанного лица с предшественниками добросовестного приобретателя.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Публичная достоверность ценной бумаги означает, во-первых, что должник освобождает себя от обязательства по бумаге, исполнив таковое легитимированному лицу, хотя бы при этом должник и не проверял никаких иных обстоятельств. Данное свойство, очевидно, находится на стыке публичной достоверности и начала презентации и основано на том, что, в отличие от обыкновенных именных ценных бумаг, ценные бумаги в собственном смысле слова (предъявительские, ордерные, именные) способны легитимировать своего держателя, даже если он не является действительным субъектом права "из бумаги".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Легальные основания отнесения документа к числу ценных бумаг. Еще в начале нашего века было замечено, что на практике определение того, принадлежит ли документ к числу ценных бумаг, может в ряде случаев оказаться затруднительным. Очевидное решение данного вопроса может состоять в выяснении действительной воли сторон - желали ли они сделать бумагу необходимой для осуществления выраженного в ней права или нет. Однако в реальной жизни вряд ли целесообразно каждый раз заниматься выяснением действительной воли сторон, в связи с чем были выработаны легальные основания, при соответствии которым ценная бумага признается таковой законодательством различных государств.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Первое основание - принадлежность документа к такому типу, который обычно рассматривается в обороте как ценная бумага. Данный критерий в основном характерен для стран "общего права", где определения документов, по свойствам соответствующих ценным бумагам континентального права, обычно включают в себя, в том числе условие общепризнанности на фондовых биржах или рынках или в той сфере, в которой они выпущены или находятся в обращении.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Второе основание более характерно для стран континентальной правовой ориентации и предполагает наличие у документа реквизитов, которые в соответствии с законодательством определяли бы его принадлежность к тому или иному типу ценных бумаг.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В отечественной юридической науке просматриваются два подхода к условиям законодательного признания документа ценной бумагой [8, c. 39].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Первый подход заключается в том, что для признания документа ценной бумагой он не должен быть запрещен государством к обращению в качестве таковой.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Думается, вряд ли целесообразно следовать такому подходу, так как он ведет к расширению и без того трудно обозримого круга документов, признаваемых ценными бумагами, сводя при этом на нет законодательное регулирование в данной области.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Второй подход, напротив, предполагает необходимость четкого определения в нормативном порядке, какие документы являются ценными бумагами (что, очевидно, подразумевает наличие их исчерпывающего перечня в соответствующем нормативном акте).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Недостаток подобного решения проблемы, на наш взгляд, заключается в чрезмерной узости законодательных рамок, что приводит к необходимости внесения изменений в упомянутый нормативный акт при появлении любого нового (хотя бы по своим свойствам весьма близкого к одному из существующих) вида ценных бумаг.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ГК РФ закрепляет подход, не совпадающий вполне ни с одним из приведенных выше и являющийся, по-видимому, на сегодня оптимальным. В соответствии со ст.143 ГК РФ документ признается ценной бумагой, когда он отнесен к числу таковых "законами о ценных бумагах или в установленном ими порядке". Очевидны, с одной стороны, жесткость нового порядка по сравнению с применявшимися ранее, а с другой - невозможность на сегодня создания сколь-нибудь исчерпывающего перечня ценных бумаг [8, c. 43]. </w:t>
      </w:r>
    </w:p>
    <w:p w:rsidR="00012305"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В заключение отметим, что в принципе всякий документ, в соответствии с законодательством признаваемый ценной бумагой, должен обладать всеми рассмотренными выше признаками. Однако не всякий документ, обладающий указанными признаками, признается ценной бумагой в соответствии с законодательством. В результате существуют документы, фактически обладающие всеми признаками ценной бумаги (а значит, являющиеся таковыми с точки зрения науки), но не признанные в качестве ценной бумаги в соответствии с законодательством. </w:t>
      </w:r>
      <w:r>
        <w:rPr>
          <w:rFonts w:ascii="Times New Roman" w:hAnsi="Times New Roman" w:cs="Times New Roman"/>
        </w:rPr>
        <w:t xml:space="preserve"> </w:t>
      </w:r>
    </w:p>
    <w:p w:rsidR="00012305" w:rsidRPr="00A3405E" w:rsidRDefault="00012305" w:rsidP="00012305">
      <w:pPr>
        <w:spacing w:before="120"/>
        <w:jc w:val="center"/>
        <w:rPr>
          <w:rFonts w:ascii="Times New Roman" w:hAnsi="Times New Roman" w:cs="Times New Roman"/>
          <w:b/>
          <w:bCs/>
          <w:sz w:val="28"/>
          <w:szCs w:val="28"/>
        </w:rPr>
      </w:pPr>
      <w:r w:rsidRPr="00A3405E">
        <w:rPr>
          <w:rFonts w:ascii="Times New Roman" w:hAnsi="Times New Roman" w:cs="Times New Roman"/>
          <w:b/>
          <w:bCs/>
          <w:sz w:val="28"/>
          <w:szCs w:val="28"/>
        </w:rPr>
        <w:t xml:space="preserve">2. Классификация ценных бумаг.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Удостоверяемые ценными бумагами права могут иметь обязательственный или вещный характер. Соответственно можно предложить следующую классификацию ценных бумаг по характеру удостоверяемых ими прав: а) вещно-правовые документы, удостоверяющие наряду с прочими вещные права на имущество (товарораспорядительные документы и т.п.); б) обязательственно-правовые ценные бумаги, удостоверяющие, в числе прочих, право требования имущества от обязанного лица, но не удостоверяющие вещных прав на это имущество. Последние, в свою очередь, можно подразделить на удостоверяющие в качестве основного: право требования денежной суммы (вексель, чек, облигация и т.д.); право требования ценных бумаг (опционы); право требования имущества, не являющегося индивидуально-определенным (облигация целевого займа); личные неимущественные права участия в управлении делами АО (акция) [1, c. 264].</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Если в основу положить характер субъекта, осуществляющего их выпуск, то можно выделить ценные бумаги: а) государственные и б) выпускаемые частными лицами. С точки зрения содержания различаются денежные </w:t>
      </w:r>
      <w:bookmarkStart w:id="0" w:name="OCRUncertain054"/>
      <w:r w:rsidRPr="00FC2A1F">
        <w:rPr>
          <w:rFonts w:ascii="Times New Roman" w:hAnsi="Times New Roman" w:cs="Times New Roman"/>
        </w:rPr>
        <w:t>(т.е.</w:t>
      </w:r>
      <w:bookmarkEnd w:id="0"/>
      <w:r w:rsidRPr="00FC2A1F">
        <w:rPr>
          <w:rFonts w:ascii="Times New Roman" w:hAnsi="Times New Roman" w:cs="Times New Roman"/>
        </w:rPr>
        <w:t xml:space="preserve"> </w:t>
      </w:r>
      <w:bookmarkStart w:id="1" w:name="OCRUncertain055"/>
      <w:r w:rsidRPr="00FC2A1F">
        <w:rPr>
          <w:rFonts w:ascii="Times New Roman" w:hAnsi="Times New Roman" w:cs="Times New Roman"/>
        </w:rPr>
        <w:t>содержащие</w:t>
      </w:r>
      <w:bookmarkEnd w:id="1"/>
      <w:r w:rsidRPr="00FC2A1F">
        <w:rPr>
          <w:rFonts w:ascii="Times New Roman" w:hAnsi="Times New Roman" w:cs="Times New Roman"/>
        </w:rPr>
        <w:t xml:space="preserve"> денежные требования, например чеки, векселя, облигации и т.п.) и товарные ценные бумаги (т.е. закрепляющие права, чаще всего собственности или же залога, например коносаменты, в ряде случаев с юридической точки зрения имеет деление ценных бумаг в зависимости от способа легитимации (узаконения) </w:t>
      </w:r>
      <w:bookmarkStart w:id="2" w:name="OCRUncertain056"/>
      <w:r w:rsidRPr="00FC2A1F">
        <w:rPr>
          <w:rFonts w:ascii="Times New Roman" w:hAnsi="Times New Roman" w:cs="Times New Roman"/>
        </w:rPr>
        <w:t>управомоченного</w:t>
      </w:r>
      <w:bookmarkEnd w:id="2"/>
      <w:r w:rsidRPr="00FC2A1F">
        <w:rPr>
          <w:rFonts w:ascii="Times New Roman" w:hAnsi="Times New Roman" w:cs="Times New Roman"/>
        </w:rPr>
        <w:t xml:space="preserve"> на бумагу лица (владельца). В </w:t>
      </w:r>
      <w:bookmarkStart w:id="3" w:name="OCRUncertain057"/>
      <w:r w:rsidRPr="00FC2A1F">
        <w:rPr>
          <w:rFonts w:ascii="Times New Roman" w:hAnsi="Times New Roman" w:cs="Times New Roman"/>
        </w:rPr>
        <w:t>соответст</w:t>
      </w:r>
      <w:bookmarkEnd w:id="3"/>
      <w:r w:rsidRPr="00FC2A1F">
        <w:rPr>
          <w:rFonts w:ascii="Times New Roman" w:hAnsi="Times New Roman" w:cs="Times New Roman"/>
        </w:rPr>
        <w:t>в</w:t>
      </w:r>
      <w:bookmarkStart w:id="4" w:name="OCRUncertain058"/>
      <w:r w:rsidRPr="00FC2A1F">
        <w:rPr>
          <w:rFonts w:ascii="Times New Roman" w:hAnsi="Times New Roman" w:cs="Times New Roman"/>
        </w:rPr>
        <w:t>ии</w:t>
      </w:r>
      <w:bookmarkEnd w:id="4"/>
      <w:r w:rsidRPr="00FC2A1F">
        <w:rPr>
          <w:rFonts w:ascii="Times New Roman" w:hAnsi="Times New Roman" w:cs="Times New Roman"/>
        </w:rPr>
        <w:t xml:space="preserve"> с данным критерием выделяются ценные бумаги: а) именные, б) ордерные и в) на предъявителя.</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Под именной понимается такая ценная бумага, которая легитимирует (т.е. </w:t>
      </w:r>
      <w:bookmarkStart w:id="5" w:name="OCRUncertain059"/>
      <w:r w:rsidRPr="00FC2A1F">
        <w:rPr>
          <w:rFonts w:ascii="Times New Roman" w:hAnsi="Times New Roman" w:cs="Times New Roman"/>
        </w:rPr>
        <w:t>управомочивает)</w:t>
      </w:r>
      <w:bookmarkEnd w:id="5"/>
      <w:r w:rsidRPr="00FC2A1F">
        <w:rPr>
          <w:rFonts w:ascii="Times New Roman" w:hAnsi="Times New Roman" w:cs="Times New Roman"/>
        </w:rPr>
        <w:t xml:space="preserve"> своего держателя в качестве субъекта выраженных в ней прав, если он</w:t>
      </w:r>
      <w:r>
        <w:rPr>
          <w:rFonts w:ascii="Times New Roman" w:hAnsi="Times New Roman" w:cs="Times New Roman"/>
        </w:rPr>
        <w:t xml:space="preserve"> </w:t>
      </w:r>
      <w:r w:rsidRPr="00FC2A1F">
        <w:rPr>
          <w:rFonts w:ascii="Times New Roman" w:hAnsi="Times New Roman" w:cs="Times New Roman"/>
        </w:rPr>
        <w:t>назван в качестве такового в тексте самого денежного документа [8, c. 44]. Д</w:t>
      </w:r>
      <w:bookmarkStart w:id="6" w:name="OCRUncertain060"/>
      <w:r w:rsidRPr="00FC2A1F">
        <w:rPr>
          <w:rFonts w:ascii="Times New Roman" w:hAnsi="Times New Roman" w:cs="Times New Roman"/>
        </w:rPr>
        <w:t>л</w:t>
      </w:r>
      <w:bookmarkEnd w:id="6"/>
      <w:r w:rsidRPr="00FC2A1F">
        <w:rPr>
          <w:rFonts w:ascii="Times New Roman" w:hAnsi="Times New Roman" w:cs="Times New Roman"/>
        </w:rPr>
        <w:t>я некоторых видов ценных бумаг необходимо еще и занесение имени держателя в специальную книгу. Такое требование действует, в отношении именных акций.</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Ордерной называется ценная бумага, держатель которой легитимирован в качестве субъекта выраженного в ней права, если на нем останавливается непрерывный ряд передаточных надписей. То есть по ордерной ценной бумаге обязан исполнить обязательство указанному в документе лицу или приказу последнего - новому субъекту права. Тот в свою очередь может посредством аналогичного приказа, выраженного в индоссаменте, передать документ новому лицу. Таким образом, легитимация держателя ордерной ценной бумаги осуществляется как путем предъявления, так и непрерывным рядом передаточных надписей. Ордерными ценными бумагами могут быть чеки, векселя, коносаменты.</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Ценной бумагой на предъявителя признается ценная бумага, для легитимации держателя которой достаточно одного лишь ее предъявления. Такими ценными бумагами являются акции, облигации, коносаменты и др.</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Акция - это ценная бумаг, свидетельствующая о внесении известного пая в капитал акционерного общества и дающая право на получение части прибыли в виде дивиденда. Денежная сумма, обозначенная на акции, называется номинальной стоимостью акции. Цена, по которой акция продается</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на рынке, именуется курсом акций. Курс акций находится в прямой зависимости от получаемого по ним дивиденда и обратной зависимости от нормы процента. Акция должна содержать следующие реквизиты: фирменное наименование акционерного общества и его место нахождения; наименование ценной бумаги - "акция", ее порядковый номер, дату выпуска, вид акции (простая или привилегированная) и ее номинальную стоимость, имя держателя (для именной акции); размер уставного фонда акционерного общества на день выпуска акций, а также количество выпускаемых акций; срок выплаты дивидендов; подпись председателя правления акционерного общества.</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Выпускаются следующие категории акций:</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а) акции трудового коллектива. Они распространяются только среди работников своего предприятия; б) акции предприятий. Они распространяются среди других предприятий и организаций; в) акции акционерных обществ, распространяемые путем открытой подписки на них либо в порядке распределения всех акций между учредителями. Акции могут выпускаться как именные, так и на предъявителя. Акционерное общество может выпускать простые (обыкновенные) акции и привилегированные. Прив</w:t>
      </w:r>
      <w:bookmarkStart w:id="7" w:name="OCRUncertain061"/>
      <w:r w:rsidRPr="00FC2A1F">
        <w:rPr>
          <w:rFonts w:ascii="Times New Roman" w:hAnsi="Times New Roman" w:cs="Times New Roman"/>
        </w:rPr>
        <w:t>и</w:t>
      </w:r>
      <w:bookmarkEnd w:id="7"/>
      <w:r w:rsidRPr="00FC2A1F">
        <w:rPr>
          <w:rFonts w:ascii="Times New Roman" w:hAnsi="Times New Roman" w:cs="Times New Roman"/>
        </w:rPr>
        <w:t xml:space="preserve">легированная акция дает право на </w:t>
      </w:r>
      <w:bookmarkStart w:id="8" w:name="OCRUncertain062"/>
      <w:r w:rsidRPr="00FC2A1F">
        <w:rPr>
          <w:rFonts w:ascii="Times New Roman" w:hAnsi="Times New Roman" w:cs="Times New Roman"/>
        </w:rPr>
        <w:t>:</w:t>
      </w:r>
      <w:bookmarkEnd w:id="8"/>
      <w:r w:rsidRPr="00FC2A1F">
        <w:rPr>
          <w:rFonts w:ascii="Times New Roman" w:hAnsi="Times New Roman" w:cs="Times New Roman"/>
        </w:rPr>
        <w:t xml:space="preserve">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 получение фиксированного дивиденда, т.е. на первоочередное право по сравнению с другими акционерами </w:t>
      </w:r>
      <w:bookmarkStart w:id="9" w:name="OCRUncertain063"/>
      <w:r w:rsidRPr="00FC2A1F">
        <w:rPr>
          <w:rFonts w:ascii="Times New Roman" w:hAnsi="Times New Roman" w:cs="Times New Roman"/>
        </w:rPr>
        <w:t>:</w:t>
      </w:r>
      <w:bookmarkEnd w:id="9"/>
      <w:r w:rsidRPr="00FC2A1F">
        <w:rPr>
          <w:rFonts w:ascii="Times New Roman" w:hAnsi="Times New Roman" w:cs="Times New Roman"/>
        </w:rPr>
        <w:t xml:space="preserve">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привилегию в первую очередь претендовать на имущество предприятия в случае его ликвидации.</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Обычно привилегированные акции не дают права голоса при решении дел компании. Они не могут быть выпущены на сумму, превы</w:t>
      </w:r>
      <w:bookmarkStart w:id="10" w:name="OCRUncertain064"/>
      <w:r w:rsidRPr="00FC2A1F">
        <w:rPr>
          <w:rFonts w:ascii="Times New Roman" w:hAnsi="Times New Roman" w:cs="Times New Roman"/>
        </w:rPr>
        <w:t>ш</w:t>
      </w:r>
      <w:bookmarkEnd w:id="10"/>
      <w:r w:rsidRPr="00FC2A1F">
        <w:rPr>
          <w:rFonts w:ascii="Times New Roman" w:hAnsi="Times New Roman" w:cs="Times New Roman"/>
        </w:rPr>
        <w:t>ающую 10% уставного фонда акционерного общества.</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Эти акции могут быть кумулятивными и с некумулятивным дивидендом. Владельцам кумулятивных привилегированных акций</w:t>
      </w:r>
      <w:r>
        <w:rPr>
          <w:rFonts w:ascii="Times New Roman" w:hAnsi="Times New Roman" w:cs="Times New Roman"/>
        </w:rPr>
        <w:t xml:space="preserve"> </w:t>
      </w:r>
      <w:r w:rsidRPr="00FC2A1F">
        <w:rPr>
          <w:rFonts w:ascii="Times New Roman" w:hAnsi="Times New Roman" w:cs="Times New Roman"/>
        </w:rPr>
        <w:t>выплачиваются дивиденды, включая тот период, когда предприятие несло убытки. Предположим, что предприятие должно выплачивать владельцам этих акций 100.000 рублей. В один год предприятие несет убытки и дивидендов не выплачивает. На следующий год предприятие решило направить на выплату дивидендов 250.000 рублей. Если есть привилегированные акции с кумулятивными дивидендами, то их владельцы получают 200.000 рублей, а 50.000 рублей будет распределено между владельцами обыкновенных акций.</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Обыкновенная акция не имеет фиксированной нормы прибыли сумма выплачиваемых дивидендов зависит в основном от объема доходов и от решения собрания акционеров о том, какую часть доходов направить на дивиденды.</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Акции,</w:t>
      </w:r>
      <w:r>
        <w:rPr>
          <w:rFonts w:ascii="Times New Roman" w:hAnsi="Times New Roman" w:cs="Times New Roman"/>
        </w:rPr>
        <w:t xml:space="preserve"> </w:t>
      </w:r>
      <w:r w:rsidRPr="00FC2A1F">
        <w:rPr>
          <w:rFonts w:ascii="Times New Roman" w:hAnsi="Times New Roman" w:cs="Times New Roman"/>
        </w:rPr>
        <w:t>распределяемые</w:t>
      </w:r>
      <w:r>
        <w:rPr>
          <w:rFonts w:ascii="Times New Roman" w:hAnsi="Times New Roman" w:cs="Times New Roman"/>
        </w:rPr>
        <w:t xml:space="preserve"> </w:t>
      </w:r>
      <w:r w:rsidRPr="00FC2A1F">
        <w:rPr>
          <w:rFonts w:ascii="Times New Roman" w:hAnsi="Times New Roman" w:cs="Times New Roman"/>
        </w:rPr>
        <w:t>среди</w:t>
      </w:r>
      <w:r>
        <w:rPr>
          <w:rFonts w:ascii="Times New Roman" w:hAnsi="Times New Roman" w:cs="Times New Roman"/>
        </w:rPr>
        <w:t xml:space="preserve"> </w:t>
      </w:r>
      <w:r w:rsidRPr="00FC2A1F">
        <w:rPr>
          <w:rFonts w:ascii="Times New Roman" w:hAnsi="Times New Roman" w:cs="Times New Roman"/>
        </w:rPr>
        <w:t>учредителей,</w:t>
      </w:r>
      <w:r>
        <w:rPr>
          <w:rFonts w:ascii="Times New Roman" w:hAnsi="Times New Roman" w:cs="Times New Roman"/>
        </w:rPr>
        <w:t xml:space="preserve"> </w:t>
      </w:r>
      <w:r w:rsidRPr="00FC2A1F">
        <w:rPr>
          <w:rFonts w:ascii="Times New Roman" w:hAnsi="Times New Roman" w:cs="Times New Roman"/>
        </w:rPr>
        <w:t>называются учредительскими. Они дают некоторые преимущественные права, например, дополнительное количество голосов на общих собраниях акционеров, их владельцы играют главную роль в управлении предприятием. На долю владельцев приходится наибольшая часть прибыли.</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Облигация - ценная бумага, удостоверяющая внесение ее владельцам денежных средств и подтверждающая обязательство возместить ему</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номинальную стоимость этой ценной бумаги в предусмотренный в ней срок, с уплатой фиксированного процента (если иное не предусмотрено условиями выпуска). Облигации всех видов могут распространяться среди предприятий и организаций только на добровольной основе.</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Срок выплаты облигации - это время, в течении которого должна быть погашена полная стоимость облигации, он указывается на облигации. Облигации могут выпускаться под заклад и без заклада. Закладные облигации обеспечиваются физическими активами или ценными бумагами предприятия. Предприятие сохраняет контроль над имуществом, но в случае неуплаты долга заложенное имущество переходит к кредитору. Закладная хранится у доверенного лица (обычно в траст-компании), который и выступает от имени всех кредиторов или инвесторов в качестве гаранта их интересов. Закладные облигации могут быть замкнутого или открытого характера. Замкнутые облигации - это ценные бумаги, продажа которых ограничена определенным количеством. Открытые облигации не ограничивают числа выпущенных ценных бумаг.</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Самостоятельным типом ценных бумаг является опцион. Опцион - это право приобрести или продать ценные бумаги по определенной цене в определенный момент в течении определенного срока. Опцион на покупку называется </w:t>
      </w:r>
      <w:bookmarkStart w:id="11" w:name="OCRUncertain065"/>
      <w:r w:rsidRPr="00FC2A1F">
        <w:rPr>
          <w:rFonts w:ascii="Times New Roman" w:hAnsi="Times New Roman" w:cs="Times New Roman"/>
        </w:rPr>
        <w:t>СА-опцион,</w:t>
      </w:r>
      <w:bookmarkEnd w:id="11"/>
      <w:r w:rsidRPr="00FC2A1F">
        <w:rPr>
          <w:rFonts w:ascii="Times New Roman" w:hAnsi="Times New Roman" w:cs="Times New Roman"/>
        </w:rPr>
        <w:t xml:space="preserve"> а на продажу - </w:t>
      </w:r>
      <w:bookmarkStart w:id="12" w:name="OCRUncertain066"/>
      <w:r w:rsidRPr="00FC2A1F">
        <w:rPr>
          <w:rFonts w:ascii="Times New Roman" w:hAnsi="Times New Roman" w:cs="Times New Roman"/>
        </w:rPr>
        <w:t>ритопцион.</w:t>
      </w:r>
      <w:bookmarkEnd w:id="12"/>
      <w:r w:rsidRPr="00FC2A1F">
        <w:rPr>
          <w:rFonts w:ascii="Times New Roman" w:hAnsi="Times New Roman" w:cs="Times New Roman"/>
        </w:rPr>
        <w:t xml:space="preserve"> Цена, по которой осуществляется покупка или продажа, называется ценой выполнения. Опцион, который должен быть выполнен в определенную дату, называется европейским опционом; а опцион, который может быть выполнен в любое время определенного срока, называется американским. Цена выполнения может быть выбрана как выше, так и ниже текущей цены акции.</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Варрант или право. Варранты дают право их владельцу приобретать акции или облигации предприятия по льготным ценам. Цена права незначительно колеблется вокруг разницы между подписной и рыночной ценой. Возникает рынок прав. Варрант похож на опцион, но он выпускается на более продолжительный срок, обычно на несколько лет.</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В торговле ценными бумагами термин "сертификат" имеет два значения: 1. документ, являющийся свидетельством права на владение акций и облигаций; 2. наименование облигаций специальных государственных займов.</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Акционерный</w:t>
      </w:r>
      <w:r>
        <w:rPr>
          <w:rFonts w:ascii="Times New Roman" w:hAnsi="Times New Roman" w:cs="Times New Roman"/>
        </w:rPr>
        <w:t xml:space="preserve"> </w:t>
      </w:r>
      <w:r w:rsidRPr="00FC2A1F">
        <w:rPr>
          <w:rFonts w:ascii="Times New Roman" w:hAnsi="Times New Roman" w:cs="Times New Roman"/>
        </w:rPr>
        <w:t>сертификат</w:t>
      </w:r>
      <w:r>
        <w:rPr>
          <w:rFonts w:ascii="Times New Roman" w:hAnsi="Times New Roman" w:cs="Times New Roman"/>
        </w:rPr>
        <w:t xml:space="preserve"> </w:t>
      </w:r>
      <w:r w:rsidRPr="00FC2A1F">
        <w:rPr>
          <w:rFonts w:ascii="Times New Roman" w:hAnsi="Times New Roman" w:cs="Times New Roman"/>
        </w:rPr>
        <w:t>-</w:t>
      </w:r>
      <w:r>
        <w:rPr>
          <w:rFonts w:ascii="Times New Roman" w:hAnsi="Times New Roman" w:cs="Times New Roman"/>
        </w:rPr>
        <w:t xml:space="preserve"> </w:t>
      </w:r>
      <w:r w:rsidRPr="00FC2A1F">
        <w:rPr>
          <w:rFonts w:ascii="Times New Roman" w:hAnsi="Times New Roman" w:cs="Times New Roman"/>
        </w:rPr>
        <w:t>это</w:t>
      </w:r>
      <w:r>
        <w:rPr>
          <w:rFonts w:ascii="Times New Roman" w:hAnsi="Times New Roman" w:cs="Times New Roman"/>
        </w:rPr>
        <w:t xml:space="preserve"> </w:t>
      </w:r>
      <w:r w:rsidRPr="00FC2A1F">
        <w:rPr>
          <w:rFonts w:ascii="Times New Roman" w:hAnsi="Times New Roman" w:cs="Times New Roman"/>
        </w:rPr>
        <w:t>документ</w:t>
      </w:r>
      <w:r>
        <w:rPr>
          <w:rFonts w:ascii="Times New Roman" w:hAnsi="Times New Roman" w:cs="Times New Roman"/>
        </w:rPr>
        <w:t xml:space="preserve"> </w:t>
      </w:r>
      <w:r w:rsidRPr="00FC2A1F">
        <w:rPr>
          <w:rFonts w:ascii="Times New Roman" w:hAnsi="Times New Roman" w:cs="Times New Roman"/>
        </w:rPr>
        <w:t>удостоверяющий юридическое право собственности на рядовые акции.</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Сертификат депозитный - это инструмент денежного рынка, выпускаемый банками.</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Вексель - это письменное долговое обязательство строго установленной формы</w:t>
      </w:r>
      <w:bookmarkStart w:id="13" w:name="OCRUncertain067"/>
      <w:r w:rsidRPr="00FC2A1F">
        <w:rPr>
          <w:rFonts w:ascii="Times New Roman" w:hAnsi="Times New Roman" w:cs="Times New Roman"/>
        </w:rPr>
        <w:t>,</w:t>
      </w:r>
      <w:bookmarkEnd w:id="13"/>
      <w:r>
        <w:rPr>
          <w:rFonts w:ascii="Times New Roman" w:hAnsi="Times New Roman" w:cs="Times New Roman"/>
        </w:rPr>
        <w:t xml:space="preserve"> </w:t>
      </w:r>
      <w:r w:rsidRPr="00FC2A1F">
        <w:rPr>
          <w:rFonts w:ascii="Times New Roman" w:hAnsi="Times New Roman" w:cs="Times New Roman"/>
        </w:rPr>
        <w:t>выдаваемой</w:t>
      </w:r>
      <w:r>
        <w:rPr>
          <w:rFonts w:ascii="Times New Roman" w:hAnsi="Times New Roman" w:cs="Times New Roman"/>
        </w:rPr>
        <w:t xml:space="preserve"> </w:t>
      </w:r>
      <w:r w:rsidRPr="00FC2A1F">
        <w:rPr>
          <w:rFonts w:ascii="Times New Roman" w:hAnsi="Times New Roman" w:cs="Times New Roman"/>
        </w:rPr>
        <w:t>заемщиком</w:t>
      </w:r>
      <w:r>
        <w:rPr>
          <w:rFonts w:ascii="Times New Roman" w:hAnsi="Times New Roman" w:cs="Times New Roman"/>
        </w:rPr>
        <w:t xml:space="preserve"> </w:t>
      </w:r>
      <w:r w:rsidRPr="00FC2A1F">
        <w:rPr>
          <w:rFonts w:ascii="Times New Roman" w:hAnsi="Times New Roman" w:cs="Times New Roman"/>
        </w:rPr>
        <w:t>(векселедателем)</w:t>
      </w:r>
      <w:r>
        <w:rPr>
          <w:rFonts w:ascii="Times New Roman" w:hAnsi="Times New Roman" w:cs="Times New Roman"/>
        </w:rPr>
        <w:t xml:space="preserve"> </w:t>
      </w:r>
      <w:r w:rsidRPr="00FC2A1F">
        <w:rPr>
          <w:rFonts w:ascii="Times New Roman" w:hAnsi="Times New Roman" w:cs="Times New Roman"/>
        </w:rPr>
        <w:t>кредитору (векселедержателю), предоставляющее последнему право требовать от заемщика уплаты к определенному сроку суммы денег, указанных в векселе. Вексель - это ценная бумага, разновидность кредитных денег. Различают простой вексель и переводной.</w:t>
      </w:r>
    </w:p>
    <w:p w:rsidR="00012305"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Простой вексель представляет ничем не обусловленное обязательство векселедателя уплатить по наступлении срока определенную сумму денег держателю векселя. Переводной вексель (тратта) содержит письменный приказ векселедержателя (трассанта), адресованный плательщику (трассату), об уплате указанной в векселе суммы денег третьему лицу - первому держателю векселя. Трассат становится должником по векселю только после того, как акцептуется вексель, т.е. согласится на оплату, поставив на нем подпись. Варрант</w:t>
      </w:r>
      <w:r>
        <w:rPr>
          <w:rFonts w:ascii="Times New Roman" w:hAnsi="Times New Roman" w:cs="Times New Roman"/>
        </w:rPr>
        <w:t xml:space="preserve"> </w:t>
      </w:r>
      <w:r w:rsidRPr="00FC2A1F">
        <w:rPr>
          <w:rFonts w:ascii="Times New Roman" w:hAnsi="Times New Roman" w:cs="Times New Roman"/>
        </w:rPr>
        <w:t>векселя,</w:t>
      </w:r>
      <w:r>
        <w:rPr>
          <w:rFonts w:ascii="Times New Roman" w:hAnsi="Times New Roman" w:cs="Times New Roman"/>
        </w:rPr>
        <w:t xml:space="preserve"> </w:t>
      </w:r>
      <w:r w:rsidRPr="00FC2A1F">
        <w:rPr>
          <w:rFonts w:ascii="Times New Roman" w:hAnsi="Times New Roman" w:cs="Times New Roman"/>
        </w:rPr>
        <w:t>именуемый</w:t>
      </w:r>
      <w:r>
        <w:rPr>
          <w:rFonts w:ascii="Times New Roman" w:hAnsi="Times New Roman" w:cs="Times New Roman"/>
        </w:rPr>
        <w:t xml:space="preserve"> </w:t>
      </w:r>
      <w:r w:rsidRPr="00FC2A1F">
        <w:rPr>
          <w:rFonts w:ascii="Times New Roman" w:hAnsi="Times New Roman" w:cs="Times New Roman"/>
        </w:rPr>
        <w:t>обеспеченным</w:t>
      </w:r>
      <w:r>
        <w:rPr>
          <w:rFonts w:ascii="Times New Roman" w:hAnsi="Times New Roman" w:cs="Times New Roman"/>
        </w:rPr>
        <w:t xml:space="preserve"> </w:t>
      </w:r>
      <w:r w:rsidRPr="00FC2A1F">
        <w:rPr>
          <w:rFonts w:ascii="Times New Roman" w:hAnsi="Times New Roman" w:cs="Times New Roman"/>
        </w:rPr>
        <w:t>векселем,</w:t>
      </w:r>
      <w:r>
        <w:rPr>
          <w:rFonts w:ascii="Times New Roman" w:hAnsi="Times New Roman" w:cs="Times New Roman"/>
        </w:rPr>
        <w:t xml:space="preserve"> </w:t>
      </w:r>
      <w:r w:rsidRPr="00FC2A1F">
        <w:rPr>
          <w:rFonts w:ascii="Times New Roman" w:hAnsi="Times New Roman" w:cs="Times New Roman"/>
        </w:rPr>
        <w:t>используется компаниями по финансированию продаж [1, c. 264].</w:t>
      </w:r>
      <w:r>
        <w:rPr>
          <w:rFonts w:ascii="Times New Roman" w:hAnsi="Times New Roman" w:cs="Times New Roman"/>
        </w:rPr>
        <w:t xml:space="preserve"> </w:t>
      </w:r>
    </w:p>
    <w:p w:rsidR="00012305" w:rsidRPr="00A3405E" w:rsidRDefault="00012305" w:rsidP="00012305">
      <w:pPr>
        <w:spacing w:before="120"/>
        <w:jc w:val="center"/>
        <w:rPr>
          <w:rFonts w:ascii="Times New Roman" w:hAnsi="Times New Roman" w:cs="Times New Roman"/>
          <w:b/>
          <w:bCs/>
          <w:sz w:val="28"/>
          <w:szCs w:val="28"/>
        </w:rPr>
      </w:pPr>
      <w:r w:rsidRPr="00A3405E">
        <w:rPr>
          <w:rFonts w:ascii="Times New Roman" w:hAnsi="Times New Roman" w:cs="Times New Roman"/>
          <w:b/>
          <w:bCs/>
          <w:sz w:val="28"/>
          <w:szCs w:val="28"/>
        </w:rPr>
        <w:t xml:space="preserve">3. Передача прав по ценной бумаге, в т. ч. бездокументарной.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Важной особенностью ценной бумаги является возможность их передачи другим лицам. В зависимости от вида ценной бумаги способы их передачи могут быть различными – от самого простого до наиболее усложненного. С передачей ценной бумаги к новому обладателю переходят в совокупности все удостоверяемые ею права. В случаях, предусмотренных законом или в установленном им порядке, для осуществления и передачи прав, удостоверенных ценной бумагой, достаточно доказательств их закрепления в специальном реестре (обычном или компьютизированом).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В соответствии со ст.149 ГК РФ права, закрепляемые именной или ордерной ценной бумагой, могут фиксироваться в бездокументарной форме.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Очевидно, "бездокументарные ценные бумаги" в их понимании современным российским законодателем не могут являться объектами вещных прав, если мы желаем остаться в рамках континентальной правовой системы (данный факт - следствие того, что такие "бумаги" не могут быть отнесены к категории индивидуально-определенных вещей). Не может быть признан вполне удачным и сам термин "бездокументарная ценная бумага", так как не следует смешивать понятия ценной бумаги и иных форм фиксации прав [7, c.16].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Итак, "бездокументарные ценные бумаги" следует рассматривать как одну из возможных форм фиксации прав (наряду с "документарными" ценными бумагами), в отношении которой отчасти (причем в меньшей степени) применимы нормы, касающиеся ценных бумаг, отчасти (точнее - в основном) - необходимо самостоятельное правовое регулирование, учитывающее обязательственно-правовую специфику данного способа фиксации прав.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На наш взгляд, существует принципиальная возможность практически полного применения имеющейся теории "документарных" ценных бумаг к иным способам фиксации информации (разумеется, при условии учета особенностей каждого из них).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Для реализации указанной возможности необходимо поставить целью обеспечение соответствия средств фиксации информации средствам ее обработки. В результате мы приходим к идее полной замены в необходимых случаях традиционных ценных бумаг иными носителями информации, другими словами - идее ввода в гражданский оборот обособленных носителей информации - аналогов ценных бумаг, объектов вещного права, которые бы соответствовали современным способам хранения и обработки информации (дискеты, лазерные диски и т.д.) [13, c. 52]. </w:t>
      </w:r>
    </w:p>
    <w:p w:rsidR="00012305"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Очевидно, при подобном подходе оказывается применимым большинство классических положений, разработанных для ценных бумаг (начало презентации, публичная достоверность, аналог индоссамента и т.д.). В то же время снимаются ограничения, связанные с невозможностью существования "бездокументарных ценных бумаг" на предъявителя, являющиеся закономерным следствием подхода, которому следует ГК РФ. Предлагаемое решение позволяет положить конец спорам между сторонниками и противниками идеи "бездокументарных ценных бумаг" и перейти к разработке общей теории оборота прав, удостоверяемых материальными носителями. </w:t>
      </w:r>
      <w:r>
        <w:rPr>
          <w:rFonts w:ascii="Times New Roman" w:hAnsi="Times New Roman" w:cs="Times New Roman"/>
        </w:rPr>
        <w:t xml:space="preserve"> </w:t>
      </w:r>
    </w:p>
    <w:p w:rsidR="00012305" w:rsidRPr="00A3405E" w:rsidRDefault="00012305" w:rsidP="00012305">
      <w:pPr>
        <w:spacing w:before="120"/>
        <w:jc w:val="center"/>
        <w:rPr>
          <w:rFonts w:ascii="Times New Roman" w:hAnsi="Times New Roman" w:cs="Times New Roman"/>
          <w:b/>
          <w:bCs/>
          <w:sz w:val="28"/>
          <w:szCs w:val="28"/>
        </w:rPr>
      </w:pPr>
      <w:r w:rsidRPr="00A3405E">
        <w:rPr>
          <w:rFonts w:ascii="Times New Roman" w:hAnsi="Times New Roman" w:cs="Times New Roman"/>
          <w:b/>
          <w:bCs/>
          <w:sz w:val="28"/>
          <w:szCs w:val="28"/>
        </w:rPr>
        <w:t xml:space="preserve">4. Понятие и виды валютных ценностей.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Имущество, отнесенное к валютным ценностям, определяется в соответствии со ст. 141 ГК Законом о валютном регулировании. В состав указанного имущества входят иностранная валюта, выраженные в иностранной валюте ценные бумаги (векселя, чеки, аккредитивы и т. п.), фондовые ценности (акции, облигации и другие долговые обязательства), драгоценные металлы (золото, серебро, платина и металлы платиновой группы) в любом виде и состоянии, кроме ювелирных и других бытовых изделий, а также лома таких изделий, природные драгоценные металлы - алмазы, рубины, изумруды, сапфиры и александриты в сыром и обработанном виде, а также жемчуг за исключением ювелирных и бытовых изделий из этих камней и лома таких изделий. Правительство РФ устанавливает порядок, условия отнесения к валютным ценностям изделий из драгоценных металлов и природных драгоценных камней и ювелирных и других бытовых изделий из этих камней и лома таких изделий.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Правительство РФ утвердило 30 июня 1994 года Положение о совершении сделок с драгоценными металлами на территории Российской Федерации. В Положении определен круг объектов, на которые оно распространяется (золото и серебро в стандартных и мерных слитках, минеральное и вторичное сырье, содержащее золото и серебро, изделия, содержащие золото и серебро и не относящиеся к ювелирным и другим бытовым изделиям, а также полуфабрикаты, содержащие золото и серебро). Установлен ограниченный круг лиц, которые вправе осуществлять соответствующие сделки: Центральный банк и специальные уполномоченные коммерческие банки, пользователи недр, скупочные предприятия и другие прямо указанные в Положении лица. </w:t>
      </w:r>
    </w:p>
    <w:p w:rsidR="00012305"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Денежные обязательства, которые возникают по поводу золота и серебра, выражаются и оплачиваются непосредственно в рублях. Наряду с этими общими существуют и специальные правила совершения соответствующих сделок с отдельными предметами, включая добычу и переработку минерального сырья, слитки из золота и серебра, монеты, содержащие драгоценные металлы, и др. </w:t>
      </w:r>
      <w:r>
        <w:rPr>
          <w:rFonts w:ascii="Times New Roman" w:hAnsi="Times New Roman" w:cs="Times New Roman"/>
        </w:rPr>
        <w:t xml:space="preserve">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Задание: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Кратко раскройте правовой режим иностранной валюты на территории Российской Федерации.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Под иностранной валютой с соответствии со ст.1 закона «О валютном регулировании и валютном контроле», понимается: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а) денежные знаки в виде банкнот, казначейских билетов, монеты, находящиеся в обращении и являющиеся законным платежным средством в соответствующем иностранном государстве или группе государств, а также изъятые или изымаемые из обращения, но подлежащие обмену денежные знаки;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б) средства на счетах в денежных единицах иностранных государств и международных денежных или расчетных единицах.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Российские резиденты вправе покупать иностранную валюту за рубли через уполномоченные банки на внутреннем валютном рынке для целей осуществления текущих валютных операций, а также платежей в погашение основного долга при условии представления документов, подтверждающих наличие договорных отношений (контракты, кредитные соглашения).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Иностранная валюта, купленная предприятиями-резидентами РФ на внутреннем валютном рынке, зачисляется в полном объеме на их текущие валютные счета в уполномоченных банках РФ. Местные органы власти через уполномоченные банки, ведущие счета соответствующих валютных фондов, могут покупать иностранную валюту на внутреннем валютном рынке за счет средств соответствующих бюджетов.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Уполномоченные банки в данном контексте - это банки, через которые осуществляются операции с иностранной валютой на внутреннем валютном рынке РФ. Они обладают правомочиями покупать и продавать иностранную валюту: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-от своего имени по поручению предприятий и коммерческих банков (посреднические операции за комиссионное вознаграждение);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-от своего имени и за свой счет.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Уполномоченные банки по поручению предприятия продают средства в иностранной валюте: другому предприятию, на межбанковском валютном рынке (непосредственно уполномоченному банку или через межбанковскую валютную биржу) или Банку России. При выполнении поручения предприятия на продажу иностранной валюты банк имеет право покупать за свой счет указанные средства в иностранной валюте.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В случае проведения операций по покупке и продаже иностранной валюты от своего имени и за свой счет банк ведет открытую валютную позицию.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Уполномоченные банки вправе покупать и продавать иностранную валюту на внутреннем валютном рынке для осуществления валютных операций с физическими лицами (неторговых валютных операций).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Под "межбанковскими валютными биржами" следует понимать специализированные биржи, имеющие лицензии Банка России на организацию операций по купле-продаже иностранной валюты за рубли и проведение расчетов по заключенным на них сделкам.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Продажа (покупка) через уполномоченные банки юридическими и физическими лицами (резидентами и нерезидентами) иностранной валюты одного вида за иностранную валюту другого вида, курс которых к рублю устанавливается Банком России; покупка иностранной валюты через уполномоченные банки на внутреннем валютном рынке РФ в безналичном порядке физическими лицами (резидентами и нерезидентами) за счет средств на рублевых счетах, открытых на имя соответствующих физических лиц в кредитных организациях; продажа иностранной валюты через уполномоченные банки на внутреннем валютном рынке РФ физическими лицами (резидентами и нерезидентами) с валютных счетов, открытых на имя соответствующих физических лиц в уполномоченных банках, с обязательным зачислением полученных рублей на рублевые счета, открытые на имя соответствующих физических лиц в кредитных организациях, если иное не установлено Банком России, не требуют разрешения Центрального банка.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Валютно-обменные операции совершаются с обязательным оформлением и выдачей физическим лицам (резидентам и нерезидентам) справок, выписываемых на бланках строгой отчетности "Справка ф. N 0406007". На одном бланке строгой отчетности "Справка ф. N 0406007" может быть оформлена только одна валютно-обменная операция.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Задача: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В договоре Серпухина с издательством предусмотрена выплата авторского вознаграждения в размере, эквивалентном 200 долларов США за один авторский лист на момент производства платежа. При обращении автора за получением вознаграждения издательство сообщило, что в данное время у него нет денежных средств, и предложило взять вексель на сумму в 10000 руб. Серпухин согласился, но когда предъявил вексель к оплате, издательство заявило, что оно готово оплатить вексель, но в сумме 8000 руб., так как объем произведения после сокращения оказался меньшим.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Стороны решили обратиться к юристу за консультацией по следующим вопросам: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1.</w:t>
      </w:r>
      <w:r>
        <w:rPr>
          <w:rFonts w:ascii="Times New Roman" w:hAnsi="Times New Roman" w:cs="Times New Roman"/>
        </w:rPr>
        <w:t xml:space="preserve"> </w:t>
      </w:r>
      <w:r w:rsidRPr="00FC2A1F">
        <w:rPr>
          <w:rFonts w:ascii="Times New Roman" w:hAnsi="Times New Roman" w:cs="Times New Roman"/>
        </w:rPr>
        <w:t xml:space="preserve">В какой валюте они могут произвести расчеты по данному договору?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2.</w:t>
      </w:r>
      <w:r>
        <w:rPr>
          <w:rFonts w:ascii="Times New Roman" w:hAnsi="Times New Roman" w:cs="Times New Roman"/>
        </w:rPr>
        <w:t xml:space="preserve"> </w:t>
      </w:r>
      <w:r w:rsidRPr="00FC2A1F">
        <w:rPr>
          <w:rFonts w:ascii="Times New Roman" w:hAnsi="Times New Roman" w:cs="Times New Roman"/>
        </w:rPr>
        <w:t xml:space="preserve">Что представляет собой вексель как ценная бумага? </w:t>
      </w:r>
    </w:p>
    <w:p w:rsidR="00012305"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3.</w:t>
      </w:r>
      <w:r>
        <w:rPr>
          <w:rFonts w:ascii="Times New Roman" w:hAnsi="Times New Roman" w:cs="Times New Roman"/>
        </w:rPr>
        <w:t xml:space="preserve"> </w:t>
      </w:r>
      <w:r w:rsidRPr="00FC2A1F">
        <w:rPr>
          <w:rFonts w:ascii="Times New Roman" w:hAnsi="Times New Roman" w:cs="Times New Roman"/>
        </w:rPr>
        <w:t xml:space="preserve">Погашена ли обязанность издательства по выплате вознаграждения выдачей автору векселя? </w:t>
      </w:r>
      <w:r>
        <w:rPr>
          <w:rFonts w:ascii="Times New Roman" w:hAnsi="Times New Roman" w:cs="Times New Roman"/>
        </w:rPr>
        <w:t xml:space="preserve">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1. Согласно ст. 327 ГК РФ, денежные обязательства должны быть выражены в рублях (статья 140).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 </w:t>
      </w:r>
    </w:p>
    <w:p w:rsidR="00012305"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Таким образом, стороны должны произвести расчеты в рублях. </w:t>
      </w:r>
      <w:r>
        <w:rPr>
          <w:rFonts w:ascii="Times New Roman" w:hAnsi="Times New Roman" w:cs="Times New Roman"/>
        </w:rPr>
        <w:t xml:space="preserve"> </w:t>
      </w:r>
    </w:p>
    <w:p w:rsidR="00012305"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2. Вексель как ценная бумага - простое и ничем не обусловленное обязательство уплатить определенную сумму. Такое определение явствует из Единообразного закона о переводном и простом векселе (утв. Конвенцией №358). </w:t>
      </w:r>
      <w:r>
        <w:rPr>
          <w:rFonts w:ascii="Times New Roman" w:hAnsi="Times New Roman" w:cs="Times New Roman"/>
        </w:rPr>
        <w:t xml:space="preserve">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3. Обязанность издательства по выплате вознаграждения выдачей автору векселя погашена. Дело в том, что вексель – это простое и ничем не обусловленное обязательство уплатить определенную денежную сумму. Следовательно, выдав автору, вексель издательство модифицировало свое обязательство, но по-прежнему осталось обязанной стороной в данных правоотношениях. </w:t>
      </w:r>
    </w:p>
    <w:p w:rsidR="00012305"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В Гражданском кодексе такое прекращение обязательств называется прекращением обязательства новацией – ст. 414 ГК РФ.</w:t>
      </w:r>
      <w:r>
        <w:rPr>
          <w:rFonts w:ascii="Times New Roman" w:hAnsi="Times New Roman" w:cs="Times New Roman"/>
        </w:rPr>
        <w:t xml:space="preserve"> </w:t>
      </w:r>
      <w:r w:rsidRPr="00FC2A1F">
        <w:rPr>
          <w:rFonts w:ascii="Times New Roman" w:hAnsi="Times New Roman" w:cs="Times New Roman"/>
        </w:rPr>
        <w:t>В соответствии с ч. 1 этой статьей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(новация).</w:t>
      </w:r>
      <w:r>
        <w:rPr>
          <w:rFonts w:ascii="Times New Roman" w:hAnsi="Times New Roman" w:cs="Times New Roman"/>
        </w:rPr>
        <w:t xml:space="preserve"> </w:t>
      </w:r>
    </w:p>
    <w:p w:rsidR="00012305" w:rsidRPr="00A3405E" w:rsidRDefault="00012305" w:rsidP="00012305">
      <w:pPr>
        <w:spacing w:before="120"/>
        <w:jc w:val="center"/>
        <w:rPr>
          <w:rFonts w:ascii="Times New Roman" w:hAnsi="Times New Roman" w:cs="Times New Roman"/>
          <w:b/>
          <w:bCs/>
          <w:sz w:val="28"/>
          <w:szCs w:val="28"/>
        </w:rPr>
      </w:pPr>
      <w:r w:rsidRPr="00A3405E">
        <w:rPr>
          <w:rFonts w:ascii="Times New Roman" w:hAnsi="Times New Roman" w:cs="Times New Roman"/>
          <w:b/>
          <w:bCs/>
          <w:sz w:val="28"/>
          <w:szCs w:val="28"/>
        </w:rPr>
        <w:t>Список литературы</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Нормативные акты: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w:t>
      </w:r>
      <w:r>
        <w:rPr>
          <w:rFonts w:ascii="Times New Roman" w:hAnsi="Times New Roman" w:cs="Times New Roman"/>
        </w:rPr>
        <w:t xml:space="preserve"> </w:t>
      </w:r>
      <w:r w:rsidRPr="00FC2A1F">
        <w:rPr>
          <w:rFonts w:ascii="Times New Roman" w:hAnsi="Times New Roman" w:cs="Times New Roman"/>
        </w:rPr>
        <w:t>Гражданский кодекс Российской Федерации. Часть первая и вторая. М.: Инфра-М, 1998.</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w:t>
      </w:r>
      <w:r>
        <w:rPr>
          <w:rFonts w:ascii="Times New Roman" w:hAnsi="Times New Roman" w:cs="Times New Roman"/>
        </w:rPr>
        <w:t xml:space="preserve"> </w:t>
      </w:r>
      <w:r w:rsidRPr="00FC2A1F">
        <w:rPr>
          <w:rFonts w:ascii="Times New Roman" w:hAnsi="Times New Roman" w:cs="Times New Roman"/>
        </w:rPr>
        <w:t>Закон РФ от 11 марта 1997 г. N 48-ФЗ "О переводном и простом векселе";</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w:t>
      </w:r>
      <w:r>
        <w:rPr>
          <w:rFonts w:ascii="Times New Roman" w:hAnsi="Times New Roman" w:cs="Times New Roman"/>
        </w:rPr>
        <w:t xml:space="preserve"> </w:t>
      </w:r>
      <w:r w:rsidRPr="00FC2A1F">
        <w:rPr>
          <w:rFonts w:ascii="Times New Roman" w:hAnsi="Times New Roman" w:cs="Times New Roman"/>
        </w:rPr>
        <w:t>Закон РФ от 9 октября 1992 г. N 3615-1 "О валютном регулировании и валютном контроле";</w:t>
      </w:r>
    </w:p>
    <w:p w:rsidR="00012305"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w:t>
      </w:r>
      <w:r>
        <w:rPr>
          <w:rFonts w:ascii="Times New Roman" w:hAnsi="Times New Roman" w:cs="Times New Roman"/>
        </w:rPr>
        <w:t xml:space="preserve"> </w:t>
      </w:r>
      <w:r w:rsidRPr="00FC2A1F">
        <w:rPr>
          <w:rFonts w:ascii="Times New Roman" w:hAnsi="Times New Roman" w:cs="Times New Roman"/>
        </w:rPr>
        <w:t>Закон РФ от 22 апреля 1996 г. N 39-ФЗ "О рынке ценных бумаг" (с изм. и доп. от 26 ноября 1998 г., 8 июля 1999 г.).</w:t>
      </w:r>
      <w:r>
        <w:rPr>
          <w:rFonts w:ascii="Times New Roman" w:hAnsi="Times New Roman" w:cs="Times New Roman"/>
        </w:rPr>
        <w:t xml:space="preserve">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Специальная литература: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1.</w:t>
      </w:r>
      <w:r>
        <w:rPr>
          <w:rFonts w:ascii="Times New Roman" w:hAnsi="Times New Roman" w:cs="Times New Roman"/>
        </w:rPr>
        <w:t xml:space="preserve"> </w:t>
      </w:r>
      <w:r w:rsidRPr="00FC2A1F">
        <w:rPr>
          <w:rFonts w:ascii="Times New Roman" w:hAnsi="Times New Roman" w:cs="Times New Roman"/>
        </w:rPr>
        <w:t xml:space="preserve">Комментарий к части первой Гражданского Кодекса Российской Федерации для предпринимателей (под общ. ред. Брагинского М. И.)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"Защита интересов добросовестного приобретателя ценной бумаги" (Белов В.А., "Законодательство", 1997, N 6)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Риск в правоотношениях по ценным бумагам (В. Яроцкий, "Российская юстиция", N 7, июль 2000 г.)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Арест ценных бумаг по уголовному делу (Габов А., Яни П., "Российская юстиция", 1999, N 8)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"Обращение взыскания на ценные бумаги" (Ярков В., Редькин И., "Российская юстиция", 1998, N 9)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"Криминалистическая характеристика фальшивомонетничества" (Шаталов А., "Российская юстиция", 1998, N 5)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"Бездокументарные ценные бумаги" (Сперанский В., "Российская юстиция", "Российская юстиция", 1998, N 4)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"Признаки ценной бумаги" (Трофименко А., "Российская юстиция", 1997, N 7)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"Производные ценные бумаги в американской практике регулирования" (Перова М., "Хозяйство и право", 1997, N 10)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"Правовая природа бездокументарных ценных бумаг" (Юлдашбаева Л., "Хозяйство и право", 1997, N 10)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"Законодательные ограничения на совершение сделок с ценными бумагами" (Рукавишникова И., "Хозяйство и право", 1997, N 10) </w:t>
      </w:r>
    </w:p>
    <w:p w:rsidR="00012305" w:rsidRPr="00FC2A1F"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"Профессиональная и предпринимательская деятельность на рынке ценных бумаг" (Грызунов В., Подольный Н., "Хозяйство и право", 1997, N 3) </w:t>
      </w:r>
    </w:p>
    <w:p w:rsidR="00012305" w:rsidRDefault="00012305" w:rsidP="00012305">
      <w:pPr>
        <w:spacing w:before="120"/>
        <w:ind w:firstLine="567"/>
        <w:jc w:val="both"/>
        <w:rPr>
          <w:rFonts w:ascii="Times New Roman" w:hAnsi="Times New Roman" w:cs="Times New Roman"/>
        </w:rPr>
      </w:pPr>
      <w:r w:rsidRPr="00FC2A1F">
        <w:rPr>
          <w:rFonts w:ascii="Times New Roman" w:hAnsi="Times New Roman" w:cs="Times New Roman"/>
        </w:rPr>
        <w:t xml:space="preserve">"Правовые проблемы безналичных денег" (Ефимова Л., "Хозяйство и право", 1997, NN 1-2) </w:t>
      </w:r>
    </w:p>
    <w:p w:rsidR="00B42C45" w:rsidRDefault="00B42C45">
      <w:bookmarkStart w:id="14" w:name="_GoBack"/>
      <w:bookmarkEnd w:id="14"/>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305"/>
    <w:rsid w:val="00002B5A"/>
    <w:rsid w:val="00012305"/>
    <w:rsid w:val="0010437E"/>
    <w:rsid w:val="00616072"/>
    <w:rsid w:val="006A5004"/>
    <w:rsid w:val="00710178"/>
    <w:rsid w:val="00717870"/>
    <w:rsid w:val="00791C53"/>
    <w:rsid w:val="008B35EE"/>
    <w:rsid w:val="00905CC1"/>
    <w:rsid w:val="00963F7C"/>
    <w:rsid w:val="00A3405E"/>
    <w:rsid w:val="00B42C45"/>
    <w:rsid w:val="00B47B6A"/>
    <w:rsid w:val="00FC2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3EE366-C831-4198-8E3D-E7848A83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305"/>
    <w:pPr>
      <w:autoSpaceDE w:val="0"/>
      <w:autoSpaceDN w:val="0"/>
      <w:spacing w:after="0" w:line="240" w:lineRule="auto"/>
    </w:pPr>
    <w:rPr>
      <w:rFonts w:ascii="Arial" w:hAnsi="Arial" w:cs="Arial"/>
      <w:spacing w:val="20"/>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123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5120</Words>
  <Characters>29188</Characters>
  <Application>Microsoft Office Word</Application>
  <DocSecurity>0</DocSecurity>
  <Lines>243</Lines>
  <Paragraphs>68</Paragraphs>
  <ScaleCrop>false</ScaleCrop>
  <Company>Home</Company>
  <LinksUpToDate>false</LinksUpToDate>
  <CharactersWithSpaces>34240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Ценные бумаги и валютные ценности как объекты гражданских прав</dc:title>
  <dc:subject/>
  <dc:creator>User</dc:creator>
  <cp:keywords/>
  <dc:description/>
  <cp:lastModifiedBy>admin</cp:lastModifiedBy>
  <cp:revision>2</cp:revision>
  <dcterms:created xsi:type="dcterms:W3CDTF">2014-02-18T02:09:00Z</dcterms:created>
  <dcterms:modified xsi:type="dcterms:W3CDTF">2014-02-18T02:09:00Z</dcterms:modified>
</cp:coreProperties>
</file>