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6275" w:rsidRDefault="00481C26">
      <w:pPr>
        <w:pStyle w:val="a3"/>
        <w:jc w:val="center"/>
        <w:rPr>
          <w:rFonts w:ascii="Arial" w:hAnsi="Arial"/>
          <w:sz w:val="24"/>
          <w:lang w:val="ru-RU"/>
        </w:rPr>
      </w:pPr>
      <w:r>
        <w:rPr>
          <w:rFonts w:ascii="Arial" w:hAnsi="Arial"/>
          <w:sz w:val="24"/>
          <w:lang w:val="ru-RU"/>
        </w:rPr>
        <w:t>ГОСКОМИТЕТ РОССИЙСКОЙ ФЕДЕРАЦИИ  ПО  ВЫСШЕМУ ОБРАЗОВАНИЮ</w:t>
      </w:r>
    </w:p>
    <w:p w:rsidR="00126275" w:rsidRDefault="00481C26">
      <w:pPr>
        <w:pStyle w:val="a3"/>
        <w:jc w:val="center"/>
        <w:rPr>
          <w:rFonts w:ascii="Arial" w:hAnsi="Arial"/>
          <w:sz w:val="24"/>
          <w:lang w:val="ru-RU"/>
        </w:rPr>
      </w:pPr>
      <w:r>
        <w:rPr>
          <w:rFonts w:ascii="Arial" w:hAnsi="Arial"/>
          <w:sz w:val="24"/>
          <w:lang w:val="ru-RU"/>
        </w:rPr>
        <w:t>ТЮМЕНСКИЙ ГОСУДАРСТВЕННЫЙ УНИВЕРСИТЕТ</w:t>
      </w:r>
    </w:p>
    <w:p w:rsidR="00126275" w:rsidRDefault="00481C26">
      <w:pPr>
        <w:pStyle w:val="a3"/>
        <w:jc w:val="center"/>
        <w:rPr>
          <w:rFonts w:ascii="Arial" w:hAnsi="Arial"/>
          <w:sz w:val="24"/>
          <w:lang w:val="ru-RU"/>
        </w:rPr>
      </w:pPr>
      <w:r>
        <w:rPr>
          <w:rFonts w:ascii="Arial" w:hAnsi="Arial"/>
          <w:sz w:val="24"/>
          <w:lang w:val="ru-RU"/>
        </w:rPr>
        <w:t>ЗАОЧНОЕ ОТДЕЛЕНИЕ</w:t>
      </w:r>
    </w:p>
    <w:p w:rsidR="00126275" w:rsidRDefault="00481C26">
      <w:pPr>
        <w:pStyle w:val="a3"/>
        <w:jc w:val="center"/>
        <w:rPr>
          <w:rFonts w:ascii="Arial" w:hAnsi="Arial"/>
          <w:sz w:val="24"/>
          <w:lang w:val="ru-RU"/>
        </w:rPr>
      </w:pPr>
      <w:r>
        <w:rPr>
          <w:rFonts w:ascii="Arial" w:hAnsi="Arial"/>
          <w:sz w:val="24"/>
          <w:lang w:val="ru-RU"/>
        </w:rPr>
        <w:t>ЮРИДИЧЕСКИЙ ФАКУЛЬТЕТ</w:t>
      </w: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rial" w:hAnsi="Arial"/>
          <w:sz w:val="24"/>
          <w:lang w:val="ru-RU"/>
        </w:rPr>
      </w:pPr>
    </w:p>
    <w:p w:rsidR="00126275" w:rsidRDefault="00126275">
      <w:pPr>
        <w:pStyle w:val="a3"/>
        <w:jc w:val="center"/>
        <w:rPr>
          <w:rFonts w:ascii="Academy" w:hAnsi="Academy"/>
          <w:sz w:val="24"/>
          <w:lang w:val="ru-RU"/>
        </w:rPr>
      </w:pPr>
    </w:p>
    <w:p w:rsidR="00126275" w:rsidRDefault="00126275">
      <w:pPr>
        <w:pStyle w:val="a3"/>
        <w:jc w:val="center"/>
        <w:rPr>
          <w:rFonts w:ascii="Academy" w:hAnsi="Academy"/>
          <w:sz w:val="24"/>
          <w:lang w:val="ru-RU"/>
        </w:rPr>
      </w:pPr>
    </w:p>
    <w:p w:rsidR="00126275" w:rsidRDefault="00481C26">
      <w:pPr>
        <w:pStyle w:val="a3"/>
        <w:jc w:val="center"/>
        <w:rPr>
          <w:rFonts w:ascii="Arial" w:hAnsi="Arial"/>
          <w:sz w:val="24"/>
          <w:lang w:val="ru-RU"/>
        </w:rPr>
      </w:pPr>
      <w:r>
        <w:rPr>
          <w:rFonts w:ascii="Arial" w:hAnsi="Arial"/>
          <w:sz w:val="24"/>
          <w:lang w:val="ru-RU"/>
        </w:rPr>
        <w:t>ЦЕННЫЕ БУМАГИ КАК ОБЪЕКТЫ ГРАЖДАНСКИХ ПРАВ</w:t>
      </w:r>
    </w:p>
    <w:p w:rsidR="00126275" w:rsidRDefault="00126275">
      <w:pPr>
        <w:pStyle w:val="a3"/>
        <w:jc w:val="center"/>
        <w:rPr>
          <w:rFonts w:ascii="Academy" w:hAnsi="Academy"/>
          <w:sz w:val="24"/>
          <w:lang w:val="ru-RU"/>
        </w:rPr>
      </w:pPr>
    </w:p>
    <w:p w:rsidR="00126275" w:rsidRDefault="00126275">
      <w:pPr>
        <w:pStyle w:val="a3"/>
        <w:jc w:val="center"/>
        <w:rPr>
          <w:rFonts w:ascii="Academy" w:hAnsi="Academy"/>
          <w:sz w:val="24"/>
          <w:lang w:val="ru-RU"/>
        </w:rPr>
      </w:pPr>
    </w:p>
    <w:p w:rsidR="00126275" w:rsidRDefault="00126275">
      <w:pPr>
        <w:pStyle w:val="a3"/>
        <w:jc w:val="center"/>
        <w:rPr>
          <w:rFonts w:ascii="Academy" w:hAnsi="Academy"/>
          <w:sz w:val="24"/>
          <w:lang w:val="ru-RU"/>
        </w:rPr>
      </w:pPr>
    </w:p>
    <w:p w:rsidR="00126275" w:rsidRDefault="00126275">
      <w:pPr>
        <w:pStyle w:val="a3"/>
        <w:jc w:val="center"/>
        <w:rPr>
          <w:rFonts w:ascii="Academy" w:hAnsi="Academy"/>
          <w:sz w:val="24"/>
          <w:lang w:val="ru-RU"/>
        </w:rPr>
      </w:pPr>
    </w:p>
    <w:p w:rsidR="00126275" w:rsidRDefault="00126275">
      <w:pPr>
        <w:pStyle w:val="a3"/>
        <w:jc w:val="center"/>
        <w:rPr>
          <w:rFonts w:ascii="Academy" w:hAnsi="Academy"/>
          <w:sz w:val="24"/>
          <w:lang w:val="ru-RU"/>
        </w:rPr>
      </w:pPr>
    </w:p>
    <w:p w:rsidR="00126275" w:rsidRDefault="00126275">
      <w:pPr>
        <w:pStyle w:val="a3"/>
        <w:jc w:val="center"/>
        <w:rPr>
          <w:rFonts w:ascii="Academy" w:hAnsi="Academy"/>
          <w:sz w:val="24"/>
          <w:lang w:val="ru-RU"/>
        </w:rPr>
      </w:pPr>
    </w:p>
    <w:p w:rsidR="00126275" w:rsidRDefault="00126275">
      <w:pPr>
        <w:pStyle w:val="a3"/>
        <w:jc w:val="center"/>
        <w:rPr>
          <w:rFonts w:ascii="Academy" w:hAnsi="Academy"/>
          <w:sz w:val="24"/>
          <w:lang w:val="ru-RU"/>
        </w:rPr>
      </w:pPr>
    </w:p>
    <w:p w:rsidR="00126275" w:rsidRDefault="00126275">
      <w:pPr>
        <w:pStyle w:val="a3"/>
        <w:tabs>
          <w:tab w:val="left" w:pos="6237"/>
        </w:tabs>
        <w:jc w:val="right"/>
        <w:rPr>
          <w:rFonts w:ascii="Academy" w:hAnsi="Academy"/>
          <w:sz w:val="24"/>
          <w:lang w:val="ru-RU"/>
        </w:rPr>
      </w:pPr>
    </w:p>
    <w:p w:rsidR="00126275" w:rsidRDefault="00481C26">
      <w:pPr>
        <w:pStyle w:val="a3"/>
        <w:tabs>
          <w:tab w:val="left" w:pos="6237"/>
        </w:tabs>
        <w:rPr>
          <w:rFonts w:ascii="Academy" w:hAnsi="Academy"/>
          <w:sz w:val="24"/>
          <w:lang w:val="ru-RU"/>
        </w:rPr>
      </w:pPr>
      <w:r>
        <w:rPr>
          <w:rFonts w:ascii="Academy" w:hAnsi="Academy"/>
          <w:sz w:val="24"/>
          <w:lang w:val="ru-RU"/>
        </w:rPr>
        <w:tab/>
      </w:r>
    </w:p>
    <w:p w:rsidR="00126275" w:rsidRDefault="00126275">
      <w:pPr>
        <w:pStyle w:val="a3"/>
        <w:tabs>
          <w:tab w:val="left" w:pos="6237"/>
        </w:tabs>
        <w:rPr>
          <w:rFonts w:ascii="Academy" w:hAnsi="Academy"/>
          <w:sz w:val="24"/>
          <w:lang w:val="ru-RU"/>
        </w:rPr>
      </w:pPr>
    </w:p>
    <w:p w:rsidR="00126275" w:rsidRDefault="00126275">
      <w:pPr>
        <w:pStyle w:val="a3"/>
        <w:tabs>
          <w:tab w:val="left" w:pos="6237"/>
        </w:tabs>
        <w:rPr>
          <w:rFonts w:ascii="Academy" w:hAnsi="Academy"/>
          <w:sz w:val="24"/>
          <w:lang w:val="ru-RU"/>
        </w:rPr>
      </w:pPr>
    </w:p>
    <w:p w:rsidR="00126275" w:rsidRDefault="00481C26">
      <w:pPr>
        <w:pStyle w:val="a3"/>
        <w:tabs>
          <w:tab w:val="left" w:pos="6096"/>
        </w:tabs>
        <w:rPr>
          <w:rFonts w:ascii="Times New Roman CYR" w:hAnsi="Times New Roman CYR"/>
          <w:sz w:val="24"/>
          <w:lang w:val="ru-RU"/>
        </w:rPr>
      </w:pPr>
      <w:r>
        <w:rPr>
          <w:rFonts w:ascii="Times New Roman CYR" w:hAnsi="Times New Roman CYR"/>
          <w:sz w:val="24"/>
          <w:lang w:val="ru-RU"/>
        </w:rPr>
        <w:tab/>
        <w:t>курсовая работа</w:t>
      </w:r>
    </w:p>
    <w:p w:rsidR="00126275" w:rsidRDefault="00481C26">
      <w:pPr>
        <w:pStyle w:val="a3"/>
        <w:tabs>
          <w:tab w:val="left" w:pos="6096"/>
        </w:tabs>
        <w:rPr>
          <w:rFonts w:ascii="Times New Roman CYR" w:hAnsi="Times New Roman CYR"/>
          <w:sz w:val="24"/>
          <w:lang w:val="ru-RU"/>
        </w:rPr>
      </w:pPr>
      <w:r>
        <w:rPr>
          <w:rFonts w:ascii="Times New Roman CYR" w:hAnsi="Times New Roman CYR"/>
          <w:sz w:val="24"/>
          <w:lang w:val="ru-RU"/>
        </w:rPr>
        <w:tab/>
        <w:t xml:space="preserve">студентки  </w:t>
      </w:r>
      <w:r>
        <w:rPr>
          <w:rFonts w:ascii="Times New Roman CYR" w:hAnsi="Times New Roman CYR"/>
          <w:sz w:val="24"/>
        </w:rPr>
        <w:t>II</w:t>
      </w:r>
      <w:r>
        <w:rPr>
          <w:rFonts w:ascii="Times New Roman CYR" w:hAnsi="Times New Roman CYR"/>
          <w:sz w:val="24"/>
          <w:lang w:val="ru-RU"/>
        </w:rPr>
        <w:t xml:space="preserve">  курса  059  гр.</w:t>
      </w:r>
    </w:p>
    <w:p w:rsidR="00126275" w:rsidRDefault="00481C26">
      <w:pPr>
        <w:pStyle w:val="a3"/>
        <w:tabs>
          <w:tab w:val="left" w:pos="6096"/>
        </w:tabs>
        <w:rPr>
          <w:rFonts w:ascii="Times New Roman CYR" w:hAnsi="Times New Roman CYR"/>
          <w:sz w:val="24"/>
          <w:lang w:val="ru-RU"/>
        </w:rPr>
      </w:pPr>
      <w:r>
        <w:rPr>
          <w:rFonts w:ascii="Times New Roman CYR" w:hAnsi="Times New Roman CYR"/>
          <w:sz w:val="24"/>
          <w:lang w:val="ru-RU"/>
        </w:rPr>
        <w:tab/>
        <w:t>заочного отделения</w:t>
      </w:r>
    </w:p>
    <w:p w:rsidR="00126275" w:rsidRDefault="00481C26">
      <w:pPr>
        <w:pStyle w:val="a3"/>
        <w:tabs>
          <w:tab w:val="left" w:pos="6096"/>
        </w:tabs>
        <w:rPr>
          <w:rFonts w:ascii="Times New Roman CYR" w:hAnsi="Times New Roman CYR"/>
          <w:sz w:val="24"/>
          <w:lang w:val="ru-RU"/>
        </w:rPr>
      </w:pPr>
      <w:r>
        <w:rPr>
          <w:rFonts w:ascii="Times New Roman CYR" w:hAnsi="Times New Roman CYR"/>
          <w:sz w:val="24"/>
          <w:lang w:val="ru-RU"/>
        </w:rPr>
        <w:tab/>
        <w:t>Зуевой И.В.</w:t>
      </w:r>
    </w:p>
    <w:p w:rsidR="00126275" w:rsidRDefault="00481C26">
      <w:pPr>
        <w:pStyle w:val="a3"/>
        <w:tabs>
          <w:tab w:val="left" w:pos="6096"/>
        </w:tabs>
        <w:rPr>
          <w:rFonts w:ascii="Times New Roman CYR" w:hAnsi="Times New Roman CYR"/>
          <w:sz w:val="24"/>
          <w:lang w:val="ru-RU"/>
        </w:rPr>
      </w:pPr>
      <w:r>
        <w:rPr>
          <w:rFonts w:ascii="Times New Roman CYR" w:hAnsi="Times New Roman CYR"/>
          <w:sz w:val="24"/>
          <w:lang w:val="ru-RU"/>
        </w:rPr>
        <w:tab/>
        <w:t>научный руководитель:</w:t>
      </w:r>
    </w:p>
    <w:p w:rsidR="00126275" w:rsidRDefault="00481C26">
      <w:pPr>
        <w:pStyle w:val="a3"/>
        <w:tabs>
          <w:tab w:val="left" w:pos="6096"/>
          <w:tab w:val="left" w:pos="6521"/>
        </w:tabs>
        <w:rPr>
          <w:rFonts w:ascii="Times New Roman CYR" w:hAnsi="Times New Roman CYR"/>
          <w:sz w:val="24"/>
          <w:lang w:val="ru-RU"/>
        </w:rPr>
      </w:pPr>
      <w:r>
        <w:rPr>
          <w:rFonts w:ascii="Times New Roman CYR" w:hAnsi="Times New Roman CYR"/>
          <w:sz w:val="24"/>
          <w:lang w:val="ru-RU"/>
        </w:rPr>
        <w:tab/>
        <w:t>Р.Н. Миргазизова</w:t>
      </w:r>
    </w:p>
    <w:p w:rsidR="00126275" w:rsidRDefault="00126275">
      <w:pPr>
        <w:pStyle w:val="a3"/>
        <w:tabs>
          <w:tab w:val="left" w:pos="6096"/>
          <w:tab w:val="left" w:pos="6521"/>
        </w:tabs>
        <w:rPr>
          <w:rFonts w:ascii="Academy" w:hAnsi="Academy"/>
          <w:sz w:val="24"/>
          <w:lang w:val="ru-RU"/>
        </w:rPr>
      </w:pPr>
    </w:p>
    <w:p w:rsidR="00126275" w:rsidRDefault="00126275">
      <w:pPr>
        <w:pStyle w:val="a3"/>
        <w:tabs>
          <w:tab w:val="left" w:pos="6237"/>
          <w:tab w:val="left" w:pos="6521"/>
        </w:tabs>
        <w:rPr>
          <w:rFonts w:ascii="Times New Roman CYR" w:hAnsi="Times New Roman CYR"/>
          <w:sz w:val="24"/>
          <w:lang w:val="ru-RU"/>
        </w:rPr>
      </w:pPr>
    </w:p>
    <w:p w:rsidR="00126275" w:rsidRDefault="00126275">
      <w:pPr>
        <w:pStyle w:val="a3"/>
        <w:tabs>
          <w:tab w:val="left" w:pos="6237"/>
          <w:tab w:val="left" w:pos="6521"/>
        </w:tabs>
        <w:rPr>
          <w:rFonts w:ascii="Times New Roman CYR" w:hAnsi="Times New Roman CYR"/>
          <w:sz w:val="24"/>
          <w:lang w:val="ru-RU"/>
        </w:rPr>
      </w:pPr>
    </w:p>
    <w:p w:rsidR="00126275" w:rsidRDefault="00126275">
      <w:pPr>
        <w:pStyle w:val="a3"/>
        <w:tabs>
          <w:tab w:val="left" w:pos="6237"/>
          <w:tab w:val="left" w:pos="6521"/>
        </w:tabs>
        <w:rPr>
          <w:rFonts w:ascii="Times New Roman CYR" w:hAnsi="Times New Roman CYR"/>
          <w:sz w:val="24"/>
          <w:lang w:val="ru-RU"/>
        </w:rPr>
      </w:pPr>
    </w:p>
    <w:p w:rsidR="00126275" w:rsidRDefault="00126275">
      <w:pPr>
        <w:pStyle w:val="a3"/>
        <w:tabs>
          <w:tab w:val="left" w:pos="6237"/>
          <w:tab w:val="left" w:pos="6521"/>
        </w:tabs>
        <w:rPr>
          <w:rFonts w:ascii="Times New Roman CYR" w:hAnsi="Times New Roman CYR"/>
          <w:sz w:val="24"/>
          <w:lang w:val="ru-RU"/>
        </w:rPr>
      </w:pPr>
    </w:p>
    <w:p w:rsidR="00126275" w:rsidRDefault="00126275">
      <w:pPr>
        <w:pStyle w:val="a3"/>
        <w:tabs>
          <w:tab w:val="left" w:pos="6237"/>
          <w:tab w:val="left" w:pos="6521"/>
        </w:tabs>
        <w:rPr>
          <w:rFonts w:ascii="Times New Roman CYR" w:hAnsi="Times New Roman CYR"/>
          <w:sz w:val="24"/>
          <w:lang w:val="ru-RU"/>
        </w:rPr>
      </w:pPr>
    </w:p>
    <w:p w:rsidR="00126275" w:rsidRDefault="00126275">
      <w:pPr>
        <w:pStyle w:val="a3"/>
        <w:tabs>
          <w:tab w:val="left" w:pos="6237"/>
          <w:tab w:val="left" w:pos="6521"/>
        </w:tabs>
        <w:jc w:val="center"/>
        <w:rPr>
          <w:rFonts w:ascii="Times New Roman CYR" w:hAnsi="Times New Roman CYR"/>
          <w:sz w:val="24"/>
          <w:lang w:val="ru-RU"/>
        </w:rPr>
      </w:pPr>
    </w:p>
    <w:p w:rsidR="00126275" w:rsidRDefault="00126275">
      <w:pPr>
        <w:pStyle w:val="a3"/>
        <w:tabs>
          <w:tab w:val="left" w:pos="6237"/>
          <w:tab w:val="left" w:pos="6521"/>
        </w:tabs>
        <w:jc w:val="center"/>
        <w:rPr>
          <w:rFonts w:ascii="Times New Roman CYR" w:hAnsi="Times New Roman CYR"/>
          <w:sz w:val="24"/>
          <w:lang w:val="ru-RU"/>
        </w:rPr>
      </w:pPr>
    </w:p>
    <w:p w:rsidR="00126275" w:rsidRDefault="00481C26">
      <w:pPr>
        <w:pStyle w:val="a3"/>
        <w:tabs>
          <w:tab w:val="left" w:pos="6237"/>
          <w:tab w:val="left" w:pos="6521"/>
        </w:tabs>
        <w:jc w:val="center"/>
        <w:rPr>
          <w:rFonts w:ascii="Times New Roman CYR" w:hAnsi="Times New Roman CYR"/>
          <w:sz w:val="24"/>
          <w:lang w:val="ru-RU"/>
        </w:rPr>
      </w:pPr>
      <w:r>
        <w:rPr>
          <w:rFonts w:ascii="Times New Roman CYR" w:hAnsi="Times New Roman CYR"/>
          <w:sz w:val="24"/>
          <w:lang w:val="ru-RU"/>
        </w:rPr>
        <w:t>ТЮМЕНЬ - 1997</w:t>
      </w:r>
    </w:p>
    <w:p w:rsidR="00126275" w:rsidRDefault="00126275">
      <w:pPr>
        <w:pStyle w:val="a3"/>
        <w:tabs>
          <w:tab w:val="left" w:pos="6237"/>
          <w:tab w:val="left" w:pos="6521"/>
        </w:tabs>
        <w:rPr>
          <w:rFonts w:ascii="Times New Roman CYR" w:hAnsi="Times New Roman CYR"/>
          <w:sz w:val="24"/>
          <w:lang w:val="ru-RU"/>
        </w:rPr>
      </w:pPr>
    </w:p>
    <w:p w:rsidR="00126275" w:rsidRDefault="00126275">
      <w:pPr>
        <w:pStyle w:val="a3"/>
        <w:tabs>
          <w:tab w:val="left" w:pos="6237"/>
          <w:tab w:val="left" w:pos="6521"/>
        </w:tabs>
        <w:ind w:left="567"/>
        <w:rPr>
          <w:rFonts w:ascii="Times New Roman CYR" w:hAnsi="Times New Roman CYR"/>
          <w:sz w:val="24"/>
          <w:lang w:val="ru-RU"/>
        </w:rPr>
      </w:pPr>
    </w:p>
    <w:p w:rsidR="00126275" w:rsidRDefault="00481C26">
      <w:pPr>
        <w:pStyle w:val="a3"/>
        <w:tabs>
          <w:tab w:val="left" w:pos="6237"/>
          <w:tab w:val="left" w:pos="6521"/>
        </w:tabs>
        <w:ind w:left="567"/>
        <w:rPr>
          <w:rFonts w:ascii="Times New Roman CYR" w:hAnsi="Times New Roman CYR"/>
          <w:sz w:val="32"/>
          <w:lang w:val="ru-RU"/>
        </w:rPr>
      </w:pPr>
      <w:r>
        <w:rPr>
          <w:rFonts w:ascii="Times New Roman CYR" w:hAnsi="Times New Roman CYR"/>
          <w:sz w:val="32"/>
          <w:lang w:val="ru-RU"/>
        </w:rPr>
        <w:t>План работы</w:t>
      </w:r>
    </w:p>
    <w:p w:rsidR="00126275" w:rsidRDefault="00481C26">
      <w:pPr>
        <w:pStyle w:val="a3"/>
        <w:tabs>
          <w:tab w:val="left" w:pos="6237"/>
          <w:tab w:val="left" w:pos="6521"/>
          <w:tab w:val="left" w:pos="8080"/>
        </w:tabs>
        <w:ind w:left="567"/>
        <w:rPr>
          <w:rFonts w:ascii="Times New Roman CYR" w:hAnsi="Times New Roman CYR"/>
          <w:sz w:val="32"/>
          <w:lang w:val="ru-RU"/>
        </w:rPr>
      </w:pPr>
      <w:r>
        <w:rPr>
          <w:rFonts w:ascii="Times New Roman CYR" w:hAnsi="Times New Roman CYR"/>
          <w:sz w:val="32"/>
          <w:lang w:val="ru-RU"/>
        </w:rPr>
        <w:t>Введение</w:t>
      </w:r>
      <w:r>
        <w:rPr>
          <w:rFonts w:ascii="Times New Roman CYR" w:hAnsi="Times New Roman CYR"/>
          <w:sz w:val="32"/>
          <w:lang w:val="ru-RU"/>
        </w:rPr>
        <w:tab/>
      </w:r>
      <w:r>
        <w:rPr>
          <w:rFonts w:ascii="Times New Roman CYR" w:hAnsi="Times New Roman CYR"/>
          <w:sz w:val="32"/>
          <w:lang w:val="ru-RU"/>
        </w:rPr>
        <w:tab/>
      </w:r>
      <w:r>
        <w:rPr>
          <w:rFonts w:ascii="Times New Roman CYR" w:hAnsi="Times New Roman CYR"/>
          <w:sz w:val="32"/>
          <w:lang w:val="ru-RU"/>
        </w:rPr>
        <w:tab/>
        <w:t>3 - 5</w:t>
      </w:r>
    </w:p>
    <w:p w:rsidR="00126275" w:rsidRDefault="00126275">
      <w:pPr>
        <w:pStyle w:val="a3"/>
        <w:tabs>
          <w:tab w:val="left" w:pos="6237"/>
          <w:tab w:val="left" w:pos="6521"/>
        </w:tabs>
        <w:ind w:left="567"/>
        <w:rPr>
          <w:rFonts w:ascii="Times New Roman CYR" w:hAnsi="Times New Roman CYR"/>
          <w:sz w:val="32"/>
          <w:lang w:val="ru-RU"/>
        </w:rPr>
      </w:pPr>
    </w:p>
    <w:p w:rsidR="00126275" w:rsidRDefault="00481C26">
      <w:pPr>
        <w:pStyle w:val="a3"/>
        <w:tabs>
          <w:tab w:val="left" w:pos="6237"/>
          <w:tab w:val="left" w:pos="6521"/>
        </w:tabs>
        <w:ind w:left="567"/>
        <w:rPr>
          <w:rFonts w:ascii="Times New Roman CYR" w:hAnsi="Times New Roman CYR"/>
          <w:sz w:val="32"/>
        </w:rPr>
      </w:pPr>
      <w:r>
        <w:rPr>
          <w:rFonts w:ascii="Times New Roman CYR" w:hAnsi="Times New Roman CYR"/>
          <w:sz w:val="32"/>
          <w:lang w:val="ru-RU"/>
        </w:rPr>
        <w:t xml:space="preserve">Глава  </w:t>
      </w:r>
      <w:r>
        <w:rPr>
          <w:rFonts w:ascii="Times New Roman CYR" w:hAnsi="Times New Roman CYR"/>
          <w:sz w:val="32"/>
        </w:rPr>
        <w:t xml:space="preserve">I </w:t>
      </w:r>
    </w:p>
    <w:p w:rsidR="00126275" w:rsidRDefault="00481C26">
      <w:pPr>
        <w:pStyle w:val="a3"/>
        <w:tabs>
          <w:tab w:val="left" w:pos="6237"/>
          <w:tab w:val="left" w:pos="6521"/>
          <w:tab w:val="left" w:pos="8080"/>
        </w:tabs>
        <w:ind w:left="567"/>
        <w:rPr>
          <w:rFonts w:ascii="Times New Roman CYR" w:hAnsi="Times New Roman CYR"/>
          <w:sz w:val="32"/>
          <w:lang w:val="ru-RU"/>
        </w:rPr>
      </w:pPr>
      <w:r>
        <w:rPr>
          <w:rFonts w:ascii="Times New Roman CYR" w:hAnsi="Times New Roman CYR"/>
          <w:sz w:val="32"/>
          <w:lang w:val="ru-RU"/>
        </w:rPr>
        <w:t>Понятие и виды ценных бумаг</w:t>
      </w:r>
      <w:r>
        <w:rPr>
          <w:rFonts w:ascii="Times New Roman CYR" w:hAnsi="Times New Roman CYR"/>
          <w:sz w:val="32"/>
          <w:lang w:val="ru-RU"/>
        </w:rPr>
        <w:tab/>
      </w:r>
      <w:r>
        <w:rPr>
          <w:rFonts w:ascii="Times New Roman CYR" w:hAnsi="Times New Roman CYR"/>
          <w:sz w:val="32"/>
          <w:lang w:val="ru-RU"/>
        </w:rPr>
        <w:tab/>
      </w:r>
      <w:r>
        <w:rPr>
          <w:rFonts w:ascii="Times New Roman CYR" w:hAnsi="Times New Roman CYR"/>
          <w:sz w:val="32"/>
          <w:lang w:val="ru-RU"/>
        </w:rPr>
        <w:tab/>
        <w:t>6 - 16</w:t>
      </w:r>
    </w:p>
    <w:p w:rsidR="00126275" w:rsidRDefault="00481C26">
      <w:pPr>
        <w:pStyle w:val="a3"/>
        <w:tabs>
          <w:tab w:val="left" w:pos="6237"/>
          <w:tab w:val="left" w:pos="6521"/>
          <w:tab w:val="left" w:pos="8080"/>
        </w:tabs>
        <w:ind w:left="567"/>
        <w:rPr>
          <w:rFonts w:ascii="Times New Roman CYR" w:hAnsi="Times New Roman CYR"/>
          <w:sz w:val="32"/>
          <w:lang w:val="ru-RU"/>
        </w:rPr>
      </w:pPr>
      <w:r>
        <w:rPr>
          <w:rFonts w:ascii="Times New Roman CYR" w:hAnsi="Times New Roman CYR"/>
          <w:sz w:val="32"/>
          <w:lang w:val="ru-RU"/>
        </w:rPr>
        <w:t xml:space="preserve"> 1. Природа и признаки ценных бумаг</w:t>
      </w:r>
      <w:r>
        <w:rPr>
          <w:rFonts w:ascii="Times New Roman CYR" w:hAnsi="Times New Roman CYR"/>
          <w:sz w:val="32"/>
          <w:lang w:val="ru-RU"/>
        </w:rPr>
        <w:tab/>
      </w:r>
      <w:r>
        <w:rPr>
          <w:rFonts w:ascii="Times New Roman CYR" w:hAnsi="Times New Roman CYR"/>
          <w:sz w:val="32"/>
          <w:lang w:val="ru-RU"/>
        </w:rPr>
        <w:tab/>
      </w:r>
      <w:r>
        <w:rPr>
          <w:rFonts w:ascii="Times New Roman CYR" w:hAnsi="Times New Roman CYR"/>
          <w:sz w:val="32"/>
          <w:lang w:val="ru-RU"/>
        </w:rPr>
        <w:tab/>
        <w:t>6  - 11</w:t>
      </w:r>
    </w:p>
    <w:p w:rsidR="00126275" w:rsidRDefault="00481C26">
      <w:pPr>
        <w:pStyle w:val="a3"/>
        <w:tabs>
          <w:tab w:val="left" w:pos="6237"/>
          <w:tab w:val="left" w:pos="6521"/>
          <w:tab w:val="left" w:pos="8080"/>
        </w:tabs>
        <w:ind w:left="567"/>
        <w:rPr>
          <w:rFonts w:ascii="Times New Roman CYR" w:hAnsi="Times New Roman CYR"/>
          <w:sz w:val="32"/>
          <w:lang w:val="ru-RU"/>
        </w:rPr>
      </w:pPr>
      <w:r>
        <w:rPr>
          <w:rFonts w:ascii="Times New Roman CYR" w:hAnsi="Times New Roman CYR"/>
          <w:sz w:val="32"/>
          <w:lang w:val="ru-RU"/>
        </w:rPr>
        <w:t>а) Двойственность ценных бумаг</w:t>
      </w:r>
      <w:r>
        <w:rPr>
          <w:rFonts w:ascii="Times New Roman CYR" w:hAnsi="Times New Roman CYR"/>
          <w:sz w:val="32"/>
          <w:lang w:val="ru-RU"/>
        </w:rPr>
        <w:tab/>
      </w:r>
      <w:r>
        <w:rPr>
          <w:rFonts w:ascii="Times New Roman CYR" w:hAnsi="Times New Roman CYR"/>
          <w:sz w:val="32"/>
          <w:lang w:val="ru-RU"/>
        </w:rPr>
        <w:tab/>
      </w:r>
      <w:r>
        <w:rPr>
          <w:rFonts w:ascii="Times New Roman CYR" w:hAnsi="Times New Roman CYR"/>
          <w:sz w:val="32"/>
          <w:lang w:val="ru-RU"/>
        </w:rPr>
        <w:tab/>
        <w:t>6 - 8</w:t>
      </w:r>
    </w:p>
    <w:p w:rsidR="00126275" w:rsidRDefault="00481C26">
      <w:pPr>
        <w:pStyle w:val="a3"/>
        <w:tabs>
          <w:tab w:val="left" w:pos="6237"/>
          <w:tab w:val="left" w:pos="6521"/>
          <w:tab w:val="left" w:pos="8080"/>
        </w:tabs>
        <w:ind w:left="567"/>
        <w:rPr>
          <w:rFonts w:ascii="Times New Roman CYR" w:hAnsi="Times New Roman CYR"/>
          <w:sz w:val="32"/>
          <w:lang w:val="ru-RU"/>
        </w:rPr>
      </w:pPr>
      <w:r>
        <w:rPr>
          <w:rFonts w:ascii="Times New Roman CYR" w:hAnsi="Times New Roman CYR"/>
          <w:sz w:val="32"/>
          <w:lang w:val="ru-RU"/>
        </w:rPr>
        <w:t>б) Признаки ценных бумаг</w:t>
      </w:r>
      <w:r>
        <w:rPr>
          <w:rFonts w:ascii="Times New Roman CYR" w:hAnsi="Times New Roman CYR"/>
          <w:sz w:val="32"/>
          <w:lang w:val="ru-RU"/>
        </w:rPr>
        <w:tab/>
      </w:r>
      <w:r>
        <w:rPr>
          <w:rFonts w:ascii="Times New Roman CYR" w:hAnsi="Times New Roman CYR"/>
          <w:sz w:val="32"/>
          <w:lang w:val="ru-RU"/>
        </w:rPr>
        <w:tab/>
      </w:r>
      <w:r>
        <w:rPr>
          <w:rFonts w:ascii="Times New Roman CYR" w:hAnsi="Times New Roman CYR"/>
          <w:sz w:val="32"/>
          <w:lang w:val="ru-RU"/>
        </w:rPr>
        <w:tab/>
        <w:t>8 - 11</w:t>
      </w:r>
    </w:p>
    <w:p w:rsidR="00126275" w:rsidRDefault="00481C26">
      <w:pPr>
        <w:pStyle w:val="a3"/>
        <w:tabs>
          <w:tab w:val="left" w:pos="6237"/>
          <w:tab w:val="left" w:pos="6521"/>
          <w:tab w:val="left" w:pos="8080"/>
        </w:tabs>
        <w:ind w:left="567"/>
        <w:rPr>
          <w:rFonts w:ascii="Times New Roman CYR" w:hAnsi="Times New Roman CYR"/>
          <w:sz w:val="32"/>
          <w:lang w:val="ru-RU"/>
        </w:rPr>
      </w:pPr>
      <w:r>
        <w:rPr>
          <w:rFonts w:ascii="Times New Roman CYR" w:hAnsi="Times New Roman CYR"/>
          <w:sz w:val="32"/>
          <w:lang w:val="ru-RU"/>
        </w:rPr>
        <w:t xml:space="preserve">2. Классификация ценных бумаг </w:t>
      </w:r>
      <w:r>
        <w:rPr>
          <w:rFonts w:ascii="Times New Roman CYR" w:hAnsi="Times New Roman CYR"/>
          <w:sz w:val="32"/>
          <w:lang w:val="ru-RU"/>
        </w:rPr>
        <w:tab/>
      </w:r>
      <w:r>
        <w:rPr>
          <w:rFonts w:ascii="Times New Roman CYR" w:hAnsi="Times New Roman CYR"/>
          <w:sz w:val="32"/>
          <w:lang w:val="ru-RU"/>
        </w:rPr>
        <w:tab/>
      </w:r>
      <w:r>
        <w:rPr>
          <w:rFonts w:ascii="Times New Roman CYR" w:hAnsi="Times New Roman CYR"/>
          <w:sz w:val="32"/>
          <w:lang w:val="ru-RU"/>
        </w:rPr>
        <w:tab/>
        <w:t>12 - 16</w:t>
      </w:r>
    </w:p>
    <w:p w:rsidR="00126275" w:rsidRDefault="00481C26">
      <w:pPr>
        <w:pStyle w:val="a3"/>
        <w:tabs>
          <w:tab w:val="left" w:pos="6237"/>
          <w:tab w:val="left" w:pos="6521"/>
        </w:tabs>
        <w:ind w:left="567"/>
        <w:rPr>
          <w:rFonts w:ascii="Times New Roman CYR" w:hAnsi="Times New Roman CYR"/>
          <w:sz w:val="32"/>
        </w:rPr>
      </w:pPr>
      <w:r>
        <w:rPr>
          <w:rFonts w:ascii="Times New Roman CYR" w:hAnsi="Times New Roman CYR"/>
          <w:sz w:val="32"/>
          <w:lang w:val="ru-RU"/>
        </w:rPr>
        <w:t xml:space="preserve">Глава  </w:t>
      </w:r>
      <w:r>
        <w:rPr>
          <w:rFonts w:ascii="Times New Roman CYR" w:hAnsi="Times New Roman CYR"/>
          <w:sz w:val="32"/>
        </w:rPr>
        <w:t>II</w:t>
      </w:r>
    </w:p>
    <w:p w:rsidR="00126275" w:rsidRDefault="00481C26">
      <w:pPr>
        <w:pStyle w:val="a3"/>
        <w:tabs>
          <w:tab w:val="left" w:pos="6237"/>
          <w:tab w:val="left" w:pos="6521"/>
          <w:tab w:val="left" w:pos="8080"/>
        </w:tabs>
        <w:ind w:left="567"/>
        <w:rPr>
          <w:rFonts w:ascii="Times New Roman CYR" w:hAnsi="Times New Roman CYR"/>
          <w:sz w:val="32"/>
        </w:rPr>
      </w:pPr>
      <w:r>
        <w:rPr>
          <w:rFonts w:ascii="Times New Roman CYR" w:hAnsi="Times New Roman CYR"/>
          <w:sz w:val="32"/>
          <w:lang w:val="ru-RU"/>
        </w:rPr>
        <w:t>Источники. Обращение ценных бумаг</w:t>
      </w:r>
      <w:r>
        <w:rPr>
          <w:rFonts w:ascii="Times New Roman CYR" w:hAnsi="Times New Roman CYR"/>
          <w:sz w:val="32"/>
          <w:lang w:val="ru-RU"/>
        </w:rPr>
        <w:tab/>
      </w:r>
      <w:r>
        <w:rPr>
          <w:rFonts w:ascii="Times New Roman CYR" w:hAnsi="Times New Roman CYR"/>
          <w:sz w:val="32"/>
          <w:lang w:val="ru-RU"/>
        </w:rPr>
        <w:tab/>
      </w:r>
      <w:r>
        <w:rPr>
          <w:rFonts w:ascii="Times New Roman CYR" w:hAnsi="Times New Roman CYR"/>
          <w:sz w:val="32"/>
          <w:lang w:val="ru-RU"/>
        </w:rPr>
        <w:tab/>
        <w:t>17 - 23</w:t>
      </w:r>
    </w:p>
    <w:p w:rsidR="00126275" w:rsidRDefault="00481C26">
      <w:pPr>
        <w:pStyle w:val="a3"/>
        <w:tabs>
          <w:tab w:val="left" w:pos="6237"/>
          <w:tab w:val="left" w:pos="6521"/>
          <w:tab w:val="left" w:pos="8080"/>
        </w:tabs>
        <w:ind w:left="850" w:hanging="283"/>
        <w:rPr>
          <w:rFonts w:ascii="Times New Roman CYR" w:hAnsi="Times New Roman CYR"/>
          <w:sz w:val="32"/>
        </w:rPr>
      </w:pPr>
      <w:r>
        <w:rPr>
          <w:rFonts w:ascii="Times New Roman CYR" w:hAnsi="Times New Roman CYR"/>
          <w:sz w:val="32"/>
          <w:lang w:val="ru-RU"/>
        </w:rPr>
        <w:t>1.Оборот ценных бумаг</w:t>
      </w:r>
      <w:r>
        <w:rPr>
          <w:rFonts w:ascii="Times New Roman CYR" w:hAnsi="Times New Roman CYR"/>
          <w:sz w:val="32"/>
          <w:lang w:val="ru-RU"/>
        </w:rPr>
        <w:tab/>
      </w:r>
      <w:r>
        <w:rPr>
          <w:rFonts w:ascii="Times New Roman CYR" w:hAnsi="Times New Roman CYR"/>
          <w:sz w:val="32"/>
          <w:lang w:val="ru-RU"/>
        </w:rPr>
        <w:tab/>
      </w:r>
      <w:r>
        <w:rPr>
          <w:rFonts w:ascii="Times New Roman CYR" w:hAnsi="Times New Roman CYR"/>
          <w:sz w:val="32"/>
          <w:lang w:val="ru-RU"/>
        </w:rPr>
        <w:tab/>
        <w:t>17 - 19</w:t>
      </w:r>
    </w:p>
    <w:p w:rsidR="00126275" w:rsidRDefault="00481C26">
      <w:pPr>
        <w:pStyle w:val="a3"/>
        <w:tabs>
          <w:tab w:val="left" w:pos="6237"/>
          <w:tab w:val="left" w:pos="6521"/>
        </w:tabs>
        <w:ind w:left="567"/>
        <w:rPr>
          <w:rFonts w:ascii="Times New Roman CYR" w:hAnsi="Times New Roman CYR"/>
          <w:sz w:val="32"/>
          <w:lang w:val="ru-RU"/>
        </w:rPr>
      </w:pPr>
      <w:r>
        <w:rPr>
          <w:rFonts w:ascii="Times New Roman CYR" w:hAnsi="Times New Roman CYR"/>
          <w:sz w:val="32"/>
          <w:lang w:val="ru-RU"/>
        </w:rPr>
        <w:t xml:space="preserve">2. Источники правового регулирования  </w:t>
      </w:r>
    </w:p>
    <w:p w:rsidR="00126275" w:rsidRDefault="00481C26">
      <w:pPr>
        <w:pStyle w:val="a3"/>
        <w:tabs>
          <w:tab w:val="left" w:pos="6237"/>
          <w:tab w:val="left" w:pos="6521"/>
          <w:tab w:val="left" w:pos="8080"/>
        </w:tabs>
        <w:ind w:left="567"/>
        <w:rPr>
          <w:rFonts w:ascii="Times New Roman CYR" w:hAnsi="Times New Roman CYR"/>
          <w:sz w:val="32"/>
        </w:rPr>
      </w:pPr>
      <w:r>
        <w:rPr>
          <w:rFonts w:ascii="Times New Roman CYR" w:hAnsi="Times New Roman CYR"/>
          <w:sz w:val="32"/>
          <w:lang w:val="ru-RU"/>
        </w:rPr>
        <w:t>вопросов эмиссии и обращения ценных бумаг</w:t>
      </w:r>
      <w:r>
        <w:rPr>
          <w:rFonts w:ascii="Times New Roman CYR" w:hAnsi="Times New Roman CYR"/>
          <w:sz w:val="32"/>
          <w:lang w:val="ru-RU"/>
        </w:rPr>
        <w:tab/>
      </w:r>
      <w:r>
        <w:rPr>
          <w:rFonts w:ascii="Times New Roman CYR" w:hAnsi="Times New Roman CYR"/>
          <w:sz w:val="32"/>
          <w:lang w:val="ru-RU"/>
        </w:rPr>
        <w:tab/>
        <w:t>20 - 23</w:t>
      </w:r>
    </w:p>
    <w:p w:rsidR="00126275" w:rsidRDefault="00126275">
      <w:pPr>
        <w:pStyle w:val="a3"/>
        <w:tabs>
          <w:tab w:val="left" w:pos="6237"/>
          <w:tab w:val="left" w:pos="6521"/>
        </w:tabs>
        <w:ind w:left="567"/>
        <w:rPr>
          <w:rFonts w:ascii="Times New Roman CYR" w:hAnsi="Times New Roman CYR"/>
          <w:sz w:val="32"/>
        </w:rPr>
      </w:pPr>
    </w:p>
    <w:p w:rsidR="00126275" w:rsidRDefault="00481C26">
      <w:pPr>
        <w:pStyle w:val="a3"/>
        <w:tabs>
          <w:tab w:val="left" w:pos="6237"/>
          <w:tab w:val="left" w:pos="6521"/>
          <w:tab w:val="left" w:pos="8080"/>
        </w:tabs>
        <w:ind w:left="567"/>
        <w:rPr>
          <w:rFonts w:ascii="Times New Roman CYR" w:hAnsi="Times New Roman CYR"/>
          <w:sz w:val="32"/>
          <w:lang w:val="ru-RU"/>
        </w:rPr>
      </w:pPr>
      <w:r>
        <w:rPr>
          <w:rFonts w:ascii="Times New Roman CYR" w:hAnsi="Times New Roman CYR"/>
          <w:sz w:val="32"/>
          <w:lang w:val="ru-RU"/>
        </w:rPr>
        <w:t>Заключение</w:t>
      </w:r>
      <w:r>
        <w:rPr>
          <w:rFonts w:ascii="Times New Roman CYR" w:hAnsi="Times New Roman CYR"/>
          <w:sz w:val="32"/>
          <w:lang w:val="ru-RU"/>
        </w:rPr>
        <w:tab/>
      </w:r>
      <w:r>
        <w:rPr>
          <w:rFonts w:ascii="Times New Roman CYR" w:hAnsi="Times New Roman CYR"/>
          <w:sz w:val="32"/>
          <w:lang w:val="ru-RU"/>
        </w:rPr>
        <w:tab/>
      </w:r>
      <w:r>
        <w:rPr>
          <w:rFonts w:ascii="Times New Roman CYR" w:hAnsi="Times New Roman CYR"/>
          <w:sz w:val="32"/>
          <w:lang w:val="ru-RU"/>
        </w:rPr>
        <w:tab/>
        <w:t>24 - 25</w:t>
      </w:r>
    </w:p>
    <w:p w:rsidR="00126275" w:rsidRDefault="00126275">
      <w:pPr>
        <w:pStyle w:val="a3"/>
        <w:tabs>
          <w:tab w:val="left" w:pos="6237"/>
          <w:tab w:val="left" w:pos="6521"/>
        </w:tabs>
        <w:ind w:left="567"/>
        <w:rPr>
          <w:rFonts w:ascii="Times New Roman CYR" w:hAnsi="Times New Roman CYR"/>
          <w:sz w:val="32"/>
          <w:lang w:val="ru-RU"/>
        </w:rPr>
      </w:pPr>
    </w:p>
    <w:p w:rsidR="00126275" w:rsidRDefault="00481C26">
      <w:pPr>
        <w:pStyle w:val="a3"/>
        <w:tabs>
          <w:tab w:val="left" w:pos="6237"/>
          <w:tab w:val="left" w:pos="6521"/>
          <w:tab w:val="left" w:pos="8080"/>
        </w:tabs>
        <w:ind w:left="567"/>
        <w:rPr>
          <w:rFonts w:ascii="Times New Roman CYR" w:hAnsi="Times New Roman CYR"/>
          <w:sz w:val="24"/>
          <w:lang w:val="ru-RU"/>
        </w:rPr>
      </w:pPr>
      <w:r>
        <w:rPr>
          <w:rFonts w:ascii="Times New Roman CYR" w:hAnsi="Times New Roman CYR"/>
          <w:sz w:val="32"/>
          <w:lang w:val="ru-RU"/>
        </w:rPr>
        <w:t>Список использованной литературы</w:t>
      </w:r>
      <w:r>
        <w:rPr>
          <w:rFonts w:ascii="Times New Roman CYR" w:hAnsi="Times New Roman CYR"/>
          <w:sz w:val="32"/>
          <w:lang w:val="ru-RU"/>
        </w:rPr>
        <w:tab/>
      </w:r>
      <w:r>
        <w:rPr>
          <w:rFonts w:ascii="Times New Roman CYR" w:hAnsi="Times New Roman CYR"/>
          <w:sz w:val="32"/>
          <w:lang w:val="ru-RU"/>
        </w:rPr>
        <w:tab/>
      </w:r>
      <w:r>
        <w:rPr>
          <w:rFonts w:ascii="Times New Roman CYR" w:hAnsi="Times New Roman CYR"/>
          <w:sz w:val="32"/>
          <w:lang w:val="ru-RU"/>
        </w:rPr>
        <w:tab/>
        <w:t>26 - 27</w:t>
      </w:r>
    </w:p>
    <w:p w:rsidR="00126275" w:rsidRDefault="00126275">
      <w:pPr>
        <w:pStyle w:val="a3"/>
        <w:tabs>
          <w:tab w:val="left" w:pos="6237"/>
          <w:tab w:val="left" w:pos="6521"/>
        </w:tabs>
        <w:ind w:left="567"/>
        <w:rPr>
          <w:rFonts w:ascii="Times New Roman CYR" w:hAnsi="Times New Roman CYR"/>
          <w:sz w:val="24"/>
          <w:lang w:val="ru-RU"/>
        </w:rPr>
      </w:pPr>
    </w:p>
    <w:p w:rsidR="00126275" w:rsidRDefault="00126275">
      <w:pPr>
        <w:pStyle w:val="a3"/>
        <w:tabs>
          <w:tab w:val="left" w:pos="6237"/>
          <w:tab w:val="left" w:pos="6521"/>
        </w:tabs>
        <w:ind w:left="567"/>
        <w:jc w:val="center"/>
        <w:rPr>
          <w:rFonts w:ascii="Times New Roman CYR" w:hAnsi="Times New Roman CYR"/>
          <w:sz w:val="24"/>
          <w:lang w:val="ru-RU"/>
        </w:rPr>
      </w:pPr>
    </w:p>
    <w:p w:rsidR="00126275" w:rsidRDefault="00481C26">
      <w:pPr>
        <w:pStyle w:val="a3"/>
        <w:tabs>
          <w:tab w:val="left" w:pos="6237"/>
          <w:tab w:val="left" w:pos="6521"/>
        </w:tabs>
        <w:ind w:left="567"/>
        <w:jc w:val="center"/>
        <w:rPr>
          <w:rFonts w:ascii="Academy" w:hAnsi="Academy"/>
          <w:sz w:val="40"/>
          <w:lang w:val="ru-RU"/>
        </w:rPr>
      </w:pPr>
      <w:r>
        <w:rPr>
          <w:rFonts w:ascii="Times New Roman CYR" w:hAnsi="Times New Roman CYR"/>
          <w:sz w:val="44"/>
          <w:lang w:val="ru-RU"/>
        </w:rPr>
        <w:t>Введение</w:t>
      </w:r>
    </w:p>
    <w:p w:rsidR="00126275" w:rsidRDefault="00126275">
      <w:pPr>
        <w:pStyle w:val="a3"/>
        <w:tabs>
          <w:tab w:val="left" w:pos="6237"/>
          <w:tab w:val="left" w:pos="6521"/>
        </w:tabs>
        <w:ind w:left="567"/>
        <w:rPr>
          <w:rFonts w:ascii="Times New Roman CYR" w:hAnsi="Times New Roman CYR"/>
          <w:sz w:val="24"/>
          <w:lang w:val="ru-RU"/>
        </w:rPr>
      </w:pPr>
    </w:p>
    <w:p w:rsidR="00126275" w:rsidRDefault="00126275">
      <w:pPr>
        <w:pStyle w:val="a3"/>
        <w:tabs>
          <w:tab w:val="left" w:pos="6237"/>
          <w:tab w:val="left" w:pos="6521"/>
        </w:tabs>
        <w:ind w:left="567"/>
        <w:rPr>
          <w:rFonts w:ascii="Times New Roman CYR" w:hAnsi="Times New Roman CYR"/>
          <w:sz w:val="24"/>
          <w:lang w:val="ru-RU"/>
        </w:rPr>
      </w:pP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Законодательство, регулирующее рынок ценных бумаг, далеко от совершенства. Тем не менее сам рынок есть, он функционирует и развивается; он оказывает влияние на положение дел в государстве и способствует развитию предпринимательства.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Ранее, до наступления рыночных отношений, в полностью огосударствленной экономике, оборот ценных бумаг был очень небольшим и был представлен облигациями (целевыми и нецелевыми), сберегательными книжками на предъявителя, выигрышными лотерейными билетами, аккредитивами гострудсберкасс. Между юридическими лицами использовались расчетные чеки. С развитием рыночных отношений увеличилось количество видов ценных бумаг и стал формироваться фондовый рынок.</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Относительно серьезно рынок ценных бумаг начал работать в России в 1991 году  и тогда же началось активное законотворчество в этой области. К 1993 году в Российской Федерации действовало уже около 100 нормативных актов, регулирующих эту сферу деятельности.</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целом, действующее законодательство наиболее полно регулирует такие вопросы, как допуск тех или иных лиц на рынок ценных бумаг, порядок и условия лицензирования профессиональных участников. В последнее время появляется все больше нормативных актов, посвященных вопросам защиты прав и интересов инвесторов, а также усилению государственного контроля в данной сфере.</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 xml:space="preserve">Важной вехой в развитии законодательства о ценных бумагах явилось принятие 30 ноября 1994 года части </w:t>
      </w:r>
      <w:r>
        <w:rPr>
          <w:rFonts w:ascii="Times New Roman CYR" w:hAnsi="Times New Roman CYR"/>
          <w:sz w:val="24"/>
        </w:rPr>
        <w:t>I</w:t>
      </w:r>
      <w:r>
        <w:rPr>
          <w:rFonts w:ascii="Times New Roman CYR" w:hAnsi="Times New Roman CYR"/>
          <w:sz w:val="24"/>
          <w:lang w:val="ru-RU"/>
        </w:rPr>
        <w:t xml:space="preserve"> Гражданского Кодекса Российской Федерации, который был разработан на основе практического опыта правового регулирования рыночных отношений.</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ГК РФ включил в себя четко определенные категории правовых институтов, регулирующих имущественные права, осуществление  или передача которых возможны при предъявлении ценной бумаги.</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По сравнению с ранее действовавшим регулированием института ценных бумаг (в Основах гражданского законодательства Союза ССР и республик 1991 г.) в новом ГК РФ есть ряд существенных новелл. К их числу относятся: 1) новое определение понятия ценной бумаги в ст. 142 ГК РФ (введение в него обязательной формы и реквизитов; необходимости предъявления ценной бумаги для ее передачи; достаточность доказательства закрепления ценных бумаг в реестре (обычном или компьютеризированном) для осуществления и передачи прав, удостоверенных ценной бумагой); 2) критерием деления ценных бумаг на предъявительские, ордерные и именные законодателем выбран принцип сочетания двух способов - обозначения и легитимации управомоченного лица - ст. 145 ГК РФ; 3) порядок восстановления ценной бумаги - ст. 148 ГК РФ; 4) выделение института бездокументарных ценных бумаг - ст. 149 ГК РФ.</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Ценные бумаги - необходимый атрибут всякого рыночного хозяйства. Ранее во внутреннем гражданском обороте находилось лишь минимальное количество ценных бумаг, в основном выпущенных (эмитированных) государством: облигации, предъявительские сберкнижки и аккредитивы, выигравшие лотерейные билеты, а в расчетах между юридическими лицами мог использоваться расчетный чек.</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С переходом к рыночной экономике оборот ценных бумаг резко возрос, стал формироваться их рынок. Правда он касался лишь так называемых “фондовых”, или “инвестиционных”, ценных бумаг - акций и облигаций, а главное, получил крайне неудовлетворительную правовую регламентацию, недостатки которой составили базу для многих злоупотреблений.</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Важнейшими задачами рынка ценных бумаг являются обеспечение гибкого межотраслевого перераспределения инвестиционных ресурсов, привлечение инвестиций  на российские предприятия, создание условий для стимулирования накоплений и последующего их инвестирования. Для решения этих задач необходимо было создать надежную правовую базу.</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Федеральный Закон “О рынке ценных бумаг” - первый российский закон о ценных бумагах.</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Одна из главных задач, которую должен был решить Закон, - максимальная защита прав инвесторов и обеспечение правопорядка на рынке, при котором его участники четко выполняют требования законодательства.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Один из принципов, закрепленных в Законе, - сочетание вертикально-властного государственного регулирования с саморегулированием. Саморегулируемые организации получают блок полномочий и законный статус, а единая государственная политика на фондовом рынке обеспечивается путем концентрации полномочий в этой сфере в одном органе - Федеральной комиссии по рынку ценных бумаг, при этом ряд функций сохраняется за Банком России. Комиссия подчиняется непосредственно Президенту РФ, и этот факт свидетельствует о той значимости, которая придается фондовому рынку в экономике.</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законе положено начало установлению ответственности за использование служебной информации, а также выделена информация на рынке ценных бумаг как система отношений.</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Таким образом, Закон вносит упорядоченность и стабильность на рынке, без которого его интенсивное и качественное развитие практически невозможно.</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Рынок ценных бумаг является сферой отношений, бурно развивающейся последние несколько лет. Это относится не только к появлению новых финансовых инструментов, новых сегментов инфраструктуры рынка, но и к многочисленным попыткам их законодательного регулирования.</w:t>
      </w:r>
    </w:p>
    <w:p w:rsidR="00126275" w:rsidRDefault="00126275">
      <w:pPr>
        <w:pStyle w:val="a3"/>
        <w:tabs>
          <w:tab w:val="left" w:pos="6237"/>
          <w:tab w:val="left" w:pos="6521"/>
        </w:tabs>
        <w:ind w:left="567"/>
        <w:rPr>
          <w:rFonts w:ascii="Times New Roman CYR" w:hAnsi="Times New Roman CYR"/>
          <w:sz w:val="24"/>
          <w:lang w:val="ru-RU"/>
        </w:rPr>
      </w:pPr>
    </w:p>
    <w:p w:rsidR="00126275" w:rsidRDefault="00126275">
      <w:pPr>
        <w:pStyle w:val="a3"/>
        <w:tabs>
          <w:tab w:val="left" w:pos="6237"/>
          <w:tab w:val="left" w:pos="6521"/>
        </w:tabs>
        <w:ind w:left="567"/>
        <w:jc w:val="center"/>
        <w:rPr>
          <w:rFonts w:ascii="Times New Roman CYR" w:hAnsi="Times New Roman CYR"/>
          <w:sz w:val="24"/>
          <w:lang w:val="ru-RU"/>
        </w:rPr>
      </w:pPr>
    </w:p>
    <w:p w:rsidR="00126275" w:rsidRDefault="00481C26">
      <w:pPr>
        <w:pStyle w:val="a3"/>
        <w:tabs>
          <w:tab w:val="left" w:pos="6237"/>
          <w:tab w:val="left" w:pos="6521"/>
        </w:tabs>
        <w:ind w:left="567"/>
        <w:jc w:val="center"/>
        <w:rPr>
          <w:rFonts w:ascii="Arial" w:hAnsi="Arial"/>
          <w:sz w:val="40"/>
          <w:lang w:val="ru-RU"/>
        </w:rPr>
      </w:pPr>
      <w:r>
        <w:rPr>
          <w:rFonts w:ascii="Arial" w:hAnsi="Arial"/>
          <w:sz w:val="40"/>
          <w:lang w:val="ru-RU"/>
        </w:rPr>
        <w:t xml:space="preserve">Глава </w:t>
      </w:r>
      <w:r>
        <w:rPr>
          <w:rFonts w:ascii="Arial" w:hAnsi="Arial"/>
          <w:sz w:val="40"/>
        </w:rPr>
        <w:t>I</w:t>
      </w:r>
    </w:p>
    <w:p w:rsidR="00126275" w:rsidRDefault="00481C26">
      <w:pPr>
        <w:pStyle w:val="a3"/>
        <w:tabs>
          <w:tab w:val="left" w:pos="6237"/>
          <w:tab w:val="left" w:pos="6521"/>
        </w:tabs>
        <w:ind w:left="567"/>
        <w:jc w:val="center"/>
        <w:rPr>
          <w:rFonts w:ascii="Arial" w:hAnsi="Arial"/>
          <w:sz w:val="40"/>
          <w:lang w:val="ru-RU"/>
        </w:rPr>
      </w:pPr>
      <w:r>
        <w:rPr>
          <w:rFonts w:ascii="Arial" w:hAnsi="Arial"/>
          <w:sz w:val="40"/>
          <w:lang w:val="ru-RU"/>
        </w:rPr>
        <w:t>Понятие и виды ценных бумаг</w:t>
      </w:r>
    </w:p>
    <w:p w:rsidR="00126275" w:rsidRDefault="00126275">
      <w:pPr>
        <w:pStyle w:val="a3"/>
        <w:tabs>
          <w:tab w:val="left" w:pos="6237"/>
          <w:tab w:val="left" w:pos="6521"/>
        </w:tabs>
        <w:ind w:left="567"/>
        <w:jc w:val="center"/>
        <w:rPr>
          <w:rFonts w:ascii="Arial" w:hAnsi="Arial"/>
          <w:sz w:val="24"/>
          <w:lang w:val="ru-RU"/>
        </w:rPr>
      </w:pPr>
    </w:p>
    <w:p w:rsidR="00126275" w:rsidRDefault="00481C26">
      <w:pPr>
        <w:pStyle w:val="a3"/>
        <w:tabs>
          <w:tab w:val="left" w:pos="6237"/>
          <w:tab w:val="left" w:pos="6521"/>
        </w:tabs>
        <w:ind w:left="850" w:hanging="283"/>
        <w:rPr>
          <w:rFonts w:ascii="Arial" w:hAnsi="Arial"/>
          <w:sz w:val="36"/>
          <w:lang w:val="ru-RU"/>
        </w:rPr>
      </w:pPr>
      <w:r>
        <w:rPr>
          <w:rFonts w:ascii="Arial" w:hAnsi="Arial"/>
          <w:sz w:val="36"/>
          <w:lang w:val="ru-RU"/>
        </w:rPr>
        <w:t>1. Природа и признаки ценных бумаг</w:t>
      </w:r>
    </w:p>
    <w:p w:rsidR="00126275" w:rsidRDefault="00481C26">
      <w:pPr>
        <w:pStyle w:val="a3"/>
        <w:tabs>
          <w:tab w:val="left" w:pos="6237"/>
          <w:tab w:val="left" w:pos="6521"/>
        </w:tabs>
        <w:ind w:left="567"/>
        <w:rPr>
          <w:rFonts w:ascii="Arial" w:hAnsi="Arial"/>
          <w:sz w:val="36"/>
          <w:lang w:val="ru-RU"/>
        </w:rPr>
      </w:pPr>
      <w:r>
        <w:rPr>
          <w:rFonts w:ascii="Arial" w:hAnsi="Arial"/>
          <w:sz w:val="36"/>
          <w:lang w:val="ru-RU"/>
        </w:rPr>
        <w:t>а) Двойственность ценных бумаг</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Гражданский Кодекс по сравнению с ГК 1964 г. включает новую главу о ценных бумагах как объектах гражданских прав. В соответствии с общими принципами построения ГК седьмая глава содержит положения, характеризующая лишь общие для всех видов бумаг вопросы. Особенности выпуска и обращения отдельных видов ценных бумаг регулируются специальными актами, положения которых конкретизируют и дополняют нормы ГК.</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 xml:space="preserve">В пункте 1 статьи 142 Гражданского Кодекса содержится  классическое определение ценной бумаги как строго формального документа, удостоверяющего имущественные права, осуществление или передача которых возможны только при предъявлении этого документа. Отсюда следует, что ценная бумага представляет собой, во-первых, </w:t>
      </w:r>
      <w:r>
        <w:rPr>
          <w:rFonts w:ascii="Times New Roman CYR" w:hAnsi="Times New Roman CYR"/>
          <w:i/>
          <w:sz w:val="24"/>
          <w:lang w:val="ru-RU"/>
        </w:rPr>
        <w:t xml:space="preserve">документ, </w:t>
      </w:r>
      <w:r>
        <w:rPr>
          <w:rFonts w:ascii="Times New Roman CYR" w:hAnsi="Times New Roman CYR"/>
          <w:sz w:val="24"/>
          <w:lang w:val="ru-RU"/>
        </w:rPr>
        <w:t xml:space="preserve">удостоверяющий определенное имущественное право (в том числе право требования уплаты определенной денежной суммы, передачи определенного имущества); во-вторых, этот документ имеет </w:t>
      </w:r>
      <w:r>
        <w:rPr>
          <w:rFonts w:ascii="Times New Roman CYR" w:hAnsi="Times New Roman CYR"/>
          <w:i/>
          <w:sz w:val="24"/>
          <w:lang w:val="ru-RU"/>
        </w:rPr>
        <w:t xml:space="preserve">строгую форму и обязательные реквизиты, </w:t>
      </w:r>
      <w:r>
        <w:rPr>
          <w:rFonts w:ascii="Times New Roman CYR" w:hAnsi="Times New Roman CYR"/>
          <w:sz w:val="24"/>
          <w:lang w:val="ru-RU"/>
        </w:rPr>
        <w:t xml:space="preserve">отсутствие хотя одного из которых (либо неправильное его указание) делает бумагу ничтожной (п. 2 ст. 144 ГК); в третьих, этот документ </w:t>
      </w:r>
      <w:r>
        <w:rPr>
          <w:rFonts w:ascii="Times New Roman CYR" w:hAnsi="Times New Roman CYR"/>
          <w:i/>
          <w:sz w:val="24"/>
          <w:lang w:val="ru-RU"/>
        </w:rPr>
        <w:t xml:space="preserve">неразрывно связан с воплощенным в нем правом, </w:t>
      </w:r>
      <w:r>
        <w:rPr>
          <w:rFonts w:ascii="Times New Roman CYR" w:hAnsi="Times New Roman CYR"/>
          <w:sz w:val="24"/>
          <w:lang w:val="ru-RU"/>
        </w:rPr>
        <w:t>ибо реализовать это право или передать его другому лицу можно только путем соответствующего использования этого документа.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Ценными бумагами в юридическом смысле являются ценные документы, которые ценны не сами по себе, как бумаги - материальные предметы : в силу своих естественных свойств, а в силу содержащегося в них права на некоторую ценность.</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Любую ценную бумагу как специфический инструмент правового регулирования можно рассматривать в двух аспектах. Во-первых, как инструмент оформления каких-либо отношений, как правило, обязательственных. (Для российского рынка ценных бумаг обращение ценных бумаг с вещно-правовым содержанием не является актуальным.) Виды этих прав могут быть самыми различными.</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Таким образом, всегда можно говорить о правах, удостоверенных ценной бумагой, или о правах “из” ценной бумаги.</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Кроме этого ценная бумага является имуществом, объектом вещных прав и может быть объектом различных договоров. Таким образом, всегда можно говорить о правах “на” ценную бумагу, понимая под этим термином право собственности или иное вещное право.</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Любая ценная бумага характеризуется тесной и неразрывной связью между правами “на” ценную бумагу и правами “из” этой бумаги. Это, в частности, проявляется в классическом определении ценной бумаги, устанавливающем возможность осуществления “права из ценной бумаги” только в случае предъявления подлинника документа  -  ценной бумаги.</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настоящее время в связи с развитием безналичных ценных бумаг можно говорить о некоторой модификации этого определения.</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Однако та связь, которая устанавливает возможность осуществления прав из ценной бумаги в зависимости от обладания правами на ценную бумагу, должна существовать при любой форме выпуска. Это является одной из характеристик ценных бумаг, позволяющей отличить этот инструмент от имущественных прав, возникающих из договоров.</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С этой точки зрения многие так называемые суррогатные ценные бумаги, типа купчих на акции, являются именно подтверждением каких-либо договорных отношений и не приобретают самостоятельного, оторванного от этих отношений значения, то есть любая ценная бумага удостоверяет имущественное право, но не любое имущественное право удостоверяется ценной бумагой.</w:t>
      </w:r>
    </w:p>
    <w:p w:rsidR="00126275" w:rsidRDefault="00126275">
      <w:pPr>
        <w:pStyle w:val="a3"/>
        <w:tabs>
          <w:tab w:val="left" w:pos="6237"/>
          <w:tab w:val="left" w:pos="6521"/>
        </w:tabs>
        <w:ind w:left="567"/>
        <w:rPr>
          <w:rFonts w:ascii="Times New Roman CYR" w:hAnsi="Times New Roman CYR"/>
          <w:sz w:val="24"/>
          <w:lang w:val="ru-RU"/>
        </w:rPr>
      </w:pPr>
    </w:p>
    <w:p w:rsidR="00126275" w:rsidRDefault="00481C26">
      <w:pPr>
        <w:pStyle w:val="a3"/>
        <w:tabs>
          <w:tab w:val="left" w:pos="6237"/>
          <w:tab w:val="left" w:pos="6521"/>
        </w:tabs>
        <w:ind w:left="567"/>
        <w:rPr>
          <w:rFonts w:ascii="Arial" w:hAnsi="Arial"/>
          <w:sz w:val="36"/>
          <w:lang w:val="ru-RU"/>
        </w:rPr>
      </w:pPr>
      <w:r>
        <w:rPr>
          <w:rFonts w:ascii="Arial" w:hAnsi="Arial"/>
          <w:sz w:val="36"/>
          <w:lang w:val="ru-RU"/>
        </w:rPr>
        <w:t>б) Признаки ценных бумаг</w:t>
      </w:r>
    </w:p>
    <w:p w:rsidR="00126275" w:rsidRDefault="00126275">
      <w:pPr>
        <w:pStyle w:val="a3"/>
        <w:tabs>
          <w:tab w:val="left" w:pos="6237"/>
          <w:tab w:val="left" w:pos="6521"/>
        </w:tabs>
        <w:ind w:left="567"/>
        <w:rPr>
          <w:rFonts w:ascii="Times New Roman CYR" w:hAnsi="Times New Roman CYR"/>
          <w:sz w:val="24"/>
          <w:lang w:val="ru-RU"/>
        </w:rPr>
      </w:pP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При разработке положений Закона об эмиссионных ценных бумагах и их формах учитывались две концепции , отражающие различные подходы к понятию ценной бумаги. Согласно ГК РФ, ценная бумага - это документ, удостоверяющий комплекс прав. Следовательно, возникает два вида прав - вещное (“на ценную бумагу” как на вещь, ст. 128 ГК РФ) и обязательственные (права “из ценной бумаги”) - комплекс прав, удостоверяемых ценной бумагой (на доход, на управление и так далее).</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Противоречия, связанные с разными подходами, своеобразно проявляются и в Законе.</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Согласно ст. 2 Закона, под эмиссионной ценной бумагой понимается “любая ценная бумага, в том числе бездокументарная, которая характеризуется одновременно следующими признаками :</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-закрепляет совокупность имущественных и неимущественных прав, подлежащих удостоверению, уступке и безусловному осуществлению с соблюдением установленных настоящим Федеральным Законом формы и порядка;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-размещается выпусками;</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-имеет равные объем и сроки осуществления прав внутри одного выпуска, вне зависимости от времени приобретения ценных бумаг”.</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Прежде всего, как следует из определения ценной бумаги (ст. 142 ГК РФ), ценная бумага удостоверяет имущественное право.</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К сожалению, оперативность правового регулирования гражданско-правовых отношений, например, указами Президента или нормативными актами министерств и ведомств зачастую оборачивается появлением таких инструментов, которые не обладают указанным признаком и могут быть с юридической точки зрения отнесены к числу суррогатных ценных бумаг.</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данном случае в качестве примера можно привести жилищный сертификат. Одно из прав, которое имеет владелец жилищного сертификата, - это право на заключение договора купли-продажи квартиры. Не вдаваясь в целесообразность введения такого инструмента в гражданский оборот, хотелось бы отметить, что жилищный сертификат в том виде, в каком он регулируется Положением о жилищных сертификатах, с юридической точки зрения превращен в фикцию. Например, реализация права на заключение договора купли-продажи квартиры держателем жилищного сертификата возможна только при условии приобретения определенного количества жилищных сертификатов. Отдельный сертификат не предоставляет такого права.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качестве другого примера можно привести Казначейские обязательства, которые названы ценной бумагой только в нормативном акте Министерства финансов РФ. Одно из прав, которое может реализовать держатель КО, - это право на получение так называемого налогового освобождения. Кроме того, что такая налоговая льгота не основана на налоговом законодательстве, само по себе право на получение указанного налогового освобождения вряд ли можно отнести к числу имущественных гражданских прав. В данном случае речь идет по сути о взаимозачете обязательств, регулируемых разными отраслями законодательства. Одно из которых - задолженность перед федеральным бюджетом предметом регулирования гражданского законодательства не является.</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Такие инструменты можно назвать “узаконенными суррогатами”.</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От ценных бумаг необходимо отличать также так называемые легитимационные знаки. Почтовые марки, проездные билеты, театральные билеты, иные легитимационные знаки к ценным бумагам не относятся. Даже воплощая в себе имущественное право, как правило, неполно и неточно фиксируют содержащиеся в них обязательство, не определяют его предмет.</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Вторым признаком, характеризующим ценную бумагу, является формальный признак : ценная бумага должна быть названа в качестве таковой либо в Гражданском кодексе, либо, как предусмотрено ст. 143 ГК РФ, отнесена законами о ценных бумагах или в установленном ими порядке к числу ценных бумаг. Представляется, что действовавшая ранее норма Основ гражданского законодательства была более формализована, поскольку тот или иной инструмент мог быть отнесен к числу ценных бумаг в случае указания на это в законе, Указе Президента или постановлении Правительства.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Принятый во втором чтении проект Закона РФ “О рынке ценных бумаг” квалификацию ценных бумаг относит к компетенции Федеральной Комиссии по ценным бумагам и фондовому рынку. При этом, однако, не определена процедура принятия таких решений. Представляется очевидным, что такое решение должно приниматься не индивидуально-правовым, а нормативным актом. К сожалению, таких гарантий нет. Кроме того, такое положение Закона даст новый толчок в развитии ведомственного нормотворчества.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 xml:space="preserve">В настоящее время некоторые ценные бумаги, например, золотые сертификаты, жилищные сертификаты признаны ценными бумагами на основании соответственно постановления Правительства от 25 сентября 1993 года № 980 и Указа Президента РФ от 10 июня 1994 года № 1182. ГК РФ не относит указанные инструменты к числу ценных бумаг. </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Третий признак, необходимый для отнесения определенных инструментов к числу ценных бумаг, в настоящее время является наиболее актуальным и спорным. Выделение этого признака стало возможным в связи с развитием системы безналичных ценных бумаг в Российской Федерации, а также в связи с их признанием в Кодексе.</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Этот признак может быть обозначен как установленный законом способ фиксации прав, приравниваемый к ценной бумаге.</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Статья 149 ГК РФ однозначно устанавливает, что к форме фиксации прав применяются правила о ценных бумагах, если иное не вытекает из особенностей фиксации. Таким образом, не только документ, удостоверяющий определенные имущественные права, но и иной способ фиксации могут рассматриваться как ценная бумага.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Юридические последствия установления такой нормы огромны. Это позволяет сохранить институт ценных бумаг, даже в случае, если пропадает ценная бумага как материальный носитель, овеществляющий имущественные права. Безналичные ценности бумаги признаны не только мировой практикой, но и законодательством тех стран, в которых они получили развитие.</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До сих пор в российской гражданско-правовой теории безналичные ценные бумаги, к сожалению, не до конца признаны. Больше внимания уделяется не адекватному их регулированию, а, в частности, спорам о том, могут ли они рассматриваться в качестве объекта вещных прав.</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Право изобилует многими  допущениями и фиксациями. Нельзя забывать, что и классические “документарные” ценные бумаги, появившиеся с развитием торгового оборота, в теории рассматриваются как бестелесные имущества.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теории не принято проводить аналогии между безналичными ценными бумагами и безналичными деньгами. Однако, все регулирование последних дает основание сделать вывод о том, что деньги, как вещи, определенные родовыми признаками, являются объектом вещных прав (и не только в совокупности с другим имуществом), причем вне зависимости от того, идет ли речь о наличных или безналичных деньгах.</w:t>
      </w:r>
    </w:p>
    <w:p w:rsidR="00126275" w:rsidRDefault="00126275">
      <w:pPr>
        <w:pStyle w:val="a3"/>
        <w:tabs>
          <w:tab w:val="left" w:pos="6237"/>
          <w:tab w:val="left" w:pos="6521"/>
        </w:tabs>
        <w:ind w:left="567"/>
        <w:jc w:val="center"/>
        <w:rPr>
          <w:rFonts w:ascii="Academy" w:hAnsi="Academy"/>
          <w:sz w:val="24"/>
          <w:lang w:val="ru-RU"/>
        </w:rPr>
      </w:pPr>
    </w:p>
    <w:p w:rsidR="00126275" w:rsidRDefault="00126275">
      <w:pPr>
        <w:pStyle w:val="a3"/>
        <w:tabs>
          <w:tab w:val="left" w:pos="6237"/>
          <w:tab w:val="left" w:pos="6521"/>
        </w:tabs>
        <w:ind w:left="567"/>
        <w:jc w:val="center"/>
        <w:rPr>
          <w:rFonts w:ascii="Academy" w:hAnsi="Academy"/>
          <w:sz w:val="24"/>
          <w:lang w:val="ru-RU"/>
        </w:rPr>
      </w:pPr>
    </w:p>
    <w:p w:rsidR="00126275" w:rsidRDefault="00126275">
      <w:pPr>
        <w:pStyle w:val="a3"/>
        <w:tabs>
          <w:tab w:val="left" w:pos="6237"/>
          <w:tab w:val="left" w:pos="6521"/>
        </w:tabs>
        <w:ind w:left="567"/>
        <w:rPr>
          <w:rFonts w:ascii="Academy" w:hAnsi="Academy"/>
          <w:sz w:val="36"/>
          <w:lang w:val="ru-RU"/>
        </w:rPr>
      </w:pPr>
    </w:p>
    <w:p w:rsidR="00126275" w:rsidRDefault="00126275">
      <w:pPr>
        <w:pStyle w:val="a3"/>
        <w:tabs>
          <w:tab w:val="left" w:pos="6237"/>
          <w:tab w:val="left" w:pos="6521"/>
        </w:tabs>
        <w:ind w:left="567"/>
        <w:rPr>
          <w:rFonts w:ascii="Academy" w:hAnsi="Academy"/>
          <w:sz w:val="36"/>
          <w:lang w:val="ru-RU"/>
        </w:rPr>
      </w:pPr>
    </w:p>
    <w:p w:rsidR="00126275" w:rsidRDefault="00481C26">
      <w:pPr>
        <w:pStyle w:val="a3"/>
        <w:tabs>
          <w:tab w:val="left" w:pos="6237"/>
          <w:tab w:val="left" w:pos="6521"/>
        </w:tabs>
        <w:ind w:left="567"/>
        <w:rPr>
          <w:rFonts w:ascii="Arial" w:hAnsi="Arial"/>
          <w:sz w:val="36"/>
          <w:lang w:val="ru-RU"/>
        </w:rPr>
      </w:pPr>
      <w:r>
        <w:rPr>
          <w:rFonts w:ascii="Arial" w:hAnsi="Arial"/>
          <w:sz w:val="36"/>
        </w:rPr>
        <w:t>2</w:t>
      </w:r>
      <w:r>
        <w:rPr>
          <w:rFonts w:ascii="Arial" w:hAnsi="Arial"/>
          <w:sz w:val="36"/>
          <w:lang w:val="ru-RU"/>
        </w:rPr>
        <w:t>.Классификация ценных бумаг</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ст. 128 ГК РФ ценная бумага названа объектом гражданских прав, разновидностью вещей. В то же время имущественные права, которые удостоверяются ценной бумагой, относятся ценной бумагой, относятся в этой же статье к иному (имеется ввиду помимо вещей) имуществу. Упомянутая статья, как и весь подраздел 3 “Объекты гражданских прав”, свидетельствует о том, что ГК РФ представляет собой нередко не свод правовых норм, а набор научных дефиниций, уместных больше в учебной литературе. В ст. 142 ГК РФ ценная бумага уже характеризуется как документ, удостоверяющий имущественные права, виды которых определяются законом или в установленном им порядке, т. е. здесь она определяется как особый способ формализации имущественных прав.</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 xml:space="preserve">Само же содержание имущественного права в ГК РФ нигде не расшифровывается. В ст. 8 ГК РФ говорится об основаниях вообще гражданских прав. И из ст. 2 нельзя сделать вывод о том, что представляет собой имущественное право. В ГК РФ дается лишь определение имущественных и связанных с ними личных неимущественных отношений. Из анализа ст. 128 ГК РФ можно предположить, что имущественные права - это не вещные права. Подобный же вывод вытекает из рассмотрения предмета залога, где имущественное право употребляется в значении, тождественном праву требования (ст. 336 ГК РФ). Далее подчеркивается, что при залоге имущественного права, удостоверенного ценной бумагой, она передается залогодержателю, либо в депозит нотариусу, если договором не предусмотрено иное (п. 4 ст. 338 ГК РФ). Таким образом, виды имущественных прав, которые удостоверяются ценной бумагой, вытекают из обязательств договорного характера. Не могут удостоверяться ценной бумагой права, неразрывно связанные с личностью кредитора, в частности требования об алиментах и о возмещении вреда, причиненного жизни и здоровью. В разделе </w:t>
      </w:r>
      <w:r>
        <w:rPr>
          <w:rFonts w:ascii="Times New Roman CYR" w:hAnsi="Times New Roman CYR"/>
          <w:sz w:val="24"/>
        </w:rPr>
        <w:t xml:space="preserve">IV </w:t>
      </w:r>
      <w:r>
        <w:rPr>
          <w:rFonts w:ascii="Times New Roman CYR" w:hAnsi="Times New Roman CYR"/>
          <w:sz w:val="24"/>
          <w:lang w:val="ru-RU"/>
        </w:rPr>
        <w:t>“Отдельные виды обязательств” ГК РФ ценными бумагами удостоверяются имущественные права, вытекающие из договоров займа (ст. 815-817), банковского вклада (ст. 844), расчета чеками (ст. 877) и хранения на товарном складе (ст. 912).</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Перечень видов имущественных прав, которые удостоверяются ценной бумагой, нельзя составлять, основываясь на приведенном выше понимании имущественного права, хотя оно и зиждется на нормах ГК РФ. Кодекс закрепляет классификацию ценных бумаг, имеющую юридическое, а не экономическое значение. Речь идет о категориях предъявительских, именных и ордерных ценных бумаг. При таком подходе оказываются не охваченными акции и иные ценные бумаги. Здесь следует обратиться к закону о рынке ценных бумаг. В нем акция определяется как эмиссионная ценная бумага, закрепляющая права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 В отличие от закона об акционерных обществах анализируемый закон предусмотрел выпуск не только именных, но и акций на предъявителя в определенном  отношении к величине оплаченного уставного капитала в соответствии с нормативом, установленным Федеральной комиссией по рынку ценных бумаг.</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Ценные бумаги подразделяются на отдельные виды по отдельным классификационным основаниям. Наиболее важным их делением является то, которое основано на способе обозначения управомоченного лица и в соответствии с которым различаются предъявительские, именные и ордерные ценные бумаги. ГК содержит в ст. 143 примерный перечень наиболее известных в рыночном обороте видов ценных бумаг, допуская их возникновение и в иных случаях, прямо предусмотренных законом (но не подзаконным актом). Далеко не каждый вид ценной бумаги может одновременно существовать в виде как предъявительских, так и именных или ордерных бумаг. Действующее пока законодательство разрешает выпуск векселей в виде как ордерных, так именных ценных бумаг, а акций - только именных, но не предъявительских.</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Предъявительской является такая ценная бумага, в которой не указывается конкретное лицо, которому следует произвести исполнение. Лицом, управомоченным на осуществление выраженного в такой ценной бумаге права, является любой держатель ценной бумаги, который лишь должен ее предъявить. Указанный вид ценных бумаг обладает повышенной оборотоспособностью, так как для передачи другому лицу прав, удостоверяемых ценной бумагой, достаточно простого ее вручения этому лицу и не требуется выполнения каких-либо формальностей. Примерами такого рода ценных бумаг являются государственные облигации, банковские сберегательные книжки на предъявителя, приватизационные чеки (ваучеры).</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Приватизационный чек является государственной ценной бумагой целевого назначения. Он предназначен для бесплатной передачи гражданам имущества, акций и долей объектов приватизации. Порядок выдачи и обращения приватизационных чеков установлен в Положении о приватизационных чеках.</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 xml:space="preserve">Облигация удостоверяет внесение ее владельцем денежных средств на сумму, указанную в облигации. Владелец облигации наделяется правом в установленный срок получить номинальную стоимость облигации и фиксированный процент, если иное не предусмотрено условиями выпуска. </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Именной ценной бумагой признается документ, выписанный на имя конкретного лица, который только и может осуществить выраженное в нем право. Такие ценные бумаги обычно могут переходить к другим лицам, но это связано с выполнением целого ряда формальностей и специально усложненных процедур, что делает этот вид ценных бумаг малооборотоспособным. В качестве именной ценной бумаги могут фигурировать акции, чеки, сберегательные сертификаты.</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Акция подтверждает право акционера участвовать в управлении обществом (за исключением привилегированных акций), в распределении прибыли общества, в получении доли имущества общества пропорционально его вкладу в установленный капитал в случае ликвидации акционерного общества. Различают акции простые и привилегированные, распространяемые по открытой либо закрытой подписке. Акция неделима. В случаях, когда одна акция принадлежит нескольким лицам, последние могут осуществлять свои функции через общего представителя.</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Ордерная ценная бумага так же, как и именная, выписывается на определенное лицо, которое, однако, может осуществить соответствующее право не только самостоятельно, но и назначить своим распоряжением (ордером, приказом) другое управомоченное лицо. Это осуществляется путем совершения на этой ценной бумаге передаточной надписи, именуемой индоссаментом, который может быть бланковым или ордерным. Ордерные ценные бумаги, как правило, отличаются повышенной надежностью. Индоссат, то есть лицо, сделавшее передаточную надпись, несет ответственность не только за действительность права, но и за его осуществление. Типичным примером ордерной ценной бумаги может служить переводной вексель - тратта.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Вексель удостоверяет ничем не обусловленное обязательство векселедателя либо иного указанного в нем плательщика выплатить векселедержателю по наступлении предусмотренного срока обусловленную сумму. Вексель является строго формальным документом, содержащим исчерпывающий перечень реквизитов: наименование “вексель”; простое и ничем не обусловленное предложение (обязательство) оплатить определенную сумму; наименование плательщика; срок платежа; место платежа; наименование лица, которому или приказу которого платеж должен быть совершен; дата и место составления векселя; подпись векселедателя. Широко используется переводной вексель - тратта, по которому плательщиком выступает не векселедатель, а третье лицо.</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Различие именных, предъявительских и ордерных ценных бумаг в общей форме достаточно четко определено ГК в п. 1 ст. 145 и в ст. 146. В ценной бумаге на предъявителя удостоверенные ею имущественные права принадлежат тому, кто фактически сможет предъявить эту бумагу обязанному по ней лицу, которое вправе и должно произвести исполнение такому владельцу (“против ценной бумаги”). Соответственно и для передачи другому лицу прав, удостоверенных такой бумагой, достаточно передачи данной бумаги, причем произведенной в форме простого вручения, без каких бы то ни было специальных формальностей (п. 1 ст. 146 ГК).</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 xml:space="preserve">В именной ценной бумаге удостоверенные ею имущественные права принадлежат только прямо обозначенному там лицу, которому только и может быть произведено надлежащее исполнение по такой бумаге. Поэтому при необходимости передачи права, удостоверенного указанной бумагой, иному лицу ее владелец должен соответствующим образом оформить уступку своего права (п. 1 гл. 24 ГК): в частности, соблюсти необходимые требования к форме уступки (ст. 389 ГК) и уведомить о состоявшейся уступке должника - обязанное по ценной бумаге лицо (п. 3 ст. 382, ст. 385, ст. 386 ГК). </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 xml:space="preserve">В такой ситуации прежний владелец ценной бумаги отвечает перед новым владельцем за действительность требования, удостоверенного ценной бумагой, но не несет ответственности за фактическое неисполнение этого требования обязанным лицом </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 п. 2 ст. 146, ст. 390 ГК). Таким образом, именные ценные бумаги обладают осложненной оборотоспособностью, что отличает их от предъявительских ценных бумаг, оборотоспособность которых повышена по сравнению с ними и с ордерными бумагами.</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Наконец, в ордерной ценной бумаге назван субъект удостоверенного в ней имущественного права (что сближает ее с именной бумагой), однако он не только сам может осуществить это право, но и назначить своим распоряжением (приказом “ордером”) другое управомоченное лицо. Иначе говоря, такая ценная бумага, по сути, заранее рассчитана на возможность ее передачи (отчуждения) иному владельцу, то есть на необходимую оборотоспособность. Вместе с тем, как уже говорилось, все лица, указанные в такой ценной бумаге, будут отвечать перед ее законным владельцем солидарно (п. 1 ст. 147 ГК), что повышает его уверенность в реальном исполнении обязательства, выраженного ордерной ценной бумагой.</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 xml:space="preserve">Передача прав по такой бумаге осуществляется путем совершения непосредственно на ней (на обороте) передаточной надписи - индоссамента (от итальянского </w:t>
      </w:r>
      <w:r>
        <w:rPr>
          <w:rFonts w:ascii="Times New Roman" w:hAnsi="Times New Roman"/>
          <w:sz w:val="24"/>
        </w:rPr>
        <w:t>in dosso</w:t>
      </w:r>
      <w:r>
        <w:rPr>
          <w:rFonts w:ascii="Times New Roman CYR" w:hAnsi="Times New Roman CYR"/>
          <w:sz w:val="24"/>
          <w:lang w:val="ru-RU"/>
        </w:rPr>
        <w:t xml:space="preserve"> - “на спине”, на обороте). При множестве таких надписей допускается приложение к самой ценной бумаге специального дополнительного листа, предназначенного для указанных надписей.</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Солидарная ответственность надписателей означает, что индоссат (лицо, совершившее передаточную надпись по ордерной ценной бумаге) будет отвечать перед владельцем бумаги не только за действительность выраженного в ней права, но и за его исполнимость (абзац первый п. 3 ст. 146 ГК). Этим положение индоссата по ордерной  бумаге существенно отличается от положения лица, передавшего именную ценную бумагу. Новый владелец ордерной бумаги - индоссат - в свою очередь вправе передать эту бумагу иному лицу таким же путем либо установить, что исполнение по ней должно последовать приказу иного лица. Таковы, например, отношения по переводному векселю - тратте, который становится, таким образом, удобным орудием кредита, обслуживающим соответствующие потребности нескольких (многих) займодавцев и плательщиков.</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п. 3 ст. 146 ГК специально названы возможные виды передаточных надписей по ордерным ценным бумагам - индоссаментов. Такие надписи могут переносить удостоверенные бумагой права на конкретное лицо - индоссата, либо быть бланковыми (“чистыми”), без указания лица, которому должно быть произведено исполнение, что сближает такой документ с предъявительской ценной бумагой, либо ордерными, то есть указывать лицо, которому или по приказу которого должно быть произведено исполнение. Особый характер имеет препоручительный индоссамент (абзац третий п. 3 ст. 146 ГК), который не переносит на индоссанта никаких имущественных прав, а содержит лишь поручение ему осуществить права, удостоверенные такой ценной бумагой. В этом случае индоссат становится представителем индоссанта и на их отношения распространяются общие нормы ГК о представительстве (ст. 182 ГК).</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Наряду с рассмотренным делением ценных бумаг возможна их классификация и по иным основаниям. В зависимости от того, кто является эмитентом ценной бумаги различаются государственные ценные бумаги и ценные бумаги частных лиц. Закон о рынке ценных бумаг регулирует отношения, возникающие при эмиссии и обращении эмиссионных ценных бумаг независимо от типа эмитента. К ним относятся акция и облигация. Значит, этот закон в развитие ГК РФ позволяет подразделить ценные бумаги на эмиссионные (акции и облигации) и другие бумаги. Если исходить из содержания термина “эмиссия”, используемого в законе о рынке ценных бумаг, то следует считать его аналогичным публичному размещению. В соответствии с Указом Президента Российской Федерации от 4 ноября 1994 года № 2063 “О мерах по государственному регулированию рынка ценных бумаг в Российской Федерации” к публичному размещению допускаются государственные ценные бумаги, облигации, включая облигации, выпускаемые органами государственной власти субъектов Российской Федерации и органами местного самоуправления, именные акции акционерных обществ и банков, опционы на ценные бумаги, варранты на ценные бумаги, жилищные сертификаты. Таким образом, круг эмиссионных ценных бумаг довольно широк.</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Является ли юридически значимый документ ценной бумагой или нет, определяется законами о ценных бумагах или в установленном ими порядке. Согласно п. 2 ст. 44 закона о рынке ценных бумаг Федеральная комиссия по ценным бумагам вправе  классифицировать бумаги и определять их виды в соответствии с законодательством России.</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Кроме эмиссионных бумаг, есть ценные бумаги, которые подлежат не публичному размещению, а выдаются обязанным лицом в каждом конкретном случае, например, вексель. До принятия закона о переводном и простом векселе как приложение к постановлению Президиума Верховного Совета РСФСР от 24 июня 1991 г. № 1451-1.</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 xml:space="preserve">В ГК РФ упомянуты и в определенной мере регламентированы ценные бумаги, которые являются товарораспорядительными документами (коносамент, складское или залоговое свидетельство). Тем не менее завершенную классификацию ценных бумаг из-за отсутствия ряда законов о них дать в настоящее время не представляется возможным.                  </w:t>
      </w:r>
    </w:p>
    <w:p w:rsidR="00126275" w:rsidRDefault="00126275">
      <w:pPr>
        <w:pStyle w:val="a3"/>
        <w:tabs>
          <w:tab w:val="left" w:pos="6237"/>
          <w:tab w:val="left" w:pos="6521"/>
        </w:tabs>
        <w:ind w:left="567"/>
        <w:rPr>
          <w:rFonts w:ascii="Times New Roman CYR" w:hAnsi="Times New Roman CYR"/>
          <w:sz w:val="24"/>
          <w:lang w:val="ru-RU"/>
        </w:rPr>
      </w:pPr>
    </w:p>
    <w:p w:rsidR="00126275" w:rsidRDefault="00126275">
      <w:pPr>
        <w:pStyle w:val="a3"/>
        <w:tabs>
          <w:tab w:val="left" w:pos="6237"/>
          <w:tab w:val="left" w:pos="6521"/>
        </w:tabs>
        <w:ind w:left="567"/>
        <w:rPr>
          <w:rFonts w:ascii="Times New Roman CYR" w:hAnsi="Times New Roman CYR"/>
          <w:sz w:val="24"/>
          <w:lang w:val="ru-RU"/>
        </w:rPr>
      </w:pPr>
    </w:p>
    <w:p w:rsidR="00126275" w:rsidRDefault="00481C26">
      <w:pPr>
        <w:pStyle w:val="a3"/>
        <w:tabs>
          <w:tab w:val="left" w:pos="6237"/>
          <w:tab w:val="left" w:pos="6521"/>
        </w:tabs>
        <w:ind w:left="567"/>
        <w:jc w:val="center"/>
        <w:rPr>
          <w:rFonts w:ascii="Arial" w:hAnsi="Arial"/>
          <w:sz w:val="40"/>
        </w:rPr>
      </w:pPr>
      <w:r>
        <w:rPr>
          <w:rFonts w:ascii="Arial" w:hAnsi="Arial"/>
          <w:sz w:val="40"/>
          <w:lang w:val="ru-RU"/>
        </w:rPr>
        <w:t xml:space="preserve">Глава </w:t>
      </w:r>
      <w:r>
        <w:rPr>
          <w:rFonts w:ascii="Arial" w:hAnsi="Arial"/>
          <w:sz w:val="40"/>
        </w:rPr>
        <w:t>II</w:t>
      </w:r>
    </w:p>
    <w:p w:rsidR="00126275" w:rsidRDefault="00481C26">
      <w:pPr>
        <w:pStyle w:val="a3"/>
        <w:tabs>
          <w:tab w:val="left" w:pos="6237"/>
          <w:tab w:val="left" w:pos="6521"/>
        </w:tabs>
        <w:jc w:val="center"/>
        <w:rPr>
          <w:rFonts w:ascii="Arial" w:hAnsi="Arial"/>
          <w:sz w:val="40"/>
          <w:lang w:val="ru-RU"/>
        </w:rPr>
      </w:pPr>
      <w:r>
        <w:rPr>
          <w:rFonts w:ascii="Arial" w:hAnsi="Arial"/>
          <w:sz w:val="40"/>
          <w:lang w:val="ru-RU"/>
        </w:rPr>
        <w:t>Источники. Обращение ценных бумаг</w:t>
      </w:r>
    </w:p>
    <w:p w:rsidR="00126275" w:rsidRDefault="00481C26">
      <w:pPr>
        <w:pStyle w:val="a3"/>
        <w:tabs>
          <w:tab w:val="left" w:pos="6237"/>
          <w:tab w:val="left" w:pos="6521"/>
        </w:tabs>
        <w:ind w:left="567"/>
        <w:rPr>
          <w:rFonts w:ascii="Arial" w:hAnsi="Arial"/>
          <w:sz w:val="36"/>
          <w:lang w:val="ru-RU"/>
        </w:rPr>
      </w:pPr>
      <w:r>
        <w:rPr>
          <w:rFonts w:ascii="Arial" w:hAnsi="Arial"/>
          <w:sz w:val="36"/>
          <w:lang w:val="ru-RU"/>
        </w:rPr>
        <w:t>1. Оборот ценных бумаг</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Содержащиеся в ГК правила об обороте ценных бумаг касаются особенностей исполнения обязательств, удостоверенных ценными бумагами, а также возможностей их оспаривания и восстановления в случае утраты. При этом на первый план выступает абстрактный характер обязательств, удостоверенных ценной бумагой, их оторванность от своего основания. такие обязательства как бы получают самостоятельную жизнь, связанную уже не с судьбой основного обязательства, во исполнение или в удостоверение которого была выдана ценная бумага, а с судьбой данной бумаги. Поэтому для исполнения по ценной бумаге требуется предъявление подлинника этой бумаги.</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Исполнение по ценной бумаге дополнительно гарантировано тем, что по ней согласно правилу п. 1 ст. 147 ГК отвечает не только обязанное лицо, но и тот, кто выдал ценную бумагу, и те, кто индоссировал ее путем совершения соответствующей передаточной надписи, если только они не сделали специальной оговорки, исключающей их ответственность.</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силу особой оборотоспособности большинства ценных бумаг важным становится вопрос о последствиях их  возможной утраты их законными владельцами. Для именных ценных бумаг он не имеет столь принципиального значения, ибо фактический владелец не сможет потребовать и получить исполнение по такой ценной бумаге. Что же касается владельцев именных и ордерных ценных бумаг, утративших принадлежащие им документы, их интересы могут быть защищены в особом порядке, предусмотренном процессуальным законодательством. Речь идет о так называемом “вызывном производстве”.</w:t>
      </w:r>
    </w:p>
    <w:p w:rsidR="00126275" w:rsidRDefault="00126275">
      <w:pPr>
        <w:pStyle w:val="a3"/>
        <w:tabs>
          <w:tab w:val="left" w:pos="6237"/>
          <w:tab w:val="left" w:pos="6521"/>
        </w:tabs>
        <w:ind w:left="567"/>
        <w:rPr>
          <w:rFonts w:ascii="Times New Roman CYR" w:hAnsi="Times New Roman CYR"/>
          <w:sz w:val="24"/>
          <w:lang w:val="ru-RU"/>
        </w:rPr>
      </w:pP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Развитие российского фондового рынка привело к восприятию как концепции безналичных бумаг, свойственных, в частности, германскому законодательству (примером служат Государственные краткосрочные бескупонные облигации), так и концепции безналичных ценных бумаг, выпущенных в процессе приватизации.</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настоящее время можно выделить две формы и две подформы выпусков ценных бумаг.</w:t>
      </w:r>
    </w:p>
    <w:p w:rsidR="00126275" w:rsidRDefault="00481C26">
      <w:pPr>
        <w:pStyle w:val="a3"/>
        <w:tabs>
          <w:tab w:val="left" w:pos="6237"/>
          <w:tab w:val="left" w:pos="6521"/>
        </w:tabs>
        <w:ind w:left="567"/>
        <w:rPr>
          <w:rFonts w:ascii="Times New Roman CYR" w:hAnsi="Times New Roman CYR"/>
          <w:i/>
          <w:sz w:val="24"/>
          <w:lang w:val="ru-RU"/>
        </w:rPr>
      </w:pPr>
      <w:r>
        <w:rPr>
          <w:rFonts w:ascii="Times New Roman CYR" w:hAnsi="Times New Roman CYR"/>
          <w:sz w:val="24"/>
          <w:lang w:val="ru-RU"/>
        </w:rPr>
        <w:t>При этом терминологически можно различать понятие “форма выпуска ценных бумаг” и “форма ценной бумаги”. ГК РФ указывает только на форму ценной бумаги.</w:t>
      </w:r>
    </w:p>
    <w:p w:rsidR="00126275" w:rsidRDefault="00481C26">
      <w:pPr>
        <w:pStyle w:val="a3"/>
        <w:tabs>
          <w:tab w:val="left" w:pos="6237"/>
          <w:tab w:val="left" w:pos="6521"/>
        </w:tabs>
        <w:ind w:left="567"/>
        <w:rPr>
          <w:rFonts w:ascii="Times New Roman CYR" w:hAnsi="Times New Roman CYR"/>
          <w:i/>
          <w:sz w:val="24"/>
          <w:lang w:val="ru-RU"/>
        </w:rPr>
      </w:pPr>
      <w:r>
        <w:rPr>
          <w:rFonts w:ascii="Times New Roman CYR" w:hAnsi="Times New Roman CYR"/>
          <w:i/>
          <w:sz w:val="24"/>
          <w:lang w:val="ru-RU"/>
        </w:rPr>
        <w:t>Документарная форма выпуска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Эта форма характеризуется наличием документа, которому может быть придан статус ценной бумаги.</w:t>
      </w:r>
    </w:p>
    <w:p w:rsidR="00126275" w:rsidRDefault="00481C26">
      <w:pPr>
        <w:pStyle w:val="a3"/>
        <w:tabs>
          <w:tab w:val="left" w:pos="6237"/>
          <w:tab w:val="left" w:pos="6521"/>
        </w:tabs>
        <w:ind w:left="567"/>
        <w:rPr>
          <w:rFonts w:ascii="Times New Roman CYR" w:hAnsi="Times New Roman CYR"/>
          <w:i/>
          <w:sz w:val="24"/>
          <w:lang w:val="ru-RU"/>
        </w:rPr>
      </w:pPr>
      <w:r>
        <w:rPr>
          <w:rFonts w:ascii="Times New Roman CYR" w:hAnsi="Times New Roman CYR"/>
          <w:i/>
          <w:sz w:val="24"/>
          <w:lang w:val="ru-RU"/>
        </w:rPr>
        <w:t>Классическая форма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Первая подформа документарной формы представляет собой обычный классический вариант выпуска ценных бумаг, при котором способом фиксации прав является ценная бумага как документ. В этом случае и форма выпуска ценных бумаг, и форма ценных бумаг будут документарными.</w:t>
      </w:r>
    </w:p>
    <w:p w:rsidR="00126275" w:rsidRDefault="00481C26">
      <w:pPr>
        <w:pStyle w:val="a3"/>
        <w:tabs>
          <w:tab w:val="left" w:pos="6237"/>
          <w:tab w:val="left" w:pos="6521"/>
        </w:tabs>
        <w:ind w:left="567"/>
        <w:rPr>
          <w:rFonts w:ascii="Times New Roman CYR" w:hAnsi="Times New Roman CYR"/>
          <w:i/>
          <w:sz w:val="24"/>
          <w:lang w:val="ru-RU"/>
        </w:rPr>
      </w:pPr>
      <w:r>
        <w:rPr>
          <w:rFonts w:ascii="Times New Roman CYR" w:hAnsi="Times New Roman CYR"/>
          <w:i/>
          <w:sz w:val="24"/>
          <w:lang w:val="ru-RU"/>
        </w:rPr>
        <w:t>Документарная форма с обязательным централизованным хранением</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При этой форме выпуска как правило весь выпуск ценных бумаг оформляется документом - глобальным сертификатом (или несколькими суммарными сертификатами), оформляемым на имя депозитария. По устоявшейся терминологии эта подформа названа документарной формой с обязательным централизованным хранением.</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этом случае терминологически форма выпуска ценных бумаг не совпадает с формой ценных бумаг. Форма выпуска является документарной, каждая из ценных бумаг по терминологии ГК РФ обращается как бездокументарная ценная бумага.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Отдельные ценные бумаги не могут быть получены их владельцами. Такой признак сближает эту форму с бездокументарными ценными бумагами.</w:t>
      </w:r>
    </w:p>
    <w:p w:rsidR="00126275" w:rsidRDefault="00481C26">
      <w:pPr>
        <w:pStyle w:val="a3"/>
        <w:tabs>
          <w:tab w:val="left" w:pos="6237"/>
          <w:tab w:val="left" w:pos="6521"/>
        </w:tabs>
        <w:ind w:left="567"/>
        <w:rPr>
          <w:rFonts w:ascii="Times New Roman CYR" w:hAnsi="Times New Roman CYR"/>
          <w:i/>
          <w:sz w:val="24"/>
          <w:lang w:val="ru-RU"/>
        </w:rPr>
      </w:pPr>
      <w:r>
        <w:rPr>
          <w:rFonts w:ascii="Times New Roman CYR" w:hAnsi="Times New Roman CYR"/>
          <w:i/>
          <w:sz w:val="24"/>
          <w:lang w:val="ru-RU"/>
        </w:rPr>
        <w:t>Бездокументарная форма</w:t>
      </w:r>
    </w:p>
    <w:p w:rsidR="00126275" w:rsidRDefault="00481C26">
      <w:pPr>
        <w:pStyle w:val="a3"/>
        <w:tabs>
          <w:tab w:val="left" w:pos="6237"/>
          <w:tab w:val="left" w:pos="6521"/>
        </w:tabs>
        <w:ind w:left="567"/>
        <w:rPr>
          <w:rFonts w:ascii="Times New Roman CYR" w:hAnsi="Times New Roman CYR"/>
          <w:i/>
          <w:sz w:val="24"/>
          <w:lang w:val="ru-RU"/>
        </w:rPr>
      </w:pPr>
      <w:r>
        <w:rPr>
          <w:rFonts w:ascii="Times New Roman CYR" w:hAnsi="Times New Roman CYR"/>
          <w:sz w:val="24"/>
          <w:lang w:val="ru-RU"/>
        </w:rPr>
        <w:t>В современном имущественном обороте стали использоваться новые формы фиксации прав его участников, связанные с применением средств электронно-вычислительной техники.</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Бездокументарная форма выпуска ценных бумаг характеризуются отсутствием документа, который имеет статус ценной бумаги. Терминологически форма выпуска ценных бумаг и форма ценных бумаг в данном случае совпадают.</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 xml:space="preserve">Выбор конкретной формы выпуска ценных бумаг зависит от эмитента, однако, при отсутствии адекватного законодательства о бездокументарных ценных бумагах, профилактикой конфликтов может служить тщательное и детальное описание формы выпуска в документах, на основании которых осуществляется регистрация                                                                                                                  ценных бумаг. </w:t>
      </w:r>
    </w:p>
    <w:p w:rsidR="00126275" w:rsidRDefault="00481C26">
      <w:pPr>
        <w:pStyle w:val="a3"/>
        <w:tabs>
          <w:tab w:val="left" w:pos="6237"/>
          <w:tab w:val="left" w:pos="6521"/>
        </w:tabs>
        <w:ind w:left="567"/>
        <w:rPr>
          <w:rFonts w:ascii="Academy" w:hAnsi="Academy"/>
          <w:sz w:val="24"/>
          <w:lang w:val="ru-RU"/>
        </w:rPr>
      </w:pPr>
      <w:r>
        <w:rPr>
          <w:rFonts w:ascii="Times New Roman CYR" w:hAnsi="Times New Roman CYR"/>
          <w:sz w:val="24"/>
          <w:lang w:val="ru-RU"/>
        </w:rPr>
        <w:t>Форма выпуска и ее особенности должны быть явно описаны в регистрационных документах. Однако в тех случаях, когда форма выпуска должна рассматриваться как обычная документарная “классическая” форма выпуска ценных бумаг. Это позволит более эффективно осуществлять защиту интересов инвесторов от недобросовестности эмитентов, которые в указанных ситуациях могут по-разному представлять себе тот инструмент, который был выпущен.</w:t>
      </w:r>
    </w:p>
    <w:p w:rsidR="00126275" w:rsidRDefault="00126275">
      <w:pPr>
        <w:pStyle w:val="a3"/>
        <w:tabs>
          <w:tab w:val="left" w:pos="6237"/>
          <w:tab w:val="left" w:pos="6521"/>
        </w:tabs>
        <w:ind w:left="567"/>
        <w:rPr>
          <w:rFonts w:ascii="Times New Roman CYR" w:hAnsi="Times New Roman CYR"/>
          <w:sz w:val="24"/>
          <w:lang w:val="ru-RU"/>
        </w:rPr>
      </w:pPr>
    </w:p>
    <w:p w:rsidR="00126275" w:rsidRDefault="00481C26">
      <w:pPr>
        <w:pStyle w:val="a3"/>
        <w:tabs>
          <w:tab w:val="left" w:pos="6237"/>
          <w:tab w:val="left" w:pos="6521"/>
        </w:tabs>
        <w:ind w:left="567"/>
        <w:rPr>
          <w:rFonts w:ascii="Arial" w:hAnsi="Arial"/>
          <w:sz w:val="36"/>
          <w:lang w:val="ru-RU"/>
        </w:rPr>
      </w:pPr>
      <w:r>
        <w:rPr>
          <w:rFonts w:ascii="Arial" w:hAnsi="Arial"/>
          <w:sz w:val="36"/>
          <w:lang w:val="ru-RU"/>
        </w:rPr>
        <w:t>2. Источники правового регулирования вопросов эмиссии и обращения ценных бумаг</w:t>
      </w:r>
    </w:p>
    <w:p w:rsidR="00126275" w:rsidRDefault="00126275">
      <w:pPr>
        <w:pStyle w:val="a3"/>
        <w:tabs>
          <w:tab w:val="left" w:pos="6237"/>
          <w:tab w:val="left" w:pos="6521"/>
        </w:tabs>
        <w:ind w:left="567"/>
        <w:jc w:val="center"/>
        <w:rPr>
          <w:rFonts w:ascii="Times New Roman CYR" w:hAnsi="Times New Roman CYR"/>
          <w:sz w:val="24"/>
          <w:lang w:val="ru-RU"/>
        </w:rPr>
      </w:pP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настоящее время в Государственной Думе ведется работа по разработке законопроекта “О государственных и муниципальных ценных бумагах”. Регулирование вопросов эмиссии любых видов ценных бумаг изначально должно преследовать цель защищать интересы инвесторов, приобретающих ценные бумаги. Задача обеспечения защиты инвесторов может быть выполнена, во-первых, путем установления требований к эмитенту, которые бы обеспечивали исполнимость обязательств, принимаемых на себя эмитентом, во-вторых, путем установления правил, регламентирующих с достаточной определенностью процедуру, принудительного исполнения обязательств, принятых на себя должником эмитентом. Когда в роли эмитента оказывается государство, необходимость обеспечения исполнения указанных задач возрастает, поскольку в данном случае и сам должник, и тот, кто обеспечивает принудительное действие в отношении должника противостоят частному лицу - инвестору. В этой связи разработка детальных правил, определяющих порядок эмиссии государственных ценных бумаг, имеет принципиальное значение.</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Сейчас можно говорить лишь о фрагментарности регулирования вопросов эмиссии государственных ценных бумаг. Несмотря на то, что вопросы выпуска, размещения или обращения государственных ценных бумаг так или иначе регламентируются в различных правовых актах, в том числе в таких как Конституция РФ, Гражданский кодекс РФ, специальных законодательных актах, тем не менее отсутствует единая система нормативных актов. В результате всякий выпуск отдельного вида ценных бумаг сопровождается принятием специального нормативного акта (или нескольких актов), регламентирующих вопросы эмиссии и обращения конкретного вида ценных бумаг.</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Сегодня главными источниками, определяющими основные принципы эмиссии и обращения ценных бумаг, являются:</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i/>
          <w:sz w:val="24"/>
          <w:lang w:val="ru-RU"/>
        </w:rPr>
        <w:t xml:space="preserve">Конституция РФ. </w:t>
      </w:r>
      <w:r>
        <w:rPr>
          <w:rFonts w:ascii="Times New Roman CYR" w:hAnsi="Times New Roman CYR"/>
          <w:sz w:val="24"/>
          <w:lang w:val="ru-RU"/>
        </w:rPr>
        <w:t xml:space="preserve">Конституция РФ содержит статью, определяющую принципы построения национальной денежной системы </w:t>
      </w:r>
      <w:r>
        <w:rPr>
          <w:rFonts w:ascii="Times New Roman CYR" w:hAnsi="Times New Roman CYR"/>
          <w:i/>
          <w:sz w:val="24"/>
          <w:lang w:val="ru-RU"/>
        </w:rPr>
        <w:t>(ст. 75)</w:t>
      </w:r>
      <w:r>
        <w:rPr>
          <w:rFonts w:ascii="Times New Roman CYR" w:hAnsi="Times New Roman CYR"/>
          <w:sz w:val="24"/>
          <w:lang w:val="ru-RU"/>
        </w:rPr>
        <w:t>. В данной статье содержатся также положения, относящиеся к государственным заимствованиям.</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i/>
          <w:sz w:val="24"/>
          <w:lang w:val="ru-RU"/>
        </w:rPr>
        <w:t>Гражданский кодекс РФ.</w:t>
      </w:r>
      <w:r>
        <w:rPr>
          <w:rFonts w:ascii="Times New Roman CYR" w:hAnsi="Times New Roman CYR"/>
          <w:sz w:val="24"/>
          <w:lang w:val="ru-RU"/>
        </w:rPr>
        <w:t xml:space="preserve"> ГК РФ определяет формы и принципы участия государства в имущественных правоотношениях; содержит основные понятия и принципы обращения ценных бумаг; регулирует вопросы, связанные с отношениями из договора займа. Все положения ГК РФ находят практическое применение при регулировании вопросов обращения ценных бумаг, создавая своего рода “правовую среду” для обращения государственных ценных бумаг. </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i/>
          <w:sz w:val="24"/>
          <w:lang w:val="ru-RU"/>
        </w:rPr>
        <w:t xml:space="preserve">Федеральный Закон РФ “О рынке ценных бумаг”. </w:t>
      </w:r>
      <w:r>
        <w:rPr>
          <w:rFonts w:ascii="Times New Roman CYR" w:hAnsi="Times New Roman CYR"/>
          <w:sz w:val="24"/>
          <w:lang w:val="ru-RU"/>
        </w:rPr>
        <w:t xml:space="preserve">Положения этого закона имеют большое значение для функционирования фондового рынка РФ в целом и рынка государственных ценных бумаг, в частности, который является одной из составных частей фондового рынка. Однако в нем не содержится положений, непосредственно относящихся к государственным ценным бумагам. </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 xml:space="preserve">Закон РФ “О рынке ценных бумаг” в основном объединил в своем содержании ранее действующую инструктивную базу, содержащуюся в ведомственных актах. Его структура не отвечает мировым стандартам регулирования рынка ценных бумаг, поскольку отличается отрывочным, ограничительным регулированием важнейших институтов рынка ценных бумаг. </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i/>
          <w:sz w:val="24"/>
          <w:lang w:val="ru-RU"/>
        </w:rPr>
        <w:t>Иные нормативные акты.</w:t>
      </w:r>
      <w:r>
        <w:rPr>
          <w:rFonts w:ascii="Times New Roman CYR" w:hAnsi="Times New Roman CYR"/>
          <w:sz w:val="24"/>
          <w:lang w:val="ru-RU"/>
        </w:rPr>
        <w:t xml:space="preserve"> Как это следует из краткого анализа источников регулирования конкретных видов ценных бумаг, большое значение приобретают нормативные акты, определяющие порядок эмиссии и режим отдельных видов ценных бумаг.</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текущем законодательстве не охвачены вопросы, связанные с межбиржевым клирингом и погашением обязательств по ценным бумагам, фьючерсных и опционных сделок; ценные бумаги отделены от инвестиционных рисков и инвестиционных инструментов. Основные направления совершенствования законодательства о ценных бумагах вытекают из нижеследующих выводов.</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 результате преобразования государственной собственности в акционерную, слияния, поглощения, трансформации различных правовых форм организации бизнеса, происходит процесс создания крупных промышленных, финансовых, коммерческих и некоммерческих объединений (концернов), которые в мировой хозяйственной практике называются корпорациями или акционерными компаниями.</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Действующие правовые документы в области рынка ценных бумаг не охватывают всю совокупность актов, принятых по ходу реализации государственной программы приватизации, становления российского рынка ценных бумаг и развития корпоративных структур, поскольку количество таких актов напоминает лавину быстроменяющихся и дополняющих друг друга законодательных актов и ведомственных инструкций Госкомимущества России, Минфина России, Центрального Банка РФ и Федеральной комиссии по рынку ценных бумаг.</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Причиной такого спонтанного развития акционерного права и правового регулирования рынка ценных бумаг в целом является специфика рыночных реформ в России, когда основной базой создания большинства новых акционерных обществ становятся бывшие государственные предприятия.</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Необходимо обеспечить государственный контроль за рынком ценных бумаг не только через развитие правовых норм о формах, слияниях, учреждении и функционировании акционерных обществ, корпораций, концернов (финансово-промышленных групп), но и через правовое регулирование процесса обращения ценных бумаг на свободном рынке. В международной практике нет единого мнения об эффективности и всеобъемлемости применяемых методов, но есть общий принцип: процесс должен быть подчинен законодательному регулированию, в противном случае возможно установление нежелательного контроля со стороны отдельных лиц или группировок за фондовым рынком, монополизация производства, осуществление недобросовестной конкуренции, создание фиктивного фондового рынка.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Необходимость развития фондового рынка в России не вызывает сомнений. Президентом и Правительством Российской Федерации с конца 1991 года принимались важные правовые акты, направленные на регулирование выпуска и обращения ценных бумаг, деятельности инвестиционных институтов и фондовых бирж, профессиональных участников рынка ценных бумаг. Особое место занимают специальные разделы об этом  в государственных программах приватизации государственных и муниципальных предприятий. Принятие Гражданского кодекса Российской Федерации, законов об акционерных обществах и рынке ценных бумаг создает в стране определенную систему законов в сфере рынка ценных бумаг. Однако, на мой взгляд, она далека от совершенства, особенно в той ее части, которая касается правового регулирования рынка ценных бумаг.</w:t>
      </w:r>
    </w:p>
    <w:p w:rsidR="00126275" w:rsidRDefault="00126275">
      <w:pPr>
        <w:pStyle w:val="a3"/>
        <w:tabs>
          <w:tab w:val="left" w:pos="6237"/>
          <w:tab w:val="left" w:pos="6521"/>
        </w:tabs>
        <w:ind w:left="567"/>
        <w:rPr>
          <w:rFonts w:ascii="Times New Roman CYR" w:hAnsi="Times New Roman CYR"/>
          <w:sz w:val="24"/>
          <w:lang w:val="ru-RU"/>
        </w:rPr>
      </w:pPr>
    </w:p>
    <w:p w:rsidR="00126275" w:rsidRDefault="00126275">
      <w:pPr>
        <w:pStyle w:val="a3"/>
        <w:tabs>
          <w:tab w:val="left" w:pos="6237"/>
          <w:tab w:val="left" w:pos="6521"/>
        </w:tabs>
        <w:ind w:left="567"/>
        <w:jc w:val="center"/>
        <w:rPr>
          <w:rFonts w:ascii="Academy" w:hAnsi="Academy"/>
          <w:sz w:val="36"/>
          <w:lang w:val="ru-RU"/>
        </w:rPr>
      </w:pPr>
    </w:p>
    <w:p w:rsidR="00126275" w:rsidRDefault="00481C26">
      <w:pPr>
        <w:pStyle w:val="a3"/>
        <w:tabs>
          <w:tab w:val="left" w:pos="6237"/>
          <w:tab w:val="left" w:pos="6521"/>
        </w:tabs>
        <w:ind w:left="567"/>
        <w:jc w:val="center"/>
        <w:rPr>
          <w:rFonts w:ascii="Arial" w:hAnsi="Arial"/>
          <w:sz w:val="36"/>
          <w:lang w:val="ru-RU"/>
        </w:rPr>
      </w:pPr>
      <w:r>
        <w:rPr>
          <w:rFonts w:ascii="Arial" w:hAnsi="Arial"/>
          <w:sz w:val="36"/>
          <w:lang w:val="ru-RU"/>
        </w:rPr>
        <w:t>Заключение</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 xml:space="preserve">Объектом гражданских прав признается то, по поводу чего возникает гражданское правоотношение. Наиболее распространенные объекты гражданского права - вещи и права на вещи. </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Гражданский кодекс классифицирует объекты гражданских прав, используя в качестве критерия различные их свойства. Цель такого рода классификации - вводить в случаях необходимости специальные режимы, отражающие особенности тех или иных объектов.</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Ценная бумага - это документ, удостоверяющий имущественные права, осуществление или передача которых возможны только при предъявлении этого документа. Из этого следует, что ценная бумага представляет собой, во-первых, документ представляющий собой определенное имущественное право. В нем содержится информация о субъекте этого права и об обязанном лице. Во-вторых, речь идет именно о документе, то есть официальной записи, выполненной на бумажном носителе и имеющей строго определенную форму и обязательные реквизиты. Отсутствие хотя бы одного из реквизитов или нарушение указанной формы влечет ничтожность бумаги. В третьих, этот документ неразрывно связан с воплощенным в нем имущественным правом, ибо реализовать это право или передать его другому лицу можно только путем соответствующего использования самого этого документа.</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Виды имущественных прав, которые могут удостоверяться ценными бумагами, как и их обязательные реквизиты и требования к форме, определяются только законом либо в установленном им порядке. Следовательно, не любые виды гражданских прав могут удостоверяться ценными бумагами или облекаться в их форму - для этого требуется указание закона, а не воля сторон.</w:t>
      </w:r>
    </w:p>
    <w:p w:rsidR="00126275" w:rsidRDefault="00481C26">
      <w:pPr>
        <w:pStyle w:val="a3"/>
        <w:tabs>
          <w:tab w:val="left" w:pos="6237"/>
          <w:tab w:val="left" w:pos="6521"/>
        </w:tabs>
        <w:ind w:left="567"/>
        <w:rPr>
          <w:rFonts w:ascii="Times New Roman CYR" w:hAnsi="Times New Roman CYR"/>
          <w:sz w:val="24"/>
          <w:lang w:val="ru-RU"/>
        </w:rPr>
      </w:pPr>
      <w:r>
        <w:rPr>
          <w:rFonts w:ascii="Times New Roman CYR" w:hAnsi="Times New Roman CYR"/>
          <w:sz w:val="24"/>
          <w:lang w:val="ru-RU"/>
        </w:rPr>
        <w:t>Ценные бумаги - неизбежный атрибут всякого нормативного товарного оборота. Будучи товаром, они вместе с тем способны служить как средством кредита, так и средством платежа, эффективно заменяя в этом качестве наличные деньги. Не случайно ранее в имущественных отношениях использовались некоторые виды ценных бумаг (облигации и лотерейные билеты в отношениях с участием граждан, чеки для расчетов между организациями, векселя во внешнеторговом обороте). Переход к рыночной организации экономики и попытки формирования рынка ценных бумаг потребовали возрождения и использования всего многообразия ценных бумаг. В свою очередь, появилась настоятельная потребность в четком правовом оформлении ценных бумаг и их оборота, при отсутствии которого их использование просто невозможно.</w:t>
      </w:r>
    </w:p>
    <w:p w:rsidR="00126275" w:rsidRDefault="00481C26">
      <w:pPr>
        <w:pStyle w:val="1"/>
      </w:pPr>
      <w:r>
        <w:t>Список использованной литературы</w:t>
      </w:r>
    </w:p>
    <w:p w:rsidR="00126275" w:rsidRDefault="00481C26">
      <w:pPr>
        <w:pStyle w:val="a3"/>
        <w:tabs>
          <w:tab w:val="left" w:pos="6237"/>
          <w:tab w:val="left" w:pos="6521"/>
        </w:tabs>
        <w:ind w:left="567"/>
        <w:rPr>
          <w:rFonts w:ascii="Arial" w:hAnsi="Arial"/>
          <w:sz w:val="40"/>
          <w:lang w:val="ru-RU"/>
        </w:rPr>
      </w:pPr>
      <w:r>
        <w:rPr>
          <w:rFonts w:ascii="Arial" w:hAnsi="Arial"/>
          <w:sz w:val="40"/>
          <w:lang w:val="ru-RU"/>
        </w:rPr>
        <w:t>Нормативный материал</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1.Конституция Российской Федерации от 12.12.93 г.</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 xml:space="preserve">2.Гражданский Кодекс Российской Федерации. Часть </w:t>
      </w:r>
      <w:r>
        <w:rPr>
          <w:rFonts w:ascii="Arial" w:hAnsi="Arial"/>
          <w:sz w:val="24"/>
        </w:rPr>
        <w:t>I</w:t>
      </w:r>
      <w:r>
        <w:rPr>
          <w:rFonts w:ascii="Arial" w:hAnsi="Arial"/>
          <w:sz w:val="24"/>
          <w:lang w:val="ru-RU"/>
        </w:rPr>
        <w:t>. 30.11.94 г.</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3.Федеральный Закон “О рынке ценных бумаг” от 11.06.94 г. № 39-ФЗ</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4.Постановление Президиума Верховного Совета РСФСР “О применении векселя в хозяйственном обороте РСФСР” от 24.06.91 г. № 1451-1</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5.Положение “О выпуске и обращении ценных бумаг и фондовых биржах в РСФСР” утвержденное постановлением Правительства РСФСР от 28.12.91 г. № 78</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6.Положение “О чеках” утвержденное постановлением Верховного Совета РФ от 13.02.92 г. № 2349-1</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7.Письмо Минфина РФ “О правилах совершения и регистрации сделок с ценными бумагами” от 06.07.92 г. № 53 (вместе с Инструкцией о правилах совершения и регистрации сделок с ценными бумагами)</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8.Указ Президента РФ “О защите прав инвесторов” от 11.06.94 г. № 1233</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9.Указ Президента РФ “О мерах по государственному регулированию рынка ценных бумаг в Российской Федерации” от 04.11.94 г. № 2063</w:t>
      </w:r>
    </w:p>
    <w:p w:rsidR="00126275" w:rsidRDefault="00126275">
      <w:pPr>
        <w:pStyle w:val="a3"/>
        <w:tabs>
          <w:tab w:val="left" w:pos="6237"/>
          <w:tab w:val="left" w:pos="6521"/>
        </w:tabs>
        <w:ind w:left="567"/>
        <w:rPr>
          <w:rFonts w:ascii="Arial" w:hAnsi="Arial"/>
          <w:sz w:val="24"/>
          <w:lang w:val="ru-RU"/>
        </w:rPr>
      </w:pPr>
    </w:p>
    <w:p w:rsidR="00126275" w:rsidRDefault="00126275">
      <w:pPr>
        <w:pStyle w:val="a3"/>
        <w:tabs>
          <w:tab w:val="left" w:pos="6237"/>
          <w:tab w:val="left" w:pos="6521"/>
        </w:tabs>
        <w:ind w:left="567"/>
        <w:rPr>
          <w:rFonts w:ascii="Academy" w:hAnsi="Academy"/>
          <w:sz w:val="40"/>
          <w:lang w:val="ru-RU"/>
        </w:rPr>
      </w:pPr>
    </w:p>
    <w:p w:rsidR="00126275" w:rsidRDefault="00126275">
      <w:pPr>
        <w:pStyle w:val="a3"/>
        <w:tabs>
          <w:tab w:val="left" w:pos="6237"/>
          <w:tab w:val="left" w:pos="6521"/>
        </w:tabs>
        <w:ind w:left="567"/>
        <w:rPr>
          <w:rFonts w:ascii="Academy" w:hAnsi="Academy"/>
          <w:sz w:val="40"/>
          <w:lang w:val="ru-RU"/>
        </w:rPr>
      </w:pPr>
    </w:p>
    <w:p w:rsidR="00126275" w:rsidRDefault="00126275">
      <w:pPr>
        <w:pStyle w:val="a3"/>
        <w:tabs>
          <w:tab w:val="left" w:pos="6237"/>
          <w:tab w:val="left" w:pos="6521"/>
        </w:tabs>
        <w:ind w:left="567"/>
        <w:rPr>
          <w:rFonts w:ascii="Academy" w:hAnsi="Academy"/>
          <w:sz w:val="40"/>
          <w:lang w:val="ru-RU"/>
        </w:rPr>
      </w:pPr>
    </w:p>
    <w:p w:rsidR="00126275" w:rsidRDefault="00126275">
      <w:pPr>
        <w:pStyle w:val="a3"/>
        <w:tabs>
          <w:tab w:val="left" w:pos="6237"/>
          <w:tab w:val="left" w:pos="6521"/>
        </w:tabs>
        <w:ind w:left="567"/>
        <w:rPr>
          <w:rFonts w:ascii="Academy" w:hAnsi="Academy"/>
          <w:sz w:val="40"/>
          <w:lang w:val="ru-RU"/>
        </w:rPr>
      </w:pPr>
    </w:p>
    <w:p w:rsidR="00126275" w:rsidRDefault="00481C26">
      <w:pPr>
        <w:pStyle w:val="a3"/>
        <w:tabs>
          <w:tab w:val="left" w:pos="6237"/>
          <w:tab w:val="left" w:pos="6521"/>
        </w:tabs>
        <w:ind w:left="567"/>
        <w:rPr>
          <w:rFonts w:ascii="Arial" w:hAnsi="Arial"/>
          <w:sz w:val="40"/>
          <w:lang w:val="ru-RU"/>
        </w:rPr>
      </w:pPr>
      <w:r>
        <w:rPr>
          <w:rFonts w:ascii="Arial" w:hAnsi="Arial"/>
          <w:sz w:val="40"/>
          <w:lang w:val="ru-RU"/>
        </w:rPr>
        <w:t>Литература</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1.Дм. Васильев. Российский рынок ценных бумаг//Закон , № 1, 1996</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 xml:space="preserve">2.В. Андреев. Правовое регулирование рынка ценных бумаг// Бухучет, </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 2, 1997</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3.В. Белов. Ценные бумаги: Вопросы правовой регламентации. - М., 1993</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4.Е. Демушкина. Ценные бумаги// Закон, 1996</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5.М. Брагинский. Объекты гражданских прав//Хозяйство и право, № 5, 1995</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6.Н. Семилютина. Государственные ценные бумаги. Проблемы эмиссии и обращения// Право и экономика, № 2; 3; 4, 1997</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7.Н. Ступаков. Государственное регулирование рынка ценных бумаг// Право и экономика, № 21-22, 1996</w:t>
      </w:r>
    </w:p>
    <w:p w:rsidR="00126275" w:rsidRDefault="00481C26">
      <w:pPr>
        <w:pStyle w:val="a3"/>
        <w:tabs>
          <w:tab w:val="left" w:pos="6237"/>
          <w:tab w:val="left" w:pos="6521"/>
        </w:tabs>
        <w:ind w:left="567"/>
        <w:rPr>
          <w:rFonts w:ascii="Arial" w:hAnsi="Arial"/>
          <w:sz w:val="24"/>
          <w:lang w:val="ru-RU"/>
        </w:rPr>
      </w:pPr>
      <w:r>
        <w:rPr>
          <w:rFonts w:ascii="Arial" w:hAnsi="Arial"/>
          <w:sz w:val="24"/>
          <w:lang w:val="ru-RU"/>
        </w:rPr>
        <w:t>8.Н. Ступаков. Рынок ценных бумаг и иностранные инвестиции// Право и экономика, № 1, 1997</w:t>
      </w:r>
    </w:p>
    <w:p w:rsidR="00126275" w:rsidRDefault="00481C26">
      <w:pPr>
        <w:pStyle w:val="a3"/>
        <w:tabs>
          <w:tab w:val="left" w:pos="6237"/>
          <w:tab w:val="left" w:pos="6521"/>
        </w:tabs>
        <w:ind w:left="567"/>
        <w:rPr>
          <w:rFonts w:ascii="Academy" w:hAnsi="Academy"/>
          <w:sz w:val="32"/>
          <w:lang w:val="ru-RU"/>
        </w:rPr>
      </w:pPr>
      <w:r>
        <w:rPr>
          <w:rFonts w:ascii="Arial" w:hAnsi="Arial"/>
          <w:sz w:val="24"/>
          <w:lang w:val="ru-RU"/>
        </w:rPr>
        <w:t>9.П.Пантеллев. Рынок ценных бумаг. - М., 1996. - 110 с.</w:t>
      </w:r>
      <w:bookmarkStart w:id="0" w:name="_GoBack"/>
      <w:bookmarkEnd w:id="0"/>
    </w:p>
    <w:sectPr w:rsidR="00126275">
      <w:endnotePr>
        <w:numFmt w:val="decimal"/>
        <w:numStart w:val="0"/>
      </w:endnotePr>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cademy">
    <w:altName w:val="Times New Roman"/>
    <w:panose1 w:val="00000000000000000000"/>
    <w:charset w:val="00"/>
    <w:family w:val="auto"/>
    <w:notTrueType/>
    <w:pitch w:val="default"/>
    <w:sig w:usb0="00000003" w:usb1="00000000" w:usb2="00000000" w:usb3="00000000" w:csb0="00000001"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endnotePr>
    <w:pos w:val="sectEnd"/>
    <w:numFmt w:val="decimal"/>
    <w:numStart w:val="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81C26"/>
    <w:rsid w:val="00126275"/>
    <w:rsid w:val="00481C26"/>
    <w:rsid w:val="007A44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1F237DC-57AD-40AD-84A6-D1E7587CD9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Îáû÷íûé"/>
    <w:pPr>
      <w:overflowPunct w:val="0"/>
      <w:autoSpaceDE w:val="0"/>
      <w:autoSpaceDN w:val="0"/>
      <w:adjustRightInd w:val="0"/>
      <w:textAlignment w:val="baseline"/>
    </w:pPr>
    <w:rPr>
      <w:rFonts w:ascii="MS Sans Serif" w:hAnsi="MS Sans Serif"/>
      <w:lang w:val="en-US"/>
    </w:rPr>
  </w:style>
  <w:style w:type="paragraph" w:customStyle="1" w:styleId="1">
    <w:name w:val="çàãîëîâîê 1"/>
    <w:basedOn w:val="a3"/>
    <w:next w:val="a3"/>
    <w:pPr>
      <w:keepNext/>
      <w:ind w:left="567"/>
      <w:jc w:val="center"/>
    </w:pPr>
    <w:rPr>
      <w:rFonts w:ascii="Arial" w:hAnsi="Arial"/>
      <w:sz w:val="40"/>
      <w:lang w:val="ru-RU"/>
    </w:rPr>
  </w:style>
  <w:style w:type="character" w:customStyle="1" w:styleId="a4">
    <w:name w:val="Îñíîâíîé øðèôò"/>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6709</Words>
  <Characters>38247</Characters>
  <Application>Microsoft Office Word</Application>
  <DocSecurity>0</DocSecurity>
  <Lines>318</Lines>
  <Paragraphs>89</Paragraphs>
  <ScaleCrop>false</ScaleCrop>
  <Company>diakov.net</Company>
  <LinksUpToDate>false</LinksUpToDate>
  <CharactersWithSpaces>44867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Ценные бумаги как объекты гражданских прав</dc:title>
  <dc:subject/>
  <dc:creator>Зуева</dc:creator>
  <cp:keywords/>
  <dc:description/>
  <cp:lastModifiedBy>Irina</cp:lastModifiedBy>
  <cp:revision>2</cp:revision>
  <dcterms:created xsi:type="dcterms:W3CDTF">2014-08-04T14:56:00Z</dcterms:created>
  <dcterms:modified xsi:type="dcterms:W3CDTF">2014-08-04T14:56:00Z</dcterms:modified>
</cp:coreProperties>
</file>