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Реферат на тему:</w:t>
      </w: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ЦЕННЫЕ БУМАГИ</w:t>
      </w:r>
    </w:p>
    <w:p w:rsidR="006B3ADF" w:rsidRPr="00C067A7" w:rsidRDefault="006B3ADF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F33ABB" w:rsidRPr="00C067A7" w:rsidRDefault="00F33ABB" w:rsidP="00F33ABB">
      <w:pPr>
        <w:spacing w:line="360" w:lineRule="auto"/>
        <w:jc w:val="center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rPr>
          <w:sz w:val="28"/>
          <w:szCs w:val="28"/>
        </w:rPr>
      </w:pPr>
      <w:r w:rsidRPr="00C067A7">
        <w:rPr>
          <w:sz w:val="28"/>
          <w:szCs w:val="28"/>
        </w:rPr>
        <w:t>Выполнила: студентка 4 курса</w:t>
      </w:r>
    </w:p>
    <w:p w:rsidR="006B3ADF" w:rsidRPr="00C067A7" w:rsidRDefault="006B3ADF" w:rsidP="00F33ABB">
      <w:pPr>
        <w:spacing w:line="360" w:lineRule="auto"/>
        <w:rPr>
          <w:sz w:val="28"/>
          <w:szCs w:val="28"/>
        </w:rPr>
      </w:pPr>
      <w:r w:rsidRPr="00C067A7">
        <w:rPr>
          <w:sz w:val="28"/>
          <w:szCs w:val="28"/>
        </w:rPr>
        <w:t>Дымова Александра</w:t>
      </w:r>
    </w:p>
    <w:p w:rsidR="006B3ADF" w:rsidRPr="00C067A7" w:rsidRDefault="006B3ADF" w:rsidP="00F33ABB">
      <w:pPr>
        <w:spacing w:line="360" w:lineRule="auto"/>
        <w:rPr>
          <w:sz w:val="28"/>
          <w:szCs w:val="28"/>
        </w:rPr>
      </w:pPr>
      <w:r w:rsidRPr="00C067A7">
        <w:rPr>
          <w:sz w:val="28"/>
          <w:szCs w:val="28"/>
        </w:rPr>
        <w:t>НД 4-1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sz w:val="28"/>
          <w:szCs w:val="28"/>
        </w:rPr>
        <w:br w:type="page"/>
      </w:r>
      <w:r w:rsidRPr="00C067A7">
        <w:rPr>
          <w:b/>
          <w:bCs/>
          <w:sz w:val="28"/>
          <w:szCs w:val="28"/>
        </w:rPr>
        <w:t>ЦЕННАЯ БУМАГА</w:t>
      </w:r>
    </w:p>
    <w:p w:rsidR="006B3ADF" w:rsidRPr="00C067A7" w:rsidRDefault="006B3ADF" w:rsidP="00F33ABB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Среди инструментов рынка ценных бумаг важное место занимают государственные долевые обязательства. Их эмитентами являются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центральные правительства, органы власти на местах, учреждения и организации, пользующиеся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государственной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поддержкой.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Государственные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ценные бумаги выпускаются для: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финансирования текущего бюджетного дефицита;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погашения ранее размещенных займов;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обеспечения кассового исполнения государственного бюджета;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сглаживания неравномерности поступления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налоговых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платежей;</w:t>
      </w:r>
      <w:r w:rsidR="00F33ABB" w:rsidRPr="00C067A7">
        <w:rPr>
          <w:sz w:val="28"/>
          <w:szCs w:val="28"/>
        </w:rPr>
        <w:t xml:space="preserve">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обеспечения коммерческих банков ликвидными резервными активами;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финансирования целевых программ, осуществляемых местными органами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власти;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поддержки социально значимых учреждений и организаций.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Выпуск государственных ценных бумаг является наиболее экономически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целесообразным методом финансирования бюджетного дефицита по сравнению с практикой заимствования средств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центральном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банке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 привлечением доходов от эмиссии денег. Действительно, использование кредитных ресурсов центрального банка сужает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его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возможности регулирования ссудного рынка и поэтому практически во всех странах с рыночной экономикой установлены ограничения на доступ правительства к этим ресурсам. Покрытие дефицита бюджета через эмиссию денег приводит к поступлению в оборот необеспеченных реальными активами платежных средств и связано с инфляцией, расстройством денежного обращения. Следует отметить, что необходимость выпуска долговых инструментов может появиться в связи с потребностью погашения ранее выпущенных правительством займов даже при без дефицитности бюджета текущего года. Кроме тот, независимо от наличия указанных причин, в рамках одного бюджетного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года нередко возникают относительно короткие разрывы между государственными доходами и расходами. Они обычно связаны с тем, что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пик поступлений платежей в бюджет приходится на определенные даты, установленные для их уплаты и подачи налоговых деклараций, 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то время как бюджетные расходы имеют более. равномерное распределение по времени. Поэтому государство может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прибегать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к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выпуску краткосрочных ценных бумаг также в целях кассового исполнения бюджета. Выпуск некоторых видов государственных ценных бумаг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может способствовать сглаживанию неравномерности налоговых поступлений, устраняя тем самым причину кассовой несбалансированности бюджета. Например, Казначейство (министерство финансов) Великобритании выпускает именные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налогово-депозитные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сертификаты,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которые могут по желанию их держателей либо в любое время быть возвращены обратно, либо использованы при уплате налогов. В последнем случае по сертификатам выплачиваются повышенные проценты, благодаря чему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стимулируется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интерес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плательщиков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к заблаговременному внесению сумм налоговых платежей и снижается вероятность кассовых разрывов между доходами и расходами бюджета.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 ряде стран краткосрочные государственные ценные бумаги в разные периоды использовались в целях обеспечения коммерческих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банков ликвидными активами. Коммерческие кредитные учреждения помещают в выпускаемые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правительством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фондовые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инструменты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часть своих ресурсов, главным образом резервных фондов, которые благодаря этому не омертвляются, а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приносят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доход.</w:t>
      </w:r>
      <w:r w:rsidR="00F33ABB" w:rsidRPr="00C067A7">
        <w:rPr>
          <w:sz w:val="28"/>
          <w:szCs w:val="28"/>
        </w:rPr>
        <w:t xml:space="preserve">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Государственные ценные бумаги могут выпускаться для финансирования программ, осуществляемых органами власти на местах, а также для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привлечения средств во внебюджетные фонды. Государство вправе выпускать не только свои собственные ценные бумаги, но и давать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гарантии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по долевым обязательствам, эмитируемым различными учреждениями и организациями, которые по его мнению заслуживают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правительственной поддержки. Такие долевые обязательства приобретают статус государственных ценных бумаг.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Финансирование государственного долга посредством выпуска государственных ценных бумаг сопряжено с меньшими издержками, чем привлечение средств с помощью банковских кредитов. Это связано с тем, что правительственные долевые обязательства отличают высокой ликвидностью и инвесторы испытывают гораздо меньше затруднений при их реализации на вторичном рынке, чем при перепродаже ссуд, предоставленных взаймы государству. Поэтому государственные ценные бумаги в странах с рыночной экономикой, как правило, являются одним из основных источников финансирования внутреннего долга.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ВИДЫ ЦЕННЫХ БУМАГ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Ценная бумага - это денежный документ, удостоверяющий имущественное право или отношение займа владельца документа к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лицу,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выпустившему такой документ;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источник формирования уставного капитала акционерных обществ и финансирования расходов государства</w:t>
      </w:r>
      <w:r w:rsidR="00D03925" w:rsidRPr="00C067A7">
        <w:rPr>
          <w:sz w:val="28"/>
          <w:szCs w:val="28"/>
        </w:rPr>
        <w:t>,</w:t>
      </w:r>
      <w:r w:rsidRPr="00C067A7">
        <w:rPr>
          <w:sz w:val="28"/>
          <w:szCs w:val="28"/>
        </w:rPr>
        <w:t xml:space="preserve"> территориально-административных органов управления, муниципалитетов; форма вложений денежных средств физическими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юридическими лицами и способ получения ими доходов от этих вложений.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К ценным бумагам относятся денежные документы: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а) удостоверяющие право владения или отношения займа;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б) определяющие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взаимоотношения между лицом, выпустившим эти документы, и их владельцем;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в) предусматривающие, как правило, выплату дохода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виде дивидендов или процентов, а также возможность передачи денежных и иных прав, вытекающих из этих отношений, другим лицам.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Для каких целей выпускаются ценные бумаги?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Во-первых, государство использует их как метод мобилизации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денежных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сбережений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граждан, временно свободных финансовых ресурсов институциональных инвесторов (страховые компании, пенсионные фонды и др.) для финансирования расходов бюджета, превышающих его доходы.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Во-вторых, ценные бумаги используются для регулирования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денежного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обращения.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Например, в США эмиссия наличных денег осуществляется центральным банком - Федеральной резервной системой (ФРС) под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приемлемое обеспечение, главным образом государственными облигациями. После размещения на первичном рынке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государственные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ценные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бумаги обращаются на вторичном рынке. При необходимости ФРС скупает их у коммерческих банков. В результате этой операции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увеличиваются резервы коммерческих банков в ФРС. А это значит, что коммерческие банки могут выдавать предпринимателям значительно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большие суммы кредитов. Так, изменяя суммы выпуска и скупки ценных бумаг и учетные ставки по кредитам, ФРС регулирует денежное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обращение.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В-третьих, предприятия и организации используют ценные бумаги как источник инвестиций (создание новых фирм, развитие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действующих), имеющий определенные преимущества перед кредитом.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В-четвертых, предприятия, организации и банки используют ценные бумаги как универсальный кредитно-расчетный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инструмент.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Ценные бумаги - это элемент бюджетного механизма, денежного обращения, хозяйственного механизма предприятий.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 настоящее время на российском фондовом рынке находятся в обращении следующие виды государственных ценных бумаг и обязательств: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государственные краткосрочные бескупонные облигации;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государственные долгосрочные обязательства;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казначейские обязательства и казначейские векселя;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облигации государственного внутреннего валютного займа.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Доход по государственным ценным бумагам может быть получен в виде дисконта от номинальной цены и (или) в виде купонных выплат. По облигациям Федеральных займов 1995 года владелец облигации имеет право на получение суммы основного долга (номинальной стоимости), выплачиваемой при погашении выпуска, или иного имущественного эквивалента, а также на получение в соответствий с условиями выпуска дохода в виде процента, начисляемого к номинальной стоимости облигации федеральных займов.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Виды ценных бумаг: облигации, акции, обязательства, сертификаты, векселя, ноты, закладные, варранты, опционы, фьючерсы и др.</w:t>
      </w:r>
    </w:p>
    <w:p w:rsidR="00BD71FC" w:rsidRDefault="00BD71FC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ОБЛИГАЦИИ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Облигация - ценная бумага, удостоверяющая отношение займа между ее владельцем (кредитором) и лицом, выпустившим ее (эмитентом, должником). Облигации - долевые обязательства эмитентов, источник финансирования расходов бюджета, превышающих доходы; источник финансирования инвестиций акционерных обществ; форма сбережений средств граждан и организаций и получения ими дохода.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На облигации указана номинальная стоимость. Она может быть продана за сумму меньшую, чем номинальная стоимость (со скидкой).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Тогда лицо, выпустившее ее, обязано возместить ее держателю в предусмотренный срок номинальную стоимость. Доход держателя в этом случае образуется в виде разницы между номинальной и продажной ценой (дискаунта к номиналу). Облигация может быть продана по номинальной стоимости либо по рыночной цене. В этом случае лицо, выпустившее облигацию, обязано возместить ее держателю в предусмотренный срок номинальную стоимость и уплатить ему фиксированный процент. При покупке облигации по номиналу доход держателя равен полученному проценту. При перепродаже облигаций по рыночной цене держатель ее имеет доход или убыток в виде разницы</w:t>
      </w:r>
      <w:r w:rsidR="00D03925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между ценой покупки и ценой продажи и доход в виде процента. В случае фиксированного процента облигации - твердо доходные ценные бумаги.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Облигации выпускают государство (центральное правительство, правительства республик, областей, штатов, муниципалитеты), предприятия и организации (акционерные общества). Облигации, выпускаемые государством, имеют и другие названия (казначейские векселя, казначейские обязательства, ноты, сертификаты). Но по сути вс</w:t>
      </w:r>
      <w:r w:rsidR="00F33ABB" w:rsidRPr="00C067A7">
        <w:rPr>
          <w:sz w:val="28"/>
          <w:szCs w:val="28"/>
        </w:rPr>
        <w:t>е эти ценные бумаги – облигации: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продлеваемые - дают возможность владельцу продлить срок погашения и продолжать получать проценты в течение этого срока;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отсроченные - дают эмитенту право на отсрочку погашения;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конвертируемые - дают владельцу право обменять облигации на акции того же эмитента;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индоссированные - выпущенные одной компанией и гарантированные другой;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индексированные - по которым инвестору предоставляются различные гарантии при инфляции;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 трастовым обеспечением - обеспеченные другими ценными бумагами, находящимися в финансовом учреждении (у эмитента) на тресте (доверительном хранении);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 выкупным фондом - облигации, при выпуске которых зарезервирован специальный фонд для погашения;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ипотечные - выпускаются под обеспечение недвижимым и существом (земля, производственные и жилые здания);</w:t>
      </w:r>
    </w:p>
    <w:p w:rsidR="006B3ADF" w:rsidRPr="00C067A7" w:rsidRDefault="006B3ADF" w:rsidP="00BD71FC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 изменяющимся процентом - он варьируется в зависимости от положения на финансовом рынке.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ВЕКСЕЛЬ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Вексель - ценная бумага, удостоверяющая безусловное денежное обязательство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векселедателя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уплатить владельцу векселя (векселедержателю) определенную сумму в определенный срок. Вексель выполняет кредитную и расчетную) функции; он применяется как средство платежа.</w:t>
      </w:r>
    </w:p>
    <w:p w:rsidR="006B3ADF" w:rsidRPr="00C067A7" w:rsidRDefault="00F33ABB" w:rsidP="00F33AB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67A7">
        <w:rPr>
          <w:i/>
          <w:iCs/>
          <w:sz w:val="28"/>
          <w:szCs w:val="28"/>
        </w:rPr>
        <w:t>Виды векселей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простой и переводной (тратта). Простой вексель - ничем не обусловленное обязательство векселедателя уплатить векселедержателю по наступлении срока определенную сумму денег. Переводной вексель - приказ векселедержателя (трассанта), адресованный плательщику (трассату), об уплате указанной в векселе суммы денег третьему лицу - первому держателю векселя (ремитенту);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домицилированный - имеет оговорку о том, что он подлежит отплате третьим лицом (домицилиатом) по месту жительства плательщика или в другом месте;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торговый вексель - основан на торговой сделке;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финансовый вексель - плательщиками по такому векселю выступают банки.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Реквизиты простого векселя: наименование (вексель, простое и ничем не обусловленное обещание оплатить определенную сумму), указание срока платежа; указание места, в котором должен совершиться платеж; наименование того, кому или по приказу кого платеж должен быть совершен; указание даты и места составления векселя; подпись векселедателя.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 переводном векселе вместо ничем не обусловленного обещания уплатить определенную сумму содержится ничем не обусловленное предложение уплатить определенную сумму и дополнительно к реквизитам простою векселя указывается плательщик.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Держатель векселя до истечения срока уплаты может передать его другому лицу посредством передаточной надписи (индоссамента); может также предложить вексель банку. Банк выплатит ему обозначенную в векселе сумму за вычти процентов за время с момента уплаты до срока платежа по ваксою и банковской комиссии. Банк же либо ждет срока платежа и получает сумму, указанную в векселе, либо перепродает вексель на рынке ценных бумаг (со скидкой), либо переучитывает вексель в центральном (государственном) банке с уплатой ему официальной учетной процентной ставки.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Векселя применяются в развитых странах уже несколько веков. В СССР векселя применялись в 1922-1930 гг. Вторая жизнь векселя качалась в 1996 г. с переходом к рынку.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ЗАКЛАДНАЯ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Закладная - ценная бумага, документ о залоге должником недвижимого имущества (земли, строения), дающий кредитору право продажи заложенного имущества при неуплате ему долга в срок. Закладное свидетельство - документ о залоге должником -</w:t>
      </w:r>
      <w:r w:rsidR="00CB5568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движимого имущества (картины, драгоценности и др.), дающий кредитору право продажи заложенного имущества при неуплате ему долга в срок. Виды закладных свидетельств: именные, ордерные, на предъявителя. Ордерные закладные свидетельства могут передаваться от одного лица к другому по передаточной надписи. Закладные имеют широкое распространение в странах с </w:t>
      </w:r>
      <w:r w:rsidR="00AB6F4F" w:rsidRPr="00C067A7">
        <w:rPr>
          <w:sz w:val="28"/>
          <w:szCs w:val="28"/>
        </w:rPr>
        <w:t>рыночной экономикой.</w:t>
      </w:r>
    </w:p>
    <w:p w:rsidR="006B3ADF" w:rsidRPr="00C067A7" w:rsidRDefault="00F33ABB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sz w:val="28"/>
          <w:szCs w:val="28"/>
        </w:rPr>
        <w:br w:type="page"/>
      </w:r>
      <w:r w:rsidR="006B3ADF" w:rsidRPr="00C067A7">
        <w:rPr>
          <w:b/>
          <w:bCs/>
          <w:sz w:val="28"/>
          <w:szCs w:val="28"/>
        </w:rPr>
        <w:t>ВАРРАНТ, ОПЦИОН, ФЪЮЧЕРС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Облигации, акции, векселя, закладные - основные ценные бумаги. Варранты, опционы, фьючерсы - производные от них ценные бумаги.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Варрант - сертификат (удостоверение), дающий его владельцу право приобретать ценные бумаги по цене, предусмотренной контрактом, в течение определенного времени или бессрочно.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Опцион - контракт (соглашение), предусматривающий право лица, приобретшего опцион, в течение определенного срока купить по определенной цене определенное количество акций у лица, продавшем опцион (опцион вида "пут"), либо продать их ему (опцион вида "пут"). В отличие от варранта опцион дает право не только купить, но и продать ценные бумаги, причем определенное их количество.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Фьючерс - контракт (сделка), заключенный на бирже и представляющий куплю-продажу ценных бумаг по фиксированной в момент его заключения цене, с исполнением операции через определенный промежуток времени (к определенной дате). В отличие от опциона фьючерс представляет собой не право, а обязательство купли-продажи ценных бумаг.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СЕРТИФИКАТЫ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Термин сертификат как ценная бумага имеет два значения: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1) документ - свидетельство кредитного учреждения о депонировании денежных средств, удостоверяющее право вкладчика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на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получение депозита (депозитные сертификаты), или свидетельство банка о получении денег от граждан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для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долгосрочного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сбережения (сберегательные ; сертификаты);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2) вид облигаций государственных займов. Сертификаты дают возможность банкам привлечь вкладчиков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свободных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денежных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средств.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Преимущество их перед обычными депозитными вкладами в том, что они могут перепродаваться на вторичном рынке.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Владелец сертификата получает доход либо в виде процента, либо в виде разницы между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суммой,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подлежащей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выплате,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покупной ценой сертификата.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Так, Автобанк выпустил сертификаты под 7 %, годовых; Сбербанк увеличивает выплаты по сертификатам (сверх номинала) в зависимости от срока хранения; Всероссийский биржевой банк по сертификатам, выпущенным в 1991 г., выплачивает до 30 декабря 1996 г. номинальную, а с 31 декабря 199б г. - двойную номинальную стоимость. Владелец депозитного сертификата Всероссийского биржевого 6анка может использовать его как платежное средство.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Виды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сертификатов: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именные и на предъявителя. Последние могут обращаться на вторичном рынке. В продажную цену включается и начисленный на момент продажи процент;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до востребования и срочные. Депозитные сертификаты до востребования дают владельцу право на изъятие определенных сумм по предъявлении сертификата. На срочных депозитных сертификатах указаны срок отплаты и размер причитающегося процента.</w:t>
      </w:r>
    </w:p>
    <w:p w:rsidR="00BD71FC" w:rsidRDefault="00BD71FC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АКЦИИ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Акция - ценная бумага, удостоверяющая право ее владельца на долю в собственных средствах акционерного общества, на получение дохода от его деятельности и, как правило, на участие в управлении этим обществом. Средства, вырученные акционерным обществом от продажи акций, - источник формирования производственных и непроизводственных основных и оборотных средств. Акция - способ быстрого межотраслевого перелива капиталов, метод вовлечения денежных средств граждан и институциональных инвесторов в хозяйство (предпринимательскую деятельность) и способ получения ими доходов от вложения этих средств. И, наконец, акция - способ «распыления» риска.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sz w:val="28"/>
          <w:szCs w:val="28"/>
        </w:rPr>
        <w:t>В отличие от облигаций акции не являются долговым обязательством акционерного общества; деньги, поступившие ему от продажи акций, представляют собственность акционерного общества; их не надо возвращать держателям акций.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3ADF" w:rsidRPr="00C067A7" w:rsidRDefault="006B3ADF" w:rsidP="00F33A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7A7">
        <w:rPr>
          <w:b/>
          <w:bCs/>
          <w:sz w:val="28"/>
          <w:szCs w:val="28"/>
        </w:rPr>
        <w:t>ВИДЫ АКЦИЙ И ИХ ИСПОЛЬЗОВАНИЕ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6B3ADF" w:rsidRPr="00C067A7" w:rsidRDefault="00F33ABB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И</w:t>
      </w:r>
      <w:r w:rsidR="006B3ADF" w:rsidRPr="00C067A7">
        <w:rPr>
          <w:sz w:val="28"/>
          <w:szCs w:val="28"/>
        </w:rPr>
        <w:t>менные и на предъявителя. В Российской Федерации акционерные общества могут выпускать только именные акции;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привилегированные (преференциальные) и обыкновенные.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Держатели привилегированных акций имеют два преимущества.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Во-первых, в случае ликвидации акционерного общества вначале удовлетворяются претензии кредиторов, затем - держателей привилегированных акций и, наконец, держателей обыкновенных акций.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Во-вторых, держатели привилегированных акций получают фиксированные дивиденды, тогда как дивиденды держателям обыкновенных акций не гарантированы.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 то же время привилегированные акции, как правило, не дают их владельцам право голоса, а обыкновенные акции дают такое право.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Привилегированные акции могут быть: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кумулятивными - по ним выплачиваются "накопленные" дивиденды. Если, например, на привилегированную акцию установлен дивиденд 5 %, но компания в данном году смогла выкатить только 3 %</w:t>
      </w:r>
      <w:r w:rsidR="00D03925" w:rsidRPr="00C067A7">
        <w:rPr>
          <w:sz w:val="28"/>
          <w:szCs w:val="28"/>
        </w:rPr>
        <w:t>,</w:t>
      </w:r>
      <w:r w:rsidRPr="00C067A7">
        <w:rPr>
          <w:sz w:val="28"/>
          <w:szCs w:val="28"/>
        </w:rPr>
        <w:t xml:space="preserve"> то в следующем году она должна выплатить 7 % конвертируемыми - их можно обменять на обыкновенные по заранее определенной цене;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 плавающим курсом - дивиденд по ним «привязывается» к процентной ставке банка;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возвратными и невозвратными. Возвратные акции компания имеет право "отозвать" путем выкупа.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Обычные акции могут быть ограниченными: они не дают права голоса или ограничивают его. Компании могут выпускать привилегированные и обыкновенные акции с ордером, который дает держателям право купить определенное число обыкновенных акций;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Акции могут расщепляться и консолидироваться. При расщеплении одна акция превращается в несколько акций, что приводит к соответствующему уменьшению рыночной цены одной акт. Например, цена акции "А" на рынке равна 100 долл. Вместо нее выпускаются четыре акции "Б" (для этого у владельца акций изымается старый сертификат, взамен ему выдается новый, где указывается новое число акций, в 4 раза большее). Цена одной акции "Б" установится на рынке около 25 долл. При консолидации число акций "А" превращается в меньшее число акций "Б", что приводит к соответствующему увеличению рыночной цены одной акции. Например, цена акции "А" на рынке равна 5 долл. Вместо 100 акций "А" выпускаются 10 акций "Б". Цена одной акции "Б" составит на рынке около 50 долл.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Обыкновенная акция дает один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 xml:space="preserve">голос при решении вопросов на собрании акционеров и участвует в распределении чистой прибыли после пополнения резервов и выплаты дивидендов по привилегированным акциям. </w:t>
      </w:r>
    </w:p>
    <w:p w:rsidR="006B3ADF" w:rsidRPr="00C067A7" w:rsidRDefault="006B3ADF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Привилегированная акция не дает право голоса, но дает фиксированный дивиденд и имеет преимущество перед обыкновенной акцией при распределении прибыли и ликвидации общества.</w:t>
      </w:r>
    </w:p>
    <w:p w:rsidR="002D2826" w:rsidRPr="00BD71FC" w:rsidRDefault="00BD71FC" w:rsidP="00BD71F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389368890"/>
      <w:r w:rsidR="002D2826" w:rsidRPr="00BD71FC">
        <w:rPr>
          <w:b/>
          <w:iCs/>
          <w:sz w:val="28"/>
          <w:szCs w:val="28"/>
        </w:rPr>
        <w:t>КЛАССИФИКАЦИЯ ОПЕРАЦИЙ С ЦЕННЫМИ БУМАГАМИ</w:t>
      </w:r>
      <w:bookmarkEnd w:id="0"/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47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237"/>
      </w:tblGrid>
      <w:tr w:rsidR="002D2826" w:rsidRPr="00C067A7"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Виды (блоки) операции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Краткая характеристика соответствующих видов услуг, техники их исполнения, другие комментарии.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1. Инвестиции в ЦБ путем их покупки по поручению (от имени и за счет клиента на основе договора комиссии или договора получения).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2. Продажа ЦБ по поручению (на основе договора комиссии или договора поручения).</w:t>
            </w:r>
          </w:p>
          <w:p w:rsidR="00F33ABB" w:rsidRPr="00C067A7" w:rsidRDefault="00F33ABB" w:rsidP="00F33ABB">
            <w:pPr>
              <w:spacing w:line="360" w:lineRule="auto"/>
              <w:jc w:val="both"/>
            </w:pP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3. Инвестиции в ЦБ за собственный счет.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4. Продажа собственных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операций по поручению: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*получение инструкции от клиента (при агентстве);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*передача распоряжения финансовому брокеру, если банк сам не является таковым;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*получение подтверждения от брокера о проведении операции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*сверка сделки (в трастовом управлении или через депозитарий);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*изъятие сертификата ЦБ</w:t>
            </w:r>
            <w:r w:rsidR="00F33ABB" w:rsidRPr="00C067A7">
              <w:t xml:space="preserve"> </w:t>
            </w:r>
            <w:r w:rsidRPr="00C067A7">
              <w:t>из хранилища и его надписание (или соответствующее инструктирование депозитария);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*физическая или в безналичной форме поставка ЦБ 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*денежные расчеты (чек, платежное поручение)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5. Эмиссия собственных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При выпуске ЦБ с регистрацией проспекта эмиссии: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*принятие эмитентом решения о выпуске;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*подготовка проспекта эмиссии и других документов;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*регистрация выпуска ЦБ и проспекта эмиссии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*издание проспекта эмиссии и публикация сообщения в средствах массовой информации о выпуске;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*открытие накопительного счета;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*распространение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*регистрация итогов выпуска;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*публикация итогов выпуска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6. Информационное, методическое, правовое, аналитическое и консультационное обслуживание, услуги по сопровождению операций с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Анализ рынка ЦБ: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*Анализ возможности совершения конкретных сделок;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*изучение и прогнозирование конъюнктуры;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*консультирование по применению законодательства;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*организация и сопровождение допуска ЦБ на биржу;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*разработка методической, нормативной документации по операциям с ЦБ, соответствующих правил и процедур деятельности;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*профессиональное обучение;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*разработка общей портфельной стратегии;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*текущие планирование и контроль по управлению портфелем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*налоговое планирование;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*оценка ЦБ;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*разработка и реализация отдельных стратегий.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7. Посредничество в организации выпуска и первичном размещении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*разработка документации и условий выпуска;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*предварительная оценка бумаг;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*осуществление рекламы;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*сопровождение регистрации выпуска в государственных органах;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*гарантирование приобретения бумаг;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*создание группы подписки;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*подбор инвесторов;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*первичное распространение бумаг;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*авансирование эмитента до поступления средств за проданные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*составление отчетности о выпуске;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*публикация итогов подписки и т.д.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8. Расчеты по ЦБ по поручению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9. Перерегистрация ЦБ на условное имя.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*подписание собственником сертификата (индоссамент на распорядителя траста) или составление приложения к сертификату - акционного или облигационного полномочия;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*посылка документов регистратору;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*перерегистрация ЦБ на имя условного собственника - распорядителя траста.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10. Хранение, перевозка и пересылка ЦБ по поручению.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Хранение ЦБ и сертификатов может осуществляться как в собственном хранилище трастового управления банка, так и в специализированном депозитарии.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11. Возврат (частичный или полный) отзывных облигаций или привилегированных акций в случае их отзыва эмитентом до срока погашения.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*получение уведомления от агента по трансферту об отзыве ЦБ (по облигациям на предъявителя - на основе объявления в прессе);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*изъятие сертификатов ЦБ из хранилища трастового управления или уведомление депозитария, если они хранятся в нем;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*отсылка сертификата агенту;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*получение платежа (суммы долга, процента, отзывная премия).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12. Погашение ЦБ при наступлении срока.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*уведомление администратором счета операционного отдела;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*извлечение сертификатов ЦБ из хранилища трастового управления (или уведомление депозитария);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*отсылка сертификатов агенту по платежам;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*получение платежа на трастовый счет.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13. Безвозмездная поставка ЦБ на счет и безвозмездная их передача (в случае дарения, открытия закрытия трастового счета, передачи ЦБ в порядке наследования, их передачи между трастовыми счетами, совершения платежа ЦБ при взносе средств в уставные фонды, удовлетворении требований кредиторов и т.д.).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передачи с трастового счета: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*уведомление администратором счета операционного отдела;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*извлечение ЦБ из хранилища трастового управления (или уведомление депозитария);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*индоссирование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*посылка документов регистратору;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*перерегистрация ЦБ на имя нового собственника.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14.Выплата дивидендов акциями (трастовые услуги, по поручению, в качестве платежного агента).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*получение уведомления и сертификата ЦБ от агента эмитента по платежам;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*контроль администратором счета документов и передача их в операционный отдел;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*уведомление владельца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*передача акций в хранилище трастового управления (депозитария).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Все эти операции могут осуществляться непосредственно через депозитарий.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15. Сплит акций (увеличение количества или укрупнение их номинала без изменения величины акционерного капитала).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В первом случае к старым сертификатам добавляются новые, во втором - вместо старых выпускаются новые, производится соответствующий обмен.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16. Конвертирование привилегированных акций и облигаций в простые акции (трастовые услуги, по поручению и т.д.).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*списание обмениваемых облигаций и акций с трастового счета в порядке, предусмотренном для безвозмездной передачи (п.13)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*зачисление простых акций после обмена на трастовый счет в порядке, предусмотренном для безвозмездной поставки ЦБ.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Если ЦБ хранятся в депозитарии, то последний самостоятельно выполняет указанные операции по уведомлению распорядителя траста.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17. Использование прав покупки и варрантов.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*списание прав покупки и варрантов с трастового счета в порядке, предусмотренном для безвозмездной передачи (п. 13)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*зачисление простых акций, приобретенных в результате использования</w:t>
            </w:r>
            <w:r w:rsidR="00F33ABB" w:rsidRPr="00C067A7">
              <w:t xml:space="preserve"> </w:t>
            </w:r>
            <w:r w:rsidRPr="00C067A7">
              <w:t>указанных прав, в порядке</w:t>
            </w:r>
            <w:r w:rsidR="00D03925" w:rsidRPr="00C067A7">
              <w:t>,</w:t>
            </w:r>
            <w:r w:rsidRPr="00C067A7">
              <w:t xml:space="preserve"> предусмотренном для покупки ЦБ.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18. Замена ЦБ при их порче, краже, потере и т.д. (включая юридические, документарные и организационные процедуры, связанные с заменой).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19. Замена ЦБ при изменении названия АО (в порядке трастовой услуги, по поручению, в качестве агента эмитента).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*списание заменяемых ЦБ с трастового счета в порядке, предусмотренном для безвозмездной передачи (п.13);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*зачисление ЦБ после замены на трастовый счет в порядке, предусмотренном для безвозмездной поставки ЦБ (п.13);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Если регистрационный код ЦБ не меняется, то возможен вариант простого изменения названия общества в сертификате.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20.Обмен ЦБ при разделении компании (проведение операций, связанных с обменом, в порядке трастовой услуги или по поручению клиентов - владельцев бумаг, или в качестве агента эмитента).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*списание заменяемых ЦБ в порядке, предусмотренном для безвозмездной передачи (п.13);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*зачисление ЦБ на трастовый счет в порядке, предусмотренном для безвозмездной поставки ЦБ (п.13)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Контрагентом распорядителя траста является агент по обмену, назначаемый эмитентом.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21. Обмен ЦБ между акционерными обществами (долями участия), обмен на акции инвестиционных фондов в процессе приватизации.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На примере траста: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*списание и зачисление обмениваемых ЦБ на трастовые счета в порядке, установленном для безвозмездной передачи и поставки ЦБ (п.13).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22.Реализация тендерного предложения (публичное предложение о приобретении контрольного участия в АО путем покупки его акций на установленную дату по определенной цене, часто выше рыночной; предложение выкупа АО своих акций)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Осуществляется в порядке, указанном в п.1,2.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Банк - распорядитель траста (или банк - финансовый брокер) несет ответственность перед владельцем ЦБ за упущенную выгоду.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23. Выделение из компании структурного подразделения и создание на его базе нового АО.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Акционеры базовой компании получают акции нового АО в той пропорции, в которой они владели акциями материнского общества.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Зачисление на трастовый счет клиента акций новой компании происходит в порядке, указанном в п.13.</w:t>
            </w:r>
            <w:r w:rsidR="00F33ABB" w:rsidRPr="00C067A7">
              <w:t xml:space="preserve">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24. Передача банку</w:t>
            </w:r>
            <w:r w:rsidR="00F33ABB" w:rsidRPr="00C067A7">
              <w:t xml:space="preserve"> </w:t>
            </w:r>
            <w:r w:rsidRPr="00C067A7">
              <w:t xml:space="preserve">- распорядителю траста полномочий по голосованию, реализация указанных полномочий.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*передача владельцам ЦБ, находящихся в трасте, 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проекта доверенности для заполнения; 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*получение акционерным обществом (его агентом) заполненных доверенностей либо инструкций, либо распорядитель траста получает ограниченное право голоса или вообще не получает его.</w:t>
            </w:r>
            <w:r w:rsidR="00F33ABB" w:rsidRPr="00C067A7">
              <w:t xml:space="preserve">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25, Инкассация платежей по ЦБ (дивидендов, процентов и т.п.), производство платежей посредникам, консультантам (комиссионных, платы за услуги и т.д.), выплаты положительных курсовых разниц, возникающих при продаже акций инвестиционных фондов, осуществление других платежей).</w:t>
            </w:r>
            <w:r w:rsidRPr="00C067A7">
              <w:rPr>
                <w:u w:val="single"/>
              </w:rPr>
              <w:t xml:space="preserve">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Как по поручению клиента банка - владельца ЦБ, в порядке оказания ему трастовой услуги.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26. Реинвестирование дивидендов, а также доходов, получаемых от прироста курсовой стоимости, другие формы использования дохода от ЦБ (зачисления на определенные счета, производство определенных расходов), создание и использование резервов против возможных потерь.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При трастовом управлении или по поручению клиентов банка.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27. Размещение ЦБ в залог и посредничество в этом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*поиск залогодержателя;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*документальное оформление и регистрация залога;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*реализация залога при невыполнении обязательств;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*получение ссуд под</w:t>
            </w:r>
            <w:r w:rsidR="00F33ABB" w:rsidRPr="00C067A7">
              <w:t xml:space="preserve"> </w:t>
            </w:r>
            <w:r w:rsidRPr="00C067A7">
              <w:t>ЦБ и размещение заемных денежных средств.</w:t>
            </w:r>
            <w:r w:rsidR="00F33ABB" w:rsidRPr="00C067A7">
              <w:t xml:space="preserve">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28. Предоставление и получение ссуд ценными бумагами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29. Получение и предоставление гарантий по операциям с ЦБ, находящимся</w:t>
            </w:r>
            <w:r w:rsidR="00F33ABB" w:rsidRPr="00C067A7">
              <w:t xml:space="preserve"> </w:t>
            </w:r>
            <w:r w:rsidRPr="00C067A7">
              <w:t xml:space="preserve">в портфеле, посредничество в получении гарантий.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30.Посредничество при страховании рисков, связанных с ЦБ и операциями с ними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31. Ведение бухгалтерского учета и составление отчетности по операциям с ЦБ, внутренний контроль и аудит операций с ними, налоговые расчеты и осуществление налоговых платежей.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32. Выполнение административных работ по управлению портфелем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*ведение управленческой документации;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*поддержка информационных систем;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*предоставление пользователям данных о совершенных операциях;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*организация процедуры;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*работа с персоналом и т.д.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33. Агрегированное управление портфелем ЦБ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Реализуется через операции и механизмы, указанные в п. 1-29.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 xml:space="preserve">34. Выполнение определенных законом процедур правовой фиксации факта неплатежа по долговым ЦБ, последующему взысканию 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 xml:space="preserve">невыполненных обязательств, включая реализацию залога, вексельный протест.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35. Операции с вексельным и чековым портфелем.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*инкассирование векселе и чеков;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*акцептование и производство вексельных платежей;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*авалирование векселей и чеков;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*домицилирование векселей.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36. Выполнение функций регистратора ЦБ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поименный учет акционеров, ведение реестра держателей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*замена сертификатов при изменении собственника на ЦБ, ведение корреспонденции, связанной с заменой;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*направление информации акционерам о деятельности АО;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*обеспечение доверенностей (рассылка бланков) и получение на этой основе полномочий, передающих голоса акционеров на собрании акционеров;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*принятие решений по вопросам, выносимым на собрание акционеров, методом опроса акционеров (распространение и сбор бланков).</w:t>
            </w:r>
            <w:r w:rsidR="00F33ABB" w:rsidRPr="00C067A7">
              <w:t xml:space="preserve">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37. Выполнение функций агента по платежам и обмену ЦБ.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*выплата дивидендов, процентов, работа с купонами по облигациям на предъявителя;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*погашение долговых ЦБ при наступлении срока их погашения, при досрочном отзыве (включая проведение лотереи для определенных номеров отзываемых бумаг);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*осуществление платежей ЦБ;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*проведение обменных операций (при сплите, выделении, разделении, слиянии, изменении названия АО и т.д.);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*обмен конвертируемых ЦБ.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38. Выполнение функций доверенного лица по облигационному займу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*держатель облигационного соглашения;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*контроль законности условий займа;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*подготовка документации к выпуску, включая сертификаты облигаций;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*осуществление расчетов по приобретению облигаций и их документальное оформление;</w:t>
            </w:r>
          </w:p>
          <w:p w:rsidR="002D2826" w:rsidRPr="00C067A7" w:rsidRDefault="002D2826" w:rsidP="00F33ABB">
            <w:pPr>
              <w:spacing w:line="360" w:lineRule="auto"/>
              <w:jc w:val="both"/>
            </w:pPr>
            <w:r w:rsidRPr="00C067A7">
              <w:t>*контроль за своевременностью платежей по займу;</w:t>
            </w:r>
          </w:p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*выполнение юридических процедур, связанных с платежами по облигациям и т.д.</w:t>
            </w:r>
            <w:r w:rsidRPr="00C067A7">
              <w:rPr>
                <w:u w:val="single"/>
              </w:rPr>
              <w:t xml:space="preserve"> 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39.Секьюритиза-ция долгов (по ссудам, лизингу и т.п.)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Рефинансирование долга путем его превращения в портфель стандартизованных, обращающихся долговых обязательств, продаваемых инвесторам.</w:t>
            </w:r>
          </w:p>
        </w:tc>
      </w:tr>
      <w:tr w:rsidR="002D2826" w:rsidRPr="00C067A7">
        <w:tc>
          <w:tcPr>
            <w:tcW w:w="241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40. Страхование финансовых рисков по кредитно-депозитным операциям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D2826" w:rsidRPr="00C067A7" w:rsidRDefault="002D2826" w:rsidP="00F33ABB">
            <w:pPr>
              <w:spacing w:line="360" w:lineRule="auto"/>
              <w:jc w:val="both"/>
              <w:rPr>
                <w:u w:val="single"/>
              </w:rPr>
            </w:pPr>
            <w:r w:rsidRPr="00C067A7">
              <w:t>Использование производственных ЦБ для различных стратегий хеджирования рисков, возникающих в кредитно-депозитной деятельности.</w:t>
            </w:r>
          </w:p>
        </w:tc>
      </w:tr>
    </w:tbl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D2826" w:rsidRPr="00C067A7" w:rsidRDefault="002D2826" w:rsidP="00F33ABB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C067A7">
        <w:rPr>
          <w:b/>
          <w:bCs/>
          <w:caps/>
          <w:sz w:val="28"/>
          <w:szCs w:val="28"/>
        </w:rPr>
        <w:t>Обращение ценных бумаг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Наряду с первичным размещением ценных бумаг при их выпуске (эмиссии) юридические лица вправе совершать сделки с любыми ценными бумагами, включая свои собственные, при их последующем обращении на вторичном рынке ценных бумаг. Под обращением ценных бумаг понимается их купля-продажа инвесторами, в том числе при посредничестве профессиональны</w:t>
      </w:r>
      <w:r w:rsidR="00CB5568" w:rsidRPr="00C067A7">
        <w:rPr>
          <w:sz w:val="28"/>
          <w:szCs w:val="28"/>
        </w:rPr>
        <w:t>х участников рынка ценных бумаг.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Сделки с ценными бумагами производятся после их оформления в установленном порядке и, как правило, с оценкой по рыночным ценам.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Цена (курс) акций и производных ценных бумаг определяется в рублях за одну ценную бумагу; цена (курс) облигаций</w:t>
      </w:r>
      <w:r w:rsidR="00F33ABB" w:rsidRPr="00C067A7">
        <w:rPr>
          <w:sz w:val="28"/>
          <w:szCs w:val="28"/>
        </w:rPr>
        <w:t xml:space="preserve"> </w:t>
      </w:r>
      <w:r w:rsidRPr="00C067A7">
        <w:rPr>
          <w:sz w:val="28"/>
          <w:szCs w:val="28"/>
        </w:rPr>
        <w:t>и государственных долговых обязательств - в процентах к их нарицательной стоимости (номиналу).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Вторичный рынок ценных бумаг может быть организованным - через фондовые биржи, и неорганизованным - внебиржевым.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Биржевой и внебиржевой рынки обязаны действовать по четко установленным правилам, обеспечивающим регистрацию перехода прав собственности на объект сделок - ценные бумаги. Право собственности на ценные бумаги переходит к приобретателю: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в момент получения им сертификата на ценные бумаги;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- в момент осуществления записи по счету “депо” приобретателя в случае хранения сертификатов в депозитарии.</w:t>
      </w:r>
    </w:p>
    <w:p w:rsidR="002D2826" w:rsidRPr="00C067A7" w:rsidRDefault="002D2826" w:rsidP="00F33ABB">
      <w:pPr>
        <w:spacing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 xml:space="preserve">Сделка по купле-продаже ценных бумаг оформляется договором, который может быть заключен непосредственно между держателями ценных бумаг и инвестором, то есть лицами, не являющимися профессиональными участниками рынка ценных бумаг. В основном сделки по купле-продаже ценных бумаг производятся брокерами и дилерами - профессиональными участниками рынка ценных бумаг, которые </w:t>
      </w:r>
      <w:r w:rsidR="005379BA" w:rsidRPr="00C067A7">
        <w:rPr>
          <w:sz w:val="28"/>
          <w:szCs w:val="28"/>
        </w:rPr>
        <w:t>действуют</w:t>
      </w:r>
      <w:r w:rsidRPr="00C067A7">
        <w:rPr>
          <w:sz w:val="28"/>
          <w:szCs w:val="28"/>
        </w:rPr>
        <w:t xml:space="preserve"> на основании договора поручения.</w:t>
      </w:r>
    </w:p>
    <w:p w:rsidR="002D2826" w:rsidRPr="00C067A7" w:rsidRDefault="002D2826" w:rsidP="00F33AB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67A7">
        <w:rPr>
          <w:rFonts w:ascii="Times New Roman" w:hAnsi="Times New Roman" w:cs="Times New Roman"/>
          <w:b w:val="0"/>
          <w:bCs w:val="0"/>
          <w:sz w:val="28"/>
          <w:szCs w:val="28"/>
        </w:rPr>
        <w:t>Передача прав на ценную бумагу</w:t>
      </w:r>
    </w:p>
    <w:p w:rsidR="002D2826" w:rsidRPr="00C067A7" w:rsidRDefault="002D2826" w:rsidP="00F33A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7A7">
        <w:rPr>
          <w:sz w:val="28"/>
          <w:szCs w:val="28"/>
        </w:rPr>
        <w:t>Общее правило, установленное в ГК РФ, заключается в том, что право собственности у приобретателя вещи по договору возникает с момента ее передачи, если иное не предусмотрено законом или договором. Учитывая, что, кроме документа, может быть и иной способ фиксации прав, возникает вопрос о том, что же может быть приравнено к передаче имущества в тех случаях, когда имеется иной способ фиксации ценной бумаги: запись по счету "депо" в депозитарии или на лицевом счете в системе ведения реестра. Например, приходная запись по соответствующему счету нового приобретателя. Разница в способах передачи прав на ценную бумагу, таким образом, зависит от выбора формы выпуска.</w:t>
      </w:r>
      <w:bookmarkStart w:id="1" w:name="_GoBack"/>
      <w:bookmarkEnd w:id="1"/>
    </w:p>
    <w:sectPr w:rsidR="002D2826" w:rsidRPr="00C067A7" w:rsidSect="00BD71FC">
      <w:pgSz w:w="11907" w:h="16840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1599B"/>
    <w:multiLevelType w:val="singleLevel"/>
    <w:tmpl w:val="5C6AA3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26"/>
    <w:rsid w:val="00010033"/>
    <w:rsid w:val="00143714"/>
    <w:rsid w:val="002D2826"/>
    <w:rsid w:val="003D04F9"/>
    <w:rsid w:val="005379BA"/>
    <w:rsid w:val="006B3ADF"/>
    <w:rsid w:val="00943078"/>
    <w:rsid w:val="0095150B"/>
    <w:rsid w:val="00AB6F4F"/>
    <w:rsid w:val="00BD71FC"/>
    <w:rsid w:val="00C067A7"/>
    <w:rsid w:val="00CB5568"/>
    <w:rsid w:val="00D011B4"/>
    <w:rsid w:val="00D03925"/>
    <w:rsid w:val="00F20B30"/>
    <w:rsid w:val="00F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2A6C61-28FB-4C2C-AC15-5D34911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HelvCondenced" w:hAnsi="HelvCondenced" w:cs="HelvCondenced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HelvCondenced" w:hAnsi="HelvCondenced" w:cs="HelvCondenced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HelvCondenced" w:hAnsi="HelvCondenced" w:cs="HelvCondence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D2826"/>
    <w:pPr>
      <w:overflowPunct/>
      <w:autoSpaceDE/>
      <w:autoSpaceDN/>
      <w:adjustRightInd/>
      <w:spacing w:before="100" w:beforeAutospacing="1" w:after="100" w:afterAutospacing="1"/>
      <w:ind w:firstLine="262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первая</vt:lpstr>
    </vt:vector>
  </TitlesOfParts>
  <Company>Elcom Ltd</Company>
  <LinksUpToDate>false</LinksUpToDate>
  <CharactersWithSpaces>33297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первая</dc:title>
  <dc:subject/>
  <dc:creator>Alexandre Katalov</dc:creator>
  <cp:keywords/>
  <dc:description/>
  <cp:lastModifiedBy>admin</cp:lastModifiedBy>
  <cp:revision>2</cp:revision>
  <cp:lastPrinted>1997-04-18T10:02:00Z</cp:lastPrinted>
  <dcterms:created xsi:type="dcterms:W3CDTF">2014-03-13T03:15:00Z</dcterms:created>
  <dcterms:modified xsi:type="dcterms:W3CDTF">2014-03-13T03:15:00Z</dcterms:modified>
</cp:coreProperties>
</file>