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E10F50" w:rsidRDefault="00762802">
      <w:pPr>
        <w:pStyle w:val="a3"/>
        <w:rPr>
          <w:b/>
          <w:sz w:val="32"/>
        </w:rPr>
      </w:pPr>
      <w:r>
        <w:rPr>
          <w:b/>
          <w:sz w:val="32"/>
        </w:rPr>
        <w:t>СОДЕРЖАНИЕ</w:t>
      </w:r>
    </w:p>
    <w:p w:rsidR="00E10F50" w:rsidRDefault="00E10F50">
      <w:pPr>
        <w:jc w:val="both"/>
        <w:rPr>
          <w:sz w:val="28"/>
        </w:rPr>
      </w:pPr>
    </w:p>
    <w:p w:rsidR="00E10F50" w:rsidRDefault="00E10F50">
      <w:pPr>
        <w:jc w:val="both"/>
        <w:rPr>
          <w:sz w:val="28"/>
        </w:rPr>
      </w:pPr>
    </w:p>
    <w:p w:rsidR="00E10F50" w:rsidRDefault="00762802">
      <w:pPr>
        <w:pStyle w:val="2"/>
        <w:tabs>
          <w:tab w:val="left" w:pos="709"/>
          <w:tab w:val="right" w:pos="8647"/>
          <w:tab w:val="right" w:pos="9072"/>
        </w:tabs>
      </w:pPr>
      <w:r>
        <w:rPr>
          <w:caps/>
        </w:rPr>
        <w:t>Введение</w:t>
      </w:r>
      <w:r>
        <w:tab/>
        <w:t>.....................................................................................................</w:t>
      </w:r>
      <w:r>
        <w:tab/>
        <w:t>2</w:t>
      </w:r>
    </w:p>
    <w:p w:rsidR="00E10F50" w:rsidRDefault="00E10F50">
      <w:pPr>
        <w:tabs>
          <w:tab w:val="left" w:pos="709"/>
          <w:tab w:val="right" w:pos="8647"/>
          <w:tab w:val="right" w:pos="9072"/>
        </w:tabs>
        <w:jc w:val="both"/>
        <w:rPr>
          <w:sz w:val="28"/>
        </w:rPr>
      </w:pPr>
    </w:p>
    <w:p w:rsidR="00E10F50" w:rsidRDefault="00762802">
      <w:pPr>
        <w:numPr>
          <w:ilvl w:val="0"/>
          <w:numId w:val="16"/>
        </w:numPr>
        <w:tabs>
          <w:tab w:val="left" w:pos="709"/>
          <w:tab w:val="right" w:pos="8647"/>
          <w:tab w:val="right" w:pos="9072"/>
        </w:tabs>
        <w:jc w:val="both"/>
        <w:rPr>
          <w:sz w:val="28"/>
        </w:rPr>
      </w:pPr>
      <w:r>
        <w:rPr>
          <w:sz w:val="28"/>
        </w:rPr>
        <w:t>История регулирования цен в ТЭКе</w:t>
      </w:r>
      <w:r>
        <w:rPr>
          <w:sz w:val="28"/>
        </w:rPr>
        <w:tab/>
        <w:t>.......................................................</w:t>
      </w:r>
      <w:r>
        <w:rPr>
          <w:sz w:val="28"/>
        </w:rPr>
        <w:tab/>
        <w:t>4</w:t>
      </w:r>
    </w:p>
    <w:p w:rsidR="00E10F50" w:rsidRDefault="00E10F50">
      <w:pPr>
        <w:tabs>
          <w:tab w:val="left" w:pos="709"/>
          <w:tab w:val="right" w:pos="8647"/>
          <w:tab w:val="right" w:pos="9072"/>
        </w:tabs>
        <w:jc w:val="both"/>
        <w:rPr>
          <w:sz w:val="28"/>
        </w:rPr>
      </w:pPr>
    </w:p>
    <w:p w:rsidR="00E10F50" w:rsidRDefault="00762802">
      <w:pPr>
        <w:numPr>
          <w:ilvl w:val="0"/>
          <w:numId w:val="16"/>
        </w:numPr>
        <w:tabs>
          <w:tab w:val="left" w:pos="709"/>
          <w:tab w:val="right" w:pos="8647"/>
          <w:tab w:val="right" w:pos="9072"/>
        </w:tabs>
        <w:jc w:val="both"/>
        <w:rPr>
          <w:sz w:val="28"/>
        </w:rPr>
      </w:pPr>
      <w:r>
        <w:rPr>
          <w:sz w:val="28"/>
        </w:rPr>
        <w:t>Структурная реформа</w:t>
      </w:r>
      <w:r>
        <w:rPr>
          <w:sz w:val="28"/>
        </w:rPr>
        <w:tab/>
        <w:t>...............................................................................</w:t>
      </w:r>
      <w:r>
        <w:rPr>
          <w:sz w:val="28"/>
        </w:rPr>
        <w:tab/>
        <w:t>6</w:t>
      </w:r>
    </w:p>
    <w:p w:rsidR="00E10F50" w:rsidRDefault="00E10F50">
      <w:pPr>
        <w:tabs>
          <w:tab w:val="left" w:pos="709"/>
          <w:tab w:val="right" w:pos="8647"/>
          <w:tab w:val="right" w:pos="9072"/>
        </w:tabs>
        <w:jc w:val="both"/>
        <w:rPr>
          <w:sz w:val="28"/>
        </w:rPr>
      </w:pPr>
    </w:p>
    <w:p w:rsidR="00E10F50" w:rsidRDefault="00762802">
      <w:pPr>
        <w:numPr>
          <w:ilvl w:val="0"/>
          <w:numId w:val="16"/>
        </w:numPr>
        <w:tabs>
          <w:tab w:val="left" w:pos="709"/>
          <w:tab w:val="right" w:pos="8647"/>
          <w:tab w:val="right" w:pos="9072"/>
        </w:tabs>
        <w:jc w:val="both"/>
        <w:rPr>
          <w:sz w:val="28"/>
        </w:rPr>
      </w:pPr>
      <w:r>
        <w:rPr>
          <w:sz w:val="28"/>
        </w:rPr>
        <w:t>Структура цен в ТЭКе</w:t>
      </w:r>
      <w:r>
        <w:rPr>
          <w:sz w:val="28"/>
        </w:rPr>
        <w:tab/>
        <w:t>..............................................................................</w:t>
      </w:r>
      <w:r>
        <w:rPr>
          <w:sz w:val="28"/>
        </w:rPr>
        <w:tab/>
        <w:t>10</w:t>
      </w:r>
    </w:p>
    <w:p w:rsidR="00E10F50" w:rsidRDefault="00E10F50">
      <w:pPr>
        <w:tabs>
          <w:tab w:val="left" w:pos="709"/>
          <w:tab w:val="right" w:pos="8647"/>
          <w:tab w:val="right" w:pos="9072"/>
        </w:tabs>
        <w:jc w:val="both"/>
        <w:rPr>
          <w:sz w:val="28"/>
        </w:rPr>
      </w:pPr>
    </w:p>
    <w:p w:rsidR="00E10F50" w:rsidRDefault="00762802">
      <w:pPr>
        <w:numPr>
          <w:ilvl w:val="0"/>
          <w:numId w:val="16"/>
        </w:numPr>
        <w:tabs>
          <w:tab w:val="left" w:pos="709"/>
          <w:tab w:val="right" w:pos="8647"/>
          <w:tab w:val="right" w:pos="9072"/>
        </w:tabs>
        <w:jc w:val="both"/>
        <w:rPr>
          <w:sz w:val="28"/>
        </w:rPr>
      </w:pPr>
      <w:r>
        <w:rPr>
          <w:sz w:val="28"/>
        </w:rPr>
        <w:t>Динамика изменения цен в ТЭКе</w:t>
      </w:r>
      <w:r>
        <w:rPr>
          <w:sz w:val="28"/>
        </w:rPr>
        <w:tab/>
        <w:t>............................................................</w:t>
      </w:r>
      <w:r>
        <w:rPr>
          <w:sz w:val="28"/>
        </w:rPr>
        <w:tab/>
        <w:t>12</w:t>
      </w:r>
    </w:p>
    <w:p w:rsidR="00E10F50" w:rsidRDefault="00E10F50">
      <w:pPr>
        <w:tabs>
          <w:tab w:val="left" w:pos="709"/>
          <w:tab w:val="right" w:pos="8647"/>
          <w:tab w:val="right" w:pos="9072"/>
        </w:tabs>
        <w:jc w:val="both"/>
        <w:rPr>
          <w:sz w:val="28"/>
        </w:rPr>
      </w:pPr>
    </w:p>
    <w:p w:rsidR="00E10F50" w:rsidRDefault="00762802">
      <w:pPr>
        <w:numPr>
          <w:ilvl w:val="0"/>
          <w:numId w:val="16"/>
        </w:numPr>
        <w:tabs>
          <w:tab w:val="left" w:pos="709"/>
          <w:tab w:val="right" w:pos="8647"/>
          <w:tab w:val="right" w:pos="9072"/>
        </w:tabs>
        <w:jc w:val="both"/>
        <w:rPr>
          <w:sz w:val="28"/>
        </w:rPr>
      </w:pPr>
      <w:r>
        <w:rPr>
          <w:sz w:val="28"/>
        </w:rPr>
        <w:t>Дифференциация цен в ТЭКе</w:t>
      </w:r>
      <w:r>
        <w:rPr>
          <w:sz w:val="28"/>
        </w:rPr>
        <w:tab/>
        <w:t>..................................................................</w:t>
      </w:r>
      <w:r>
        <w:rPr>
          <w:sz w:val="28"/>
        </w:rPr>
        <w:tab/>
      </w:r>
      <w:r>
        <w:rPr>
          <w:sz w:val="28"/>
          <w:lang w:val="en-US"/>
        </w:rPr>
        <w:t>14</w:t>
      </w:r>
    </w:p>
    <w:p w:rsidR="00E10F50" w:rsidRDefault="00E10F50">
      <w:pPr>
        <w:tabs>
          <w:tab w:val="left" w:pos="709"/>
          <w:tab w:val="right" w:pos="8647"/>
          <w:tab w:val="right" w:pos="9072"/>
        </w:tabs>
        <w:jc w:val="both"/>
        <w:rPr>
          <w:sz w:val="28"/>
        </w:rPr>
      </w:pPr>
    </w:p>
    <w:p w:rsidR="00E10F50" w:rsidRDefault="00762802">
      <w:pPr>
        <w:numPr>
          <w:ilvl w:val="0"/>
          <w:numId w:val="16"/>
        </w:numPr>
        <w:tabs>
          <w:tab w:val="left" w:pos="426"/>
          <w:tab w:val="right" w:pos="8647"/>
          <w:tab w:val="right" w:pos="9072"/>
        </w:tabs>
        <w:jc w:val="both"/>
        <w:rPr>
          <w:sz w:val="28"/>
        </w:rPr>
      </w:pPr>
      <w:r>
        <w:rPr>
          <w:sz w:val="28"/>
        </w:rPr>
        <w:t>ФОРЭМ</w:t>
      </w:r>
      <w:r>
        <w:rPr>
          <w:sz w:val="28"/>
        </w:rPr>
        <w:tab/>
        <w:t>......................................................................................................</w:t>
      </w:r>
      <w:r>
        <w:rPr>
          <w:sz w:val="28"/>
        </w:rPr>
        <w:tab/>
        <w:t>17</w:t>
      </w:r>
    </w:p>
    <w:p w:rsidR="00E10F50" w:rsidRDefault="00E10F50">
      <w:pPr>
        <w:tabs>
          <w:tab w:val="left" w:pos="709"/>
          <w:tab w:val="right" w:pos="8647"/>
          <w:tab w:val="right" w:pos="9072"/>
        </w:tabs>
        <w:jc w:val="both"/>
        <w:rPr>
          <w:sz w:val="28"/>
        </w:rPr>
      </w:pPr>
    </w:p>
    <w:p w:rsidR="00E10F50" w:rsidRDefault="00762802">
      <w:pPr>
        <w:numPr>
          <w:ilvl w:val="0"/>
          <w:numId w:val="16"/>
        </w:numPr>
        <w:tabs>
          <w:tab w:val="left" w:pos="709"/>
          <w:tab w:val="right" w:pos="8647"/>
          <w:tab w:val="right" w:pos="9072"/>
        </w:tabs>
        <w:jc w:val="both"/>
        <w:rPr>
          <w:sz w:val="28"/>
        </w:rPr>
      </w:pPr>
      <w:r>
        <w:rPr>
          <w:sz w:val="28"/>
        </w:rPr>
        <w:t>Соотношение российских и мировых цен на энергоносители</w:t>
      </w:r>
      <w:r>
        <w:rPr>
          <w:sz w:val="28"/>
        </w:rPr>
        <w:tab/>
        <w:t>.............</w:t>
      </w:r>
      <w:r>
        <w:rPr>
          <w:sz w:val="28"/>
        </w:rPr>
        <w:tab/>
        <w:t>21</w:t>
      </w:r>
    </w:p>
    <w:p w:rsidR="00E10F50" w:rsidRDefault="00E10F50">
      <w:pPr>
        <w:tabs>
          <w:tab w:val="left" w:pos="709"/>
          <w:tab w:val="right" w:pos="8647"/>
          <w:tab w:val="right" w:pos="9072"/>
        </w:tabs>
        <w:jc w:val="both"/>
        <w:rPr>
          <w:sz w:val="28"/>
        </w:rPr>
      </w:pPr>
    </w:p>
    <w:p w:rsidR="00E10F50" w:rsidRDefault="00762802">
      <w:pPr>
        <w:numPr>
          <w:ilvl w:val="0"/>
          <w:numId w:val="21"/>
        </w:numPr>
        <w:tabs>
          <w:tab w:val="clear" w:pos="360"/>
          <w:tab w:val="left" w:pos="567"/>
          <w:tab w:val="num" w:pos="720"/>
          <w:tab w:val="right" w:pos="8647"/>
          <w:tab w:val="right" w:pos="9072"/>
        </w:tabs>
        <w:ind w:left="720"/>
        <w:jc w:val="both"/>
        <w:rPr>
          <w:i/>
          <w:sz w:val="28"/>
        </w:rPr>
      </w:pPr>
      <w:r>
        <w:rPr>
          <w:i/>
          <w:sz w:val="28"/>
        </w:rPr>
        <w:t>Нефть</w:t>
      </w:r>
      <w:r>
        <w:rPr>
          <w:sz w:val="28"/>
        </w:rPr>
        <w:tab/>
        <w:t>....................................................................................................</w:t>
      </w:r>
      <w:r>
        <w:rPr>
          <w:sz w:val="28"/>
        </w:rPr>
        <w:tab/>
        <w:t>21</w:t>
      </w:r>
    </w:p>
    <w:p w:rsidR="00E10F50" w:rsidRDefault="00E10F50">
      <w:pPr>
        <w:tabs>
          <w:tab w:val="left" w:pos="567"/>
          <w:tab w:val="right" w:pos="8647"/>
          <w:tab w:val="right" w:pos="9072"/>
        </w:tabs>
        <w:jc w:val="both"/>
        <w:rPr>
          <w:i/>
          <w:sz w:val="28"/>
        </w:rPr>
      </w:pPr>
    </w:p>
    <w:p w:rsidR="00E10F50" w:rsidRDefault="00762802">
      <w:pPr>
        <w:numPr>
          <w:ilvl w:val="0"/>
          <w:numId w:val="22"/>
        </w:numPr>
        <w:tabs>
          <w:tab w:val="clear" w:pos="360"/>
          <w:tab w:val="left" w:pos="567"/>
          <w:tab w:val="num" w:pos="720"/>
          <w:tab w:val="right" w:pos="8647"/>
          <w:tab w:val="right" w:pos="9072"/>
        </w:tabs>
        <w:ind w:left="720"/>
        <w:jc w:val="both"/>
        <w:rPr>
          <w:i/>
          <w:sz w:val="28"/>
        </w:rPr>
      </w:pPr>
      <w:r>
        <w:rPr>
          <w:i/>
          <w:sz w:val="28"/>
        </w:rPr>
        <w:t>Газ</w:t>
      </w:r>
      <w:r>
        <w:rPr>
          <w:sz w:val="28"/>
        </w:rPr>
        <w:tab/>
        <w:t>..........................................................................................................</w:t>
      </w:r>
      <w:r>
        <w:rPr>
          <w:sz w:val="28"/>
        </w:rPr>
        <w:tab/>
        <w:t>22</w:t>
      </w:r>
    </w:p>
    <w:p w:rsidR="00E10F50" w:rsidRDefault="00E10F50">
      <w:pPr>
        <w:tabs>
          <w:tab w:val="left" w:pos="567"/>
          <w:tab w:val="right" w:pos="8647"/>
          <w:tab w:val="right" w:pos="9072"/>
        </w:tabs>
        <w:jc w:val="both"/>
        <w:rPr>
          <w:i/>
          <w:sz w:val="28"/>
        </w:rPr>
      </w:pPr>
    </w:p>
    <w:p w:rsidR="00E10F50" w:rsidRDefault="00762802">
      <w:pPr>
        <w:numPr>
          <w:ilvl w:val="0"/>
          <w:numId w:val="23"/>
        </w:numPr>
        <w:tabs>
          <w:tab w:val="clear" w:pos="360"/>
          <w:tab w:val="left" w:pos="567"/>
          <w:tab w:val="num" w:pos="720"/>
          <w:tab w:val="right" w:pos="8647"/>
          <w:tab w:val="right" w:pos="9072"/>
        </w:tabs>
        <w:ind w:left="720"/>
        <w:jc w:val="both"/>
        <w:rPr>
          <w:i/>
          <w:sz w:val="28"/>
        </w:rPr>
      </w:pPr>
      <w:r>
        <w:rPr>
          <w:i/>
          <w:sz w:val="28"/>
        </w:rPr>
        <w:t>Уголь</w:t>
      </w:r>
      <w:r>
        <w:rPr>
          <w:sz w:val="28"/>
        </w:rPr>
        <w:tab/>
        <w:t>......................................................................................................</w:t>
      </w:r>
      <w:r>
        <w:rPr>
          <w:sz w:val="28"/>
        </w:rPr>
        <w:tab/>
        <w:t>22</w:t>
      </w:r>
    </w:p>
    <w:p w:rsidR="00E10F50" w:rsidRDefault="00E10F50">
      <w:pPr>
        <w:tabs>
          <w:tab w:val="left" w:pos="567"/>
          <w:tab w:val="right" w:pos="8647"/>
          <w:tab w:val="right" w:pos="9072"/>
        </w:tabs>
        <w:jc w:val="both"/>
        <w:rPr>
          <w:i/>
          <w:sz w:val="28"/>
        </w:rPr>
      </w:pPr>
    </w:p>
    <w:p w:rsidR="00E10F50" w:rsidRDefault="00762802">
      <w:pPr>
        <w:numPr>
          <w:ilvl w:val="0"/>
          <w:numId w:val="20"/>
        </w:numPr>
        <w:tabs>
          <w:tab w:val="clear" w:pos="360"/>
          <w:tab w:val="left" w:pos="567"/>
          <w:tab w:val="num" w:pos="720"/>
          <w:tab w:val="right" w:pos="8647"/>
          <w:tab w:val="right" w:pos="9072"/>
        </w:tabs>
        <w:ind w:left="720"/>
        <w:jc w:val="both"/>
        <w:rPr>
          <w:sz w:val="28"/>
        </w:rPr>
      </w:pPr>
      <w:r>
        <w:rPr>
          <w:i/>
          <w:sz w:val="28"/>
        </w:rPr>
        <w:t>Электроэнергия</w:t>
      </w:r>
      <w:r>
        <w:rPr>
          <w:sz w:val="28"/>
        </w:rPr>
        <w:tab/>
        <w:t>....................................................................................</w:t>
      </w:r>
      <w:r>
        <w:rPr>
          <w:sz w:val="28"/>
        </w:rPr>
        <w:tab/>
        <w:t>23</w:t>
      </w:r>
    </w:p>
    <w:p w:rsidR="00E10F50" w:rsidRDefault="00E10F50">
      <w:pPr>
        <w:tabs>
          <w:tab w:val="left" w:pos="709"/>
          <w:tab w:val="right" w:pos="8647"/>
          <w:tab w:val="right" w:pos="9072"/>
        </w:tabs>
        <w:jc w:val="both"/>
        <w:rPr>
          <w:sz w:val="28"/>
        </w:rPr>
      </w:pPr>
    </w:p>
    <w:p w:rsidR="00E10F50" w:rsidRDefault="00762802">
      <w:pPr>
        <w:pStyle w:val="2"/>
        <w:tabs>
          <w:tab w:val="left" w:pos="709"/>
          <w:tab w:val="right" w:pos="8647"/>
          <w:tab w:val="right" w:pos="9072"/>
        </w:tabs>
        <w:rPr>
          <w:caps/>
        </w:rPr>
      </w:pPr>
      <w:r>
        <w:rPr>
          <w:caps/>
        </w:rPr>
        <w:t>Заключение</w:t>
      </w:r>
      <w:r>
        <w:rPr>
          <w:caps/>
        </w:rPr>
        <w:tab/>
        <w:t>.........</w:t>
      </w:r>
      <w:r>
        <w:t>.....................................................................................</w:t>
      </w:r>
      <w:r>
        <w:tab/>
        <w:t>24</w:t>
      </w:r>
    </w:p>
    <w:p w:rsidR="00E10F50" w:rsidRDefault="00E10F50">
      <w:pPr>
        <w:tabs>
          <w:tab w:val="left" w:pos="709"/>
          <w:tab w:val="right" w:pos="8647"/>
          <w:tab w:val="right" w:pos="9072"/>
        </w:tabs>
        <w:jc w:val="both"/>
        <w:rPr>
          <w:sz w:val="28"/>
        </w:rPr>
      </w:pPr>
    </w:p>
    <w:p w:rsidR="00E10F50" w:rsidRDefault="00762802">
      <w:pPr>
        <w:pStyle w:val="2"/>
        <w:tabs>
          <w:tab w:val="left" w:pos="709"/>
          <w:tab w:val="right" w:pos="8647"/>
          <w:tab w:val="right" w:pos="9072"/>
        </w:tabs>
        <w:rPr>
          <w:caps/>
        </w:rPr>
      </w:pPr>
      <w:r>
        <w:rPr>
          <w:caps/>
        </w:rPr>
        <w:t>Список литературы</w:t>
      </w:r>
      <w:r>
        <w:rPr>
          <w:caps/>
        </w:rPr>
        <w:tab/>
      </w:r>
      <w:r>
        <w:t>.............................................................................</w:t>
      </w:r>
      <w:r>
        <w:tab/>
        <w:t>26</w:t>
      </w:r>
    </w:p>
    <w:p w:rsidR="00E10F50" w:rsidRDefault="00762802">
      <w:pPr>
        <w:jc w:val="center"/>
        <w:rPr>
          <w:b/>
          <w:caps/>
          <w:sz w:val="32"/>
        </w:rPr>
      </w:pPr>
      <w:r>
        <w:rPr>
          <w:sz w:val="28"/>
        </w:rPr>
        <w:br w:type="page"/>
      </w:r>
      <w:r>
        <w:rPr>
          <w:b/>
          <w:caps/>
          <w:sz w:val="32"/>
        </w:rPr>
        <w:t>Введение</w:t>
      </w:r>
    </w:p>
    <w:p w:rsidR="00E10F50" w:rsidRDefault="00E10F50">
      <w:pPr>
        <w:ind w:firstLine="709"/>
        <w:jc w:val="both"/>
        <w:rPr>
          <w:sz w:val="28"/>
        </w:rPr>
      </w:pPr>
    </w:p>
    <w:p w:rsidR="00E10F50" w:rsidRDefault="00762802">
      <w:pPr>
        <w:pStyle w:val="a6"/>
      </w:pPr>
      <w:r>
        <w:t>Ценовая политика имеет важнейшее значение для экономики в целом и для каждого человека, и поэтому прежде всего следует определиться с понятием цены. Разные источники в зависимости от позиции, на которой они находятся и от уровня развития экономической мысли именуют ее по-разному:</w:t>
      </w:r>
    </w:p>
    <w:p w:rsidR="00E10F50" w:rsidRDefault="00762802">
      <w:pPr>
        <w:tabs>
          <w:tab w:val="left" w:pos="1701"/>
        </w:tabs>
        <w:ind w:left="1701" w:hanging="992"/>
        <w:jc w:val="both"/>
        <w:rPr>
          <w:sz w:val="28"/>
        </w:rPr>
      </w:pPr>
      <w:r>
        <w:rPr>
          <w:b/>
          <w:i/>
          <w:sz w:val="28"/>
        </w:rPr>
        <w:t>Цена</w:t>
      </w:r>
      <w:r>
        <w:rPr>
          <w:sz w:val="28"/>
        </w:rPr>
        <w:t xml:space="preserve"> – </w:t>
      </w:r>
      <w:r>
        <w:rPr>
          <w:sz w:val="28"/>
        </w:rPr>
        <w:tab/>
        <w:t>то же, что и стоимость, так объяснил В. Даль в своем «Толковом словаре».</w:t>
      </w:r>
    </w:p>
    <w:p w:rsidR="00E10F50" w:rsidRDefault="00762802">
      <w:pPr>
        <w:tabs>
          <w:tab w:val="left" w:pos="1701"/>
        </w:tabs>
        <w:ind w:left="1701" w:hanging="992"/>
        <w:jc w:val="both"/>
        <w:rPr>
          <w:sz w:val="28"/>
        </w:rPr>
      </w:pPr>
      <w:r>
        <w:rPr>
          <w:b/>
          <w:i/>
          <w:sz w:val="28"/>
        </w:rPr>
        <w:t>Цена</w:t>
      </w:r>
      <w:r>
        <w:rPr>
          <w:sz w:val="28"/>
        </w:rPr>
        <w:t xml:space="preserve"> –</w:t>
      </w:r>
      <w:r>
        <w:rPr>
          <w:sz w:val="28"/>
        </w:rPr>
        <w:tab/>
        <w:t>денежное выражение стоимости товара, трактовка Советского Энциклопедического Словаря, 1987 г.</w:t>
      </w:r>
    </w:p>
    <w:p w:rsidR="00E10F50" w:rsidRDefault="00762802">
      <w:pPr>
        <w:tabs>
          <w:tab w:val="left" w:pos="1701"/>
        </w:tabs>
        <w:ind w:left="1701" w:hanging="992"/>
        <w:jc w:val="both"/>
        <w:rPr>
          <w:sz w:val="28"/>
        </w:rPr>
      </w:pPr>
      <w:r>
        <w:rPr>
          <w:b/>
          <w:i/>
          <w:sz w:val="28"/>
        </w:rPr>
        <w:t>Цена</w:t>
      </w:r>
      <w:r>
        <w:rPr>
          <w:sz w:val="28"/>
        </w:rPr>
        <w:t xml:space="preserve"> –</w:t>
      </w:r>
      <w:r>
        <w:rPr>
          <w:sz w:val="28"/>
        </w:rPr>
        <w:tab/>
        <w:t>количество денег (или других товаров и услуг), уплачиваемое и получаемое за единицу товара или услуги, «Экономикс» Макконела и Брю, 1995 г.</w:t>
      </w:r>
    </w:p>
    <w:p w:rsidR="00E10F50" w:rsidRDefault="00762802">
      <w:pPr>
        <w:ind w:firstLine="709"/>
        <w:jc w:val="both"/>
        <w:rPr>
          <w:sz w:val="28"/>
        </w:rPr>
      </w:pPr>
      <w:r>
        <w:rPr>
          <w:sz w:val="28"/>
        </w:rPr>
        <w:t>Эта курсовая работа рассчитана на то, чтобы дать анализ состояния цен в топливно-энергетическом комплексе, их соотношения между собой в этой сфере и с другими отраслями, сравнить с мировыми ценами на энергоресурсы, определить влияние инфляции на ценообразование, выяснить, какую роль в ценовой политике играет государство и рассмотреть динамику изменения цен в переходный период, а также изучить, какую роль играет региональная дифференциация ресурсов в ценообразовании.</w:t>
      </w:r>
    </w:p>
    <w:p w:rsidR="00E10F50" w:rsidRDefault="00762802">
      <w:pPr>
        <w:ind w:firstLine="709"/>
        <w:jc w:val="both"/>
        <w:rPr>
          <w:sz w:val="28"/>
        </w:rPr>
      </w:pPr>
      <w:r>
        <w:rPr>
          <w:sz w:val="28"/>
        </w:rPr>
        <w:t>Для исследований в этих вопросах будет использоваться Законодательные акты Российской Федерации, периодические и книжные издания.</w:t>
      </w:r>
    </w:p>
    <w:p w:rsidR="00E10F50" w:rsidRDefault="00E10F50">
      <w:pPr>
        <w:ind w:firstLine="709"/>
        <w:jc w:val="both"/>
        <w:rPr>
          <w:sz w:val="28"/>
        </w:rPr>
      </w:pPr>
    </w:p>
    <w:p w:rsidR="00E10F50" w:rsidRDefault="00762802">
      <w:pPr>
        <w:ind w:firstLine="709"/>
        <w:jc w:val="both"/>
        <w:rPr>
          <w:b/>
          <w:i/>
          <w:sz w:val="28"/>
        </w:rPr>
      </w:pPr>
      <w:r>
        <w:rPr>
          <w:b/>
          <w:i/>
          <w:sz w:val="28"/>
        </w:rPr>
        <w:t>Основные определения:</w:t>
      </w:r>
    </w:p>
    <w:p w:rsidR="00E10F50" w:rsidRDefault="00762802">
      <w:pPr>
        <w:numPr>
          <w:ilvl w:val="0"/>
          <w:numId w:val="1"/>
        </w:numPr>
        <w:tabs>
          <w:tab w:val="clear" w:pos="360"/>
          <w:tab w:val="num" w:pos="371"/>
        </w:tabs>
        <w:ind w:left="720"/>
        <w:jc w:val="both"/>
        <w:rPr>
          <w:sz w:val="28"/>
        </w:rPr>
      </w:pPr>
      <w:r>
        <w:rPr>
          <w:i/>
          <w:sz w:val="28"/>
        </w:rPr>
        <w:t>Ценообразование</w:t>
      </w:r>
      <w:r>
        <w:rPr>
          <w:sz w:val="28"/>
        </w:rPr>
        <w:t xml:space="preserve"> – формирование органами исполнительной власти и коммерческими организациями тарифов на продукцию ТЭК.</w:t>
      </w:r>
    </w:p>
    <w:p w:rsidR="00E10F50" w:rsidRDefault="00762802">
      <w:pPr>
        <w:numPr>
          <w:ilvl w:val="0"/>
          <w:numId w:val="1"/>
        </w:numPr>
        <w:tabs>
          <w:tab w:val="clear" w:pos="360"/>
          <w:tab w:val="num" w:pos="371"/>
        </w:tabs>
        <w:ind w:left="720"/>
        <w:jc w:val="both"/>
        <w:rPr>
          <w:sz w:val="28"/>
        </w:rPr>
      </w:pPr>
      <w:r>
        <w:rPr>
          <w:i/>
          <w:sz w:val="28"/>
        </w:rPr>
        <w:t>Рыночная цена</w:t>
      </w:r>
      <w:r>
        <w:rPr>
          <w:sz w:val="28"/>
        </w:rPr>
        <w:t xml:space="preserve"> – цена товара, складывающаяся а товарном рынке без государственного воздействия на эту цену.</w:t>
      </w:r>
    </w:p>
    <w:p w:rsidR="00E10F50" w:rsidRDefault="00762802">
      <w:pPr>
        <w:numPr>
          <w:ilvl w:val="0"/>
          <w:numId w:val="1"/>
        </w:numPr>
        <w:tabs>
          <w:tab w:val="clear" w:pos="360"/>
          <w:tab w:val="num" w:pos="371"/>
        </w:tabs>
        <w:ind w:left="720"/>
        <w:jc w:val="both"/>
        <w:rPr>
          <w:sz w:val="28"/>
        </w:rPr>
      </w:pPr>
      <w:r>
        <w:rPr>
          <w:i/>
          <w:sz w:val="28"/>
        </w:rPr>
        <w:t>Регулируемая цена</w:t>
      </w:r>
      <w:r>
        <w:rPr>
          <w:sz w:val="28"/>
        </w:rPr>
        <w:t xml:space="preserve"> – цена товара (тариф), складывающаяся на товарном рынке при государственном воздействии на эту цену, в том числе путем установления ее предельной или фиксированной величины.</w:t>
      </w:r>
    </w:p>
    <w:p w:rsidR="00E10F50" w:rsidRDefault="00762802">
      <w:pPr>
        <w:numPr>
          <w:ilvl w:val="0"/>
          <w:numId w:val="1"/>
        </w:numPr>
        <w:tabs>
          <w:tab w:val="clear" w:pos="360"/>
          <w:tab w:val="num" w:pos="371"/>
        </w:tabs>
        <w:ind w:left="720"/>
        <w:jc w:val="both"/>
        <w:rPr>
          <w:sz w:val="28"/>
        </w:rPr>
      </w:pPr>
      <w:r>
        <w:rPr>
          <w:i/>
          <w:sz w:val="28"/>
        </w:rPr>
        <w:t>Размер платы за услуги</w:t>
      </w:r>
      <w:r>
        <w:rPr>
          <w:sz w:val="28"/>
        </w:rPr>
        <w:t xml:space="preserve"> – система ценовых ставок, по которым осуществляются расчету за услуги, предоставляемые на оптовом и потребительском рынках.</w:t>
      </w:r>
    </w:p>
    <w:p w:rsidR="00E10F50" w:rsidRDefault="00762802">
      <w:pPr>
        <w:numPr>
          <w:ilvl w:val="0"/>
          <w:numId w:val="1"/>
        </w:numPr>
        <w:tabs>
          <w:tab w:val="clear" w:pos="360"/>
          <w:tab w:val="num" w:pos="371"/>
        </w:tabs>
        <w:ind w:left="720"/>
        <w:jc w:val="both"/>
        <w:rPr>
          <w:sz w:val="28"/>
        </w:rPr>
      </w:pPr>
      <w:r>
        <w:rPr>
          <w:i/>
          <w:sz w:val="28"/>
        </w:rPr>
        <w:t>Регулируемая деятельность</w:t>
      </w:r>
      <w:r>
        <w:rPr>
          <w:sz w:val="28"/>
        </w:rPr>
        <w:t xml:space="preserve"> – деятельность в сфере производства, передачи и распределения электрической энергии (мощности) и/или тепловой энергии (мощности), а также других ресурсов ТЭКа, подлежащая государственному регулированию в соответствии с Федеральным законом «О государственном регулировании тарифов на электрическую и тепловую энергию в Российской Федерации».</w:t>
      </w:r>
    </w:p>
    <w:p w:rsidR="00E10F50" w:rsidRDefault="00762802">
      <w:pPr>
        <w:numPr>
          <w:ilvl w:val="0"/>
          <w:numId w:val="1"/>
        </w:numPr>
        <w:tabs>
          <w:tab w:val="clear" w:pos="360"/>
          <w:tab w:val="num" w:pos="371"/>
        </w:tabs>
        <w:ind w:left="720"/>
        <w:jc w:val="both"/>
        <w:rPr>
          <w:sz w:val="28"/>
        </w:rPr>
      </w:pPr>
      <w:r>
        <w:rPr>
          <w:i/>
          <w:sz w:val="28"/>
        </w:rPr>
        <w:t>Период регулирования</w:t>
      </w:r>
      <w:r>
        <w:rPr>
          <w:sz w:val="28"/>
        </w:rPr>
        <w:t xml:space="preserve"> – временной интервал (квартал, полугодие, год), принимаемый для расчета показателей, включаемых в предложения по установлению тарифов на энергоресурсы.</w:t>
      </w:r>
    </w:p>
    <w:p w:rsidR="00E10F50" w:rsidRDefault="00762802">
      <w:pPr>
        <w:numPr>
          <w:ilvl w:val="0"/>
          <w:numId w:val="1"/>
        </w:numPr>
        <w:tabs>
          <w:tab w:val="clear" w:pos="360"/>
          <w:tab w:val="num" w:pos="371"/>
        </w:tabs>
        <w:ind w:left="720"/>
        <w:jc w:val="both"/>
        <w:rPr>
          <w:sz w:val="28"/>
        </w:rPr>
      </w:pPr>
      <w:r>
        <w:rPr>
          <w:i/>
          <w:sz w:val="28"/>
        </w:rPr>
        <w:t>Энергоснабжающая организация</w:t>
      </w:r>
      <w:r>
        <w:rPr>
          <w:sz w:val="28"/>
        </w:rPr>
        <w:t xml:space="preserve"> – коммерческая организация независимо от организационно-правовой формы, осуществляющая в обслуживаемом регионе продажу потребителям произведенных и/или купленных энергоресурсов.</w:t>
      </w:r>
    </w:p>
    <w:p w:rsidR="00E10F50" w:rsidRDefault="00762802">
      <w:pPr>
        <w:numPr>
          <w:ilvl w:val="0"/>
          <w:numId w:val="1"/>
        </w:numPr>
        <w:tabs>
          <w:tab w:val="clear" w:pos="360"/>
          <w:tab w:val="num" w:pos="371"/>
        </w:tabs>
        <w:ind w:left="720"/>
        <w:jc w:val="both"/>
        <w:rPr>
          <w:sz w:val="28"/>
        </w:rPr>
      </w:pPr>
      <w:r>
        <w:rPr>
          <w:i/>
          <w:sz w:val="28"/>
        </w:rPr>
        <w:t>Избыточная энергоснабжающая организация</w:t>
      </w:r>
      <w:r>
        <w:rPr>
          <w:sz w:val="28"/>
        </w:rPr>
        <w:t xml:space="preserve"> – энергоснабжающая организация, собственное производство электрической энергии (мощности) которой превышает объем потребления в обслуживаемом регионе.</w:t>
      </w:r>
    </w:p>
    <w:p w:rsidR="00E10F50" w:rsidRDefault="00762802">
      <w:pPr>
        <w:numPr>
          <w:ilvl w:val="0"/>
          <w:numId w:val="1"/>
        </w:numPr>
        <w:tabs>
          <w:tab w:val="clear" w:pos="360"/>
          <w:tab w:val="num" w:pos="371"/>
        </w:tabs>
        <w:ind w:left="720"/>
        <w:jc w:val="both"/>
        <w:rPr>
          <w:sz w:val="28"/>
        </w:rPr>
      </w:pPr>
      <w:r>
        <w:rPr>
          <w:i/>
          <w:sz w:val="28"/>
        </w:rPr>
        <w:t>Дефицитная энергоснабжающая организация</w:t>
      </w:r>
      <w:r>
        <w:rPr>
          <w:sz w:val="28"/>
        </w:rPr>
        <w:t xml:space="preserve"> – энергоснабжающая организация, собственное производство электрической энергии (мощности) которой не обеспечивает объем потребления в обслуживающем регионе.</w:t>
      </w:r>
    </w:p>
    <w:p w:rsidR="00E10F50" w:rsidRDefault="00762802">
      <w:pPr>
        <w:numPr>
          <w:ilvl w:val="0"/>
          <w:numId w:val="1"/>
        </w:numPr>
        <w:tabs>
          <w:tab w:val="clear" w:pos="360"/>
          <w:tab w:val="num" w:pos="371"/>
        </w:tabs>
        <w:ind w:left="720"/>
        <w:jc w:val="both"/>
        <w:rPr>
          <w:sz w:val="28"/>
        </w:rPr>
      </w:pPr>
      <w:r>
        <w:rPr>
          <w:i/>
          <w:sz w:val="28"/>
        </w:rPr>
        <w:t>Регион</w:t>
      </w:r>
      <w:r>
        <w:rPr>
          <w:sz w:val="28"/>
        </w:rPr>
        <w:t xml:space="preserve"> – территория, на которой обязанности и права  по поставкам (продаже) потребителям электрической энергии (мощности)  и тепловой энергии (мощности) закреплены за соответствующей энергоснабжающей организацией.</w:t>
      </w:r>
    </w:p>
    <w:p w:rsidR="00E10F50" w:rsidRDefault="00762802">
      <w:pPr>
        <w:numPr>
          <w:ilvl w:val="0"/>
          <w:numId w:val="1"/>
        </w:numPr>
        <w:tabs>
          <w:tab w:val="clear" w:pos="360"/>
          <w:tab w:val="num" w:pos="371"/>
        </w:tabs>
        <w:ind w:left="720"/>
        <w:jc w:val="both"/>
        <w:rPr>
          <w:sz w:val="28"/>
        </w:rPr>
      </w:pPr>
      <w:r>
        <w:rPr>
          <w:i/>
          <w:sz w:val="28"/>
        </w:rPr>
        <w:t>Производитель энергии</w:t>
      </w:r>
      <w:r>
        <w:rPr>
          <w:sz w:val="28"/>
        </w:rPr>
        <w:t xml:space="preserve"> – коммерческая организация независимо от организационно-правовой формы, осуществляющая производство и продажу электрической энергии (мощности) и/или тепловой энергии (мощности) на оптовый или потребительский рынок для дальнейшей переработки, транспортировки, распределения и продажи потребителям.</w:t>
      </w:r>
    </w:p>
    <w:p w:rsidR="00E10F50" w:rsidRDefault="00762802">
      <w:pPr>
        <w:numPr>
          <w:ilvl w:val="0"/>
          <w:numId w:val="1"/>
        </w:numPr>
        <w:tabs>
          <w:tab w:val="clear" w:pos="360"/>
          <w:tab w:val="num" w:pos="371"/>
        </w:tabs>
        <w:ind w:left="720"/>
        <w:jc w:val="both"/>
        <w:rPr>
          <w:sz w:val="28"/>
        </w:rPr>
      </w:pPr>
      <w:r>
        <w:rPr>
          <w:i/>
          <w:sz w:val="28"/>
        </w:rPr>
        <w:t>Потребитель</w:t>
      </w:r>
      <w:r>
        <w:rPr>
          <w:sz w:val="28"/>
        </w:rPr>
        <w:t xml:space="preserve"> – физическое или юридическое лицо, пользующееся электрической энергией (мощностью) и/или тепловой энергией (мощностью).</w:t>
      </w:r>
    </w:p>
    <w:p w:rsidR="00E10F50" w:rsidRDefault="00762802">
      <w:pPr>
        <w:numPr>
          <w:ilvl w:val="0"/>
          <w:numId w:val="1"/>
        </w:numPr>
        <w:tabs>
          <w:tab w:val="clear" w:pos="360"/>
          <w:tab w:val="num" w:pos="371"/>
        </w:tabs>
        <w:ind w:left="720"/>
        <w:jc w:val="both"/>
        <w:rPr>
          <w:sz w:val="28"/>
        </w:rPr>
      </w:pPr>
      <w:r>
        <w:rPr>
          <w:i/>
          <w:sz w:val="28"/>
        </w:rPr>
        <w:t>Оптовый рынок</w:t>
      </w:r>
      <w:r>
        <w:rPr>
          <w:sz w:val="28"/>
        </w:rPr>
        <w:t xml:space="preserve"> – федеральный (общероссийский) оптовый рынок электрической энергии (мощности).</w:t>
      </w:r>
    </w:p>
    <w:p w:rsidR="00E10F50" w:rsidRDefault="00762802">
      <w:pPr>
        <w:numPr>
          <w:ilvl w:val="0"/>
          <w:numId w:val="1"/>
        </w:numPr>
        <w:tabs>
          <w:tab w:val="clear" w:pos="360"/>
          <w:tab w:val="num" w:pos="371"/>
        </w:tabs>
        <w:ind w:left="720"/>
        <w:jc w:val="both"/>
        <w:rPr>
          <w:sz w:val="28"/>
        </w:rPr>
      </w:pPr>
      <w:r>
        <w:rPr>
          <w:i/>
          <w:sz w:val="28"/>
        </w:rPr>
        <w:t>Субъекты оптового рынка</w:t>
      </w:r>
      <w:r>
        <w:rPr>
          <w:sz w:val="28"/>
        </w:rPr>
        <w:t xml:space="preserve"> – юридические лица, осуществляющие куплю/продажу электрической энергии (мощности) и/или предоставляющие услуги на оптовом рынке.</w:t>
      </w:r>
    </w:p>
    <w:p w:rsidR="00E10F50" w:rsidRDefault="00762802">
      <w:pPr>
        <w:numPr>
          <w:ilvl w:val="0"/>
          <w:numId w:val="1"/>
        </w:numPr>
        <w:tabs>
          <w:tab w:val="clear" w:pos="360"/>
          <w:tab w:val="num" w:pos="371"/>
        </w:tabs>
        <w:ind w:left="720"/>
        <w:jc w:val="both"/>
        <w:rPr>
          <w:sz w:val="28"/>
        </w:rPr>
      </w:pPr>
      <w:r>
        <w:rPr>
          <w:i/>
          <w:sz w:val="28"/>
        </w:rPr>
        <w:t>Потребительский рынок</w:t>
      </w:r>
      <w:r>
        <w:rPr>
          <w:sz w:val="28"/>
        </w:rPr>
        <w:t xml:space="preserve"> – сфера купли/продажи энергоснабжающим организациям и потребителям электрической энергии (мощности) и тепловой энергии (мощности).</w:t>
      </w:r>
      <w:r>
        <w:rPr>
          <w:rStyle w:val="a8"/>
        </w:rPr>
        <w:footnoteReference w:id="1"/>
      </w:r>
    </w:p>
    <w:p w:rsidR="00E10F50" w:rsidRDefault="00E10F50">
      <w:pPr>
        <w:jc w:val="center"/>
        <w:rPr>
          <w:b/>
          <w:sz w:val="28"/>
        </w:rPr>
      </w:pPr>
    </w:p>
    <w:p w:rsidR="00E10F50" w:rsidRDefault="00E10F50">
      <w:pPr>
        <w:jc w:val="center"/>
        <w:rPr>
          <w:b/>
          <w:sz w:val="28"/>
        </w:rPr>
      </w:pPr>
    </w:p>
    <w:p w:rsidR="00E10F50" w:rsidRDefault="00762802">
      <w:pPr>
        <w:pStyle w:val="3"/>
        <w:rPr>
          <w:caps w:val="0"/>
          <w:sz w:val="32"/>
        </w:rPr>
      </w:pPr>
      <w:r>
        <w:rPr>
          <w:sz w:val="32"/>
        </w:rPr>
        <w:t>История регулирования цен в ТЭК</w:t>
      </w:r>
      <w:r>
        <w:rPr>
          <w:caps w:val="0"/>
          <w:sz w:val="32"/>
        </w:rPr>
        <w:t>е</w:t>
      </w:r>
    </w:p>
    <w:p w:rsidR="00E10F50" w:rsidRDefault="00E10F50">
      <w:pPr>
        <w:ind w:firstLine="1080"/>
        <w:jc w:val="both"/>
        <w:rPr>
          <w:sz w:val="28"/>
        </w:rPr>
      </w:pPr>
    </w:p>
    <w:p w:rsidR="00E10F50" w:rsidRDefault="00762802">
      <w:pPr>
        <w:ind w:firstLine="709"/>
        <w:jc w:val="both"/>
        <w:rPr>
          <w:sz w:val="28"/>
        </w:rPr>
      </w:pPr>
      <w:r>
        <w:rPr>
          <w:sz w:val="28"/>
        </w:rPr>
        <w:t xml:space="preserve">Основным показателем, характеризующим экономическую ситуацию в стране, является уровень цен. От того, каким путем регулируются цены и тарифы: под влиянием ли государства или спроса и предложения зависит дальнейшая перспектива развития экономики. До середины 1992 года в нашей стране цены на продукцию ТЭКа регулировались со стороны государства, в то время как цены на остальную продукцию были отпущены уже с начала 1992 года. За счет того, что цены на продукцию потребляемую ТЭКом были свободными и непрерывно повышались, а цены на энергоресурсы были явно занижены, образовалась существенная разница между ценами энергоресурсов и ценами других отраслей. С начала 1992 года регулирование цен осуществлялось через повышающий коэффициент. </w:t>
      </w:r>
      <w:r>
        <w:rPr>
          <w:i/>
          <w:sz w:val="28"/>
        </w:rPr>
        <w:t>На нефть, газ, уголь этот коэффициент был равен 5. На электро- и теплоэнергию были установлены фиксированные цены</w:t>
      </w:r>
      <w:r>
        <w:rPr>
          <w:sz w:val="28"/>
        </w:rPr>
        <w:t xml:space="preserve">. Ряд экономистов считали целесообразным освободить цены на топливо и энергию с 1 января 1992 года, чтобы избежать высокой инфляции. Однако тогда отрасли ТЭК могли резко повысить их цены, как это произошло в металлургии и химико-лесном комплексе, что привело бы к еще большей инфляции и неплатежам. Подтверждает это и освобождение цен на уголь с 1 июля 1993 года, когда они выросли в 5 – 6 раз, обусловив рекордный (на 30%) рост цен в июле. Итак, цены на нефть были отпущены в сентябре 1992 г., а для ограничения необоснованного их роста были введены предельная рентабельность </w:t>
      </w:r>
      <w:r>
        <w:rPr>
          <w:i/>
          <w:sz w:val="28"/>
        </w:rPr>
        <w:t>(50% себестоимости по нефти и 10-20% по нефтепродуктам)</w:t>
      </w:r>
      <w:r>
        <w:rPr>
          <w:sz w:val="28"/>
        </w:rPr>
        <w:t xml:space="preserve"> и отчисления в фонд ценового регулирования при превышении минимальной цены на нефть. На газ цены устанавливались фиксированные с ежемесячной индексацией, а на уголь – были отпущены в 1993 году.</w:t>
      </w:r>
    </w:p>
    <w:p w:rsidR="00E10F50" w:rsidRDefault="00E10F50">
      <w:pPr>
        <w:ind w:firstLine="709"/>
        <w:jc w:val="both"/>
        <w:rPr>
          <w:sz w:val="28"/>
          <w:lang w:val="en-US"/>
        </w:rPr>
      </w:pPr>
    </w:p>
    <w:p w:rsidR="00E10F50" w:rsidRDefault="00762802">
      <w:pPr>
        <w:ind w:firstLine="709"/>
        <w:jc w:val="both"/>
        <w:rPr>
          <w:sz w:val="28"/>
        </w:rPr>
      </w:pPr>
      <w:r>
        <w:rPr>
          <w:sz w:val="28"/>
        </w:rPr>
        <w:t>Большое значение в росте цен имели два основных фактора:</w:t>
      </w:r>
    </w:p>
    <w:p w:rsidR="00E10F50" w:rsidRDefault="00762802">
      <w:pPr>
        <w:numPr>
          <w:ilvl w:val="0"/>
          <w:numId w:val="2"/>
        </w:numPr>
        <w:tabs>
          <w:tab w:val="clear" w:pos="360"/>
          <w:tab w:val="num" w:pos="993"/>
        </w:tabs>
        <w:ind w:left="993" w:hanging="284"/>
        <w:jc w:val="both"/>
        <w:rPr>
          <w:sz w:val="28"/>
        </w:rPr>
      </w:pPr>
      <w:r>
        <w:rPr>
          <w:i/>
          <w:sz w:val="28"/>
        </w:rPr>
        <w:t>Транспортная составляющая</w:t>
      </w:r>
      <w:r>
        <w:rPr>
          <w:sz w:val="28"/>
        </w:rPr>
        <w:t xml:space="preserve"> – в стоимости топливно-энергетических ресурсов в 1994 году на газ она доходила до 80%, на уголь – 54%, на нефть – 15%.</w:t>
      </w:r>
    </w:p>
    <w:p w:rsidR="00E10F50" w:rsidRDefault="00762802">
      <w:pPr>
        <w:numPr>
          <w:ilvl w:val="0"/>
          <w:numId w:val="2"/>
        </w:numPr>
        <w:tabs>
          <w:tab w:val="clear" w:pos="360"/>
          <w:tab w:val="num" w:pos="993"/>
        </w:tabs>
        <w:ind w:left="993" w:hanging="284"/>
        <w:jc w:val="both"/>
        <w:rPr>
          <w:sz w:val="28"/>
        </w:rPr>
      </w:pPr>
      <w:r>
        <w:rPr>
          <w:i/>
          <w:sz w:val="28"/>
        </w:rPr>
        <w:t>Налоговая составляющая</w:t>
      </w:r>
      <w:r>
        <w:rPr>
          <w:sz w:val="28"/>
        </w:rPr>
        <w:t xml:space="preserve"> – сильно увеличилась доля налогов в цене продукции ТЭКа. В 1995 г. На природный газ, реализуемый предприятиями РАО «Газпром» устанавливалась фиксированная ставка акциза в размере 30% от цены  реализации без НДС.</w:t>
      </w:r>
    </w:p>
    <w:p w:rsidR="00E10F50" w:rsidRDefault="00762802">
      <w:pPr>
        <w:pStyle w:val="a6"/>
      </w:pPr>
      <w:r>
        <w:t>Общее соотношение цен на продукцию ТЭК и других отраслей за годы реформ осталось практически неизменным, хотя цены и тарифы на электроэнергию, тепло, газ для промышленности увеличились в большей степени, чем для населения, коммунально-бытовой сферы и сельского хозяйства.</w:t>
      </w:r>
    </w:p>
    <w:p w:rsidR="00E10F50" w:rsidRDefault="00762802">
      <w:pPr>
        <w:pStyle w:val="a6"/>
      </w:pPr>
      <w:r>
        <w:t xml:space="preserve"> </w:t>
      </w:r>
    </w:p>
    <w:p w:rsidR="00E10F50" w:rsidRDefault="00762802">
      <w:pPr>
        <w:pStyle w:val="20"/>
        <w:ind w:firstLine="709"/>
      </w:pPr>
      <w:r>
        <w:t>В 1996 г. Была образована федеральная энергетическая комиссия (ФЭК), основными функциями которой являются:</w:t>
      </w:r>
    </w:p>
    <w:p w:rsidR="00E10F50" w:rsidRDefault="00762802">
      <w:pPr>
        <w:numPr>
          <w:ilvl w:val="0"/>
          <w:numId w:val="9"/>
        </w:numPr>
        <w:jc w:val="both"/>
        <w:rPr>
          <w:sz w:val="28"/>
        </w:rPr>
      </w:pPr>
      <w:r>
        <w:rPr>
          <w:sz w:val="28"/>
        </w:rPr>
        <w:t>Регулирование и контроль деятельности субъектов естественных монополий в сфере транспортировки нефти и нефтепродуктов по магистральным трубопроводам, транспортировки газа по трубопроводам, услуг по передаче электрической и тепловой энергии, включая ценовое регулирование, а также определение потребителей, подлежащих обязательному обслуживанию, или установление минимального уровня их обеспечения в случае невозможности удовлетворения в полном объеме потребностей в продукции (услугах), реализуемой субъектом естественной монополии;</w:t>
      </w:r>
    </w:p>
    <w:p w:rsidR="00E10F50" w:rsidRDefault="00762802">
      <w:pPr>
        <w:numPr>
          <w:ilvl w:val="0"/>
          <w:numId w:val="9"/>
        </w:numPr>
        <w:jc w:val="both"/>
        <w:rPr>
          <w:sz w:val="28"/>
        </w:rPr>
      </w:pPr>
      <w:r>
        <w:rPr>
          <w:sz w:val="28"/>
        </w:rPr>
        <w:t>Государственное регулирование тарифов на электрическую и тепловую энергию.</w:t>
      </w:r>
    </w:p>
    <w:p w:rsidR="00E10F50" w:rsidRDefault="00E10F50">
      <w:pPr>
        <w:jc w:val="both"/>
        <w:rPr>
          <w:sz w:val="28"/>
        </w:rPr>
      </w:pPr>
    </w:p>
    <w:p w:rsidR="00E10F50" w:rsidRDefault="00762802">
      <w:pPr>
        <w:pStyle w:val="a6"/>
      </w:pPr>
      <w:r>
        <w:t>Федеральная энергетическая комиссия устанавливает тарифы:</w:t>
      </w:r>
    </w:p>
    <w:p w:rsidR="00E10F50" w:rsidRDefault="00762802">
      <w:pPr>
        <w:numPr>
          <w:ilvl w:val="0"/>
          <w:numId w:val="11"/>
        </w:numPr>
        <w:tabs>
          <w:tab w:val="clear" w:pos="360"/>
          <w:tab w:val="num" w:pos="1069"/>
        </w:tabs>
        <w:ind w:left="1069"/>
        <w:jc w:val="both"/>
        <w:rPr>
          <w:sz w:val="28"/>
        </w:rPr>
      </w:pPr>
      <w:r>
        <w:rPr>
          <w:sz w:val="28"/>
        </w:rPr>
        <w:t>на электро- и теплоэнергию, отпускаемую на оптовый рынок всеми его субъектами;</w:t>
      </w:r>
    </w:p>
    <w:p w:rsidR="00E10F50" w:rsidRDefault="00762802">
      <w:pPr>
        <w:numPr>
          <w:ilvl w:val="0"/>
          <w:numId w:val="11"/>
        </w:numPr>
        <w:tabs>
          <w:tab w:val="clear" w:pos="360"/>
          <w:tab w:val="num" w:pos="1069"/>
        </w:tabs>
        <w:ind w:left="1069"/>
        <w:jc w:val="both"/>
        <w:rPr>
          <w:sz w:val="28"/>
        </w:rPr>
      </w:pPr>
      <w:r>
        <w:rPr>
          <w:sz w:val="28"/>
        </w:rPr>
        <w:t>на электро- и теплоэнергию, отпускаемую на потребительский рынок субъектами оптового рынка;</w:t>
      </w:r>
    </w:p>
    <w:p w:rsidR="00E10F50" w:rsidRDefault="00762802">
      <w:pPr>
        <w:numPr>
          <w:ilvl w:val="0"/>
          <w:numId w:val="11"/>
        </w:numPr>
        <w:tabs>
          <w:tab w:val="clear" w:pos="360"/>
          <w:tab w:val="num" w:pos="1069"/>
        </w:tabs>
        <w:ind w:left="1069"/>
        <w:jc w:val="both"/>
        <w:rPr>
          <w:sz w:val="28"/>
        </w:rPr>
      </w:pPr>
      <w:r>
        <w:rPr>
          <w:sz w:val="28"/>
        </w:rPr>
        <w:t>на электро- и теплоэнергию, отпускаемую с оптового рынка энергоснабженческим организациям и другим его субъектам;</w:t>
      </w:r>
    </w:p>
    <w:p w:rsidR="00E10F50" w:rsidRDefault="00762802">
      <w:pPr>
        <w:numPr>
          <w:ilvl w:val="0"/>
          <w:numId w:val="11"/>
        </w:numPr>
        <w:tabs>
          <w:tab w:val="clear" w:pos="360"/>
          <w:tab w:val="num" w:pos="1069"/>
        </w:tabs>
        <w:ind w:left="1069"/>
        <w:jc w:val="both"/>
        <w:rPr>
          <w:sz w:val="28"/>
        </w:rPr>
      </w:pPr>
      <w:r>
        <w:rPr>
          <w:sz w:val="28"/>
        </w:rPr>
        <w:t>на природный газ, реализуемый газораспределительным организациям;</w:t>
      </w:r>
    </w:p>
    <w:p w:rsidR="00E10F50" w:rsidRDefault="00762802">
      <w:pPr>
        <w:numPr>
          <w:ilvl w:val="0"/>
          <w:numId w:val="11"/>
        </w:numPr>
        <w:tabs>
          <w:tab w:val="clear" w:pos="360"/>
          <w:tab w:val="num" w:pos="1069"/>
        </w:tabs>
        <w:ind w:left="1069"/>
        <w:jc w:val="both"/>
        <w:rPr>
          <w:sz w:val="28"/>
        </w:rPr>
      </w:pPr>
      <w:r>
        <w:rPr>
          <w:sz w:val="28"/>
        </w:rPr>
        <w:t>на природный газ, реализуемый непосредственно конечным потребителям, а также сбытовые надбавки к оптовой цене промышленности на природный газ, реализуемый конечным потребителям (кроме населения) газораспределительными организациями (перепродавцами).</w:t>
      </w:r>
    </w:p>
    <w:p w:rsidR="00E10F50" w:rsidRDefault="00E10F50">
      <w:pPr>
        <w:ind w:firstLine="709"/>
        <w:jc w:val="both"/>
        <w:rPr>
          <w:sz w:val="28"/>
        </w:rPr>
      </w:pPr>
    </w:p>
    <w:p w:rsidR="00E10F50" w:rsidRDefault="00762802">
      <w:pPr>
        <w:pStyle w:val="a6"/>
      </w:pPr>
      <w:r>
        <w:t>ФЭК решает проблемы на федеральном уровне, а на региональном эту функцию выполняют Региональные энергетические комиссии (они, например, устанавливают тарифы и цены на продукцию ТЭКа, отпускаемую потребителям какого-либо региона).</w:t>
      </w:r>
    </w:p>
    <w:p w:rsidR="00E10F50" w:rsidRDefault="00762802">
      <w:pPr>
        <w:ind w:firstLine="709"/>
        <w:jc w:val="both"/>
        <w:rPr>
          <w:sz w:val="28"/>
        </w:rPr>
      </w:pPr>
      <w:r>
        <w:rPr>
          <w:sz w:val="28"/>
        </w:rPr>
        <w:t>Государственное регулирование цен на энергоресурсы оправдано, так как эластичность энергопотребления чрезвычайно низка, в том числе и в отраслях, имеющих жизненно важное значение. Поэтому полное освобождение цен на энергоресурсы практически не приведет к снижению их потребления, а вызовет соответствующий рост цен на продукцию других отраслей.</w:t>
      </w:r>
    </w:p>
    <w:p w:rsidR="00E10F50" w:rsidRDefault="00E10F50">
      <w:pPr>
        <w:ind w:firstLine="709"/>
        <w:jc w:val="both"/>
        <w:rPr>
          <w:sz w:val="28"/>
        </w:rPr>
      </w:pPr>
    </w:p>
    <w:p w:rsidR="00E10F50" w:rsidRDefault="00E10F50">
      <w:pPr>
        <w:ind w:firstLine="709"/>
        <w:jc w:val="both"/>
        <w:rPr>
          <w:sz w:val="28"/>
        </w:rPr>
      </w:pPr>
    </w:p>
    <w:p w:rsidR="00E10F50" w:rsidRDefault="00E10F50">
      <w:pPr>
        <w:ind w:firstLine="709"/>
        <w:jc w:val="both"/>
        <w:rPr>
          <w:sz w:val="28"/>
        </w:rPr>
      </w:pPr>
    </w:p>
    <w:p w:rsidR="00E10F50" w:rsidRDefault="00762802">
      <w:pPr>
        <w:jc w:val="center"/>
        <w:rPr>
          <w:b/>
          <w:caps/>
          <w:sz w:val="32"/>
        </w:rPr>
      </w:pPr>
      <w:r>
        <w:br w:type="page"/>
      </w:r>
      <w:r>
        <w:rPr>
          <w:b/>
          <w:caps/>
          <w:sz w:val="32"/>
        </w:rPr>
        <w:t>Структурная реформа</w:t>
      </w:r>
    </w:p>
    <w:p w:rsidR="00E10F50" w:rsidRDefault="00E10F50">
      <w:pPr>
        <w:pStyle w:val="10"/>
        <w:spacing w:line="240" w:lineRule="auto"/>
        <w:ind w:right="-7"/>
        <w:jc w:val="both"/>
        <w:rPr>
          <w:sz w:val="28"/>
        </w:rPr>
      </w:pPr>
    </w:p>
    <w:p w:rsidR="00E10F50" w:rsidRDefault="00762802">
      <w:pPr>
        <w:pStyle w:val="10"/>
        <w:spacing w:line="240" w:lineRule="auto"/>
        <w:ind w:left="0" w:right="-7" w:firstLine="709"/>
        <w:jc w:val="both"/>
        <w:rPr>
          <w:sz w:val="28"/>
        </w:rPr>
      </w:pPr>
      <w:r>
        <w:rPr>
          <w:sz w:val="28"/>
        </w:rPr>
        <w:t>Начавшийся в 1992 году переход России к рыночной экономике при одновременном переходе от унитарного к федеративному государственному устройству обусловил необходимость проведения структурных реформ в сфере естественных монополий. В топливно-энергетическом комплексе эти реформы охватывают электроэнергетику и газовую промышленность. Важной задачей в сфере  энергетики  было  обеспечение  устойчивого  энергоснабжения потребителей, которая была решена с помощью такого способа формирования отраслевой структуры капитала, при котором контрольный пакет акций большинства энергетических предприятий и организаций принадлежит Российскому акционерному обществу «ЕЭС России».</w:t>
      </w:r>
    </w:p>
    <w:p w:rsidR="00E10F50" w:rsidRDefault="00762802">
      <w:pPr>
        <w:pStyle w:val="10"/>
        <w:spacing w:line="240" w:lineRule="auto"/>
        <w:ind w:left="0" w:right="-7" w:firstLine="709"/>
        <w:jc w:val="both"/>
        <w:rPr>
          <w:sz w:val="28"/>
        </w:rPr>
      </w:pPr>
      <w:r>
        <w:rPr>
          <w:sz w:val="28"/>
        </w:rPr>
        <w:t>Однако, если рассмотреть функционирование электроэнергетики в переходный период, можно обнаружить наличие у нее большого количества слабых сторон, которые в совокупности с неблагоприятными внешними условиями (спад производства, неплатежи и др.) привели к снижению экономической эффективности деятельности отрасли. Создание и дальнейшее развитие в России федерального (общероссийского) оптового рынка электрической энергии (мощности) – ФОРЭМ требует внесения серьезных изменений в сферу естественной монополии в электроэнергетической отрасли.</w:t>
      </w:r>
    </w:p>
    <w:p w:rsidR="00E10F50" w:rsidRDefault="00762802">
      <w:pPr>
        <w:pStyle w:val="10"/>
        <w:spacing w:line="240" w:lineRule="auto"/>
        <w:ind w:left="0" w:right="-7" w:firstLine="709"/>
        <w:jc w:val="both"/>
        <w:rPr>
          <w:sz w:val="28"/>
        </w:rPr>
      </w:pPr>
      <w:r>
        <w:rPr>
          <w:sz w:val="28"/>
        </w:rPr>
        <w:t xml:space="preserve">Обеспечение надежного электроснабжения российских потребителей с допустимо минимальными затратами, создание благоприятных условий для притока российских и иностранных инвестиций в объекты электроэнергетики невозможно без развития конкуренции в сфере производства энергетической энергии и организации оптового рынка на основе конкуренции, а также без совершенствования государственного регулирования и контроля в тех сферах хозяйственной деятельности, где конкуренция нецелесообразна или невозможна (передача и распределение электроэнергии, управление оптовым рынком и т.д.). Ожидаемым результатом создания условий для конкуренции станет предъявление жестких требований к снижению производственных издержек и повышению экономической эффективности электроэнергетических организаций. Во многом снижение эффективности   инвестиционного процесса является результатом действующего порядка финансирования электроэнергетики. Возможность получения значительных инвестиционных ресурсов за счет их «принудительного» включения в тарифы для конечных потребителей освобождает акционерные   общества электроэнергетики от необходимости поиска потенциальных инвесторов, снижает требовательность к отбору эффективных проектов. Кроме того, финансирование электроэнергетики через регулируемые      тарифы перекладывает весь инвестиционный риск на потребителей электроэнергии, сокращает их собственные инвестиционные возможности по модернизации  производства,  что  не  способствует энергосбережению, преодолению экономического спада и восстановлению конкурентоспособности российской промышленности. Также большие проблемы назрели и в газовой промышленности. Во-первых, не существует разделения видов деятельности на монопольные и потенциально конкурентные (в рамках Российского акционерного общества «Газпром»), и как следствие этого отсутствует ясность в порядке формирования структуры затрат по этим видам деятельности, что не позволяет установить необходимый контроль за издержками предприятий РАО «Газпром» в монопольных видах деятельности. До последнего времени использовался упрощенный режим государственного регулирования газовой промышленности, при котором Российскому акционерному обществу «Газпром» было предоставлено право изменения оптовой цены на газ в соответствии с индексом роста цен на промышленную продукцию. Финансовое положение и издержки РАО «Газпром» при этом не рассматривались. Структурная реформа в этой области предполагает продолжение работы по дифференциации цен на природный газ с учетом стоимости его транспортировки, объемов потребления по сезонам, характера нагрузки и степени надежности газоснабжения. </w:t>
      </w:r>
    </w:p>
    <w:p w:rsidR="00E10F50" w:rsidRDefault="00762802">
      <w:pPr>
        <w:pStyle w:val="10"/>
        <w:spacing w:line="240" w:lineRule="auto"/>
        <w:ind w:left="0" w:right="-7" w:firstLine="709"/>
        <w:jc w:val="both"/>
        <w:rPr>
          <w:sz w:val="28"/>
        </w:rPr>
      </w:pPr>
      <w:r>
        <w:rPr>
          <w:sz w:val="28"/>
        </w:rPr>
        <w:t>Структурная реформа в 1997 – 2000 годах включает следующие основные направления:</w:t>
      </w:r>
    </w:p>
    <w:p w:rsidR="00E10F50" w:rsidRDefault="00762802">
      <w:pPr>
        <w:pStyle w:val="10"/>
        <w:spacing w:line="240" w:lineRule="auto"/>
        <w:ind w:left="0" w:right="-7" w:firstLine="709"/>
        <w:jc w:val="both"/>
        <w:rPr>
          <w:sz w:val="28"/>
        </w:rPr>
      </w:pPr>
      <w:r>
        <w:rPr>
          <w:sz w:val="28"/>
        </w:rPr>
        <w:t xml:space="preserve">В области электроэнергетики цена на оптовом рынке будет формироваться на основе конкурентного отбора заявок на ее продажу при данном уровне спроса, определяемом на основе заявок на покупку электрической энергии. Контроль над формированием цен будет осуществлять Федеральная энергетическая комиссия Российской Федерации и в случае необходимости, она же будет устанавливать предельный уровень на заявляемые цены. В этой же сфере будет разработан и утвержден комплекс нормативных  правовых документов по государственному регулированию тарифов на электрическую и тепловую энергию в Российской Федерации, которые должны: </w:t>
      </w:r>
    </w:p>
    <w:p w:rsidR="00E10F50" w:rsidRDefault="00762802">
      <w:pPr>
        <w:pStyle w:val="10"/>
        <w:tabs>
          <w:tab w:val="left" w:pos="1134"/>
        </w:tabs>
        <w:spacing w:line="240" w:lineRule="auto"/>
        <w:ind w:left="1134" w:right="-7" w:hanging="425"/>
        <w:jc w:val="both"/>
        <w:rPr>
          <w:sz w:val="28"/>
        </w:rPr>
      </w:pPr>
      <w:r>
        <w:rPr>
          <w:sz w:val="28"/>
        </w:rPr>
        <w:t>а)</w:t>
      </w:r>
      <w:r>
        <w:rPr>
          <w:sz w:val="28"/>
        </w:rPr>
        <w:tab/>
        <w:t xml:space="preserve">обеспечивать при установлении тарифов включение всех обоснованных производственных затрат регулируемых организаций электроэнергетики и получение обоснованной прибыли на используемый капитал; </w:t>
      </w:r>
    </w:p>
    <w:p w:rsidR="00E10F50" w:rsidRDefault="00762802">
      <w:pPr>
        <w:pStyle w:val="10"/>
        <w:tabs>
          <w:tab w:val="left" w:pos="1134"/>
        </w:tabs>
        <w:spacing w:line="240" w:lineRule="auto"/>
        <w:ind w:left="1134" w:right="-7" w:hanging="425"/>
        <w:jc w:val="both"/>
        <w:rPr>
          <w:sz w:val="28"/>
        </w:rPr>
      </w:pPr>
      <w:r>
        <w:rPr>
          <w:sz w:val="28"/>
        </w:rPr>
        <w:t>б)</w:t>
      </w:r>
      <w:r>
        <w:rPr>
          <w:sz w:val="28"/>
        </w:rPr>
        <w:tab/>
        <w:t xml:space="preserve">обеспечивать внедрение обоснованной дифференциации тарифов для различных групп потребителей и регионов Российской Федерации, в наибольшей мере отражающей различие издержек в энергоснабжении; </w:t>
      </w:r>
    </w:p>
    <w:p w:rsidR="00E10F50" w:rsidRDefault="00762802">
      <w:pPr>
        <w:pStyle w:val="10"/>
        <w:tabs>
          <w:tab w:val="left" w:pos="1134"/>
        </w:tabs>
        <w:spacing w:line="240" w:lineRule="auto"/>
        <w:ind w:left="1134" w:right="-7" w:hanging="425"/>
        <w:jc w:val="both"/>
        <w:rPr>
          <w:sz w:val="28"/>
        </w:rPr>
      </w:pPr>
      <w:r>
        <w:rPr>
          <w:sz w:val="28"/>
        </w:rPr>
        <w:t>в)</w:t>
      </w:r>
      <w:r>
        <w:rPr>
          <w:sz w:val="28"/>
        </w:rPr>
        <w:tab/>
        <w:t>предусматривать поэтапное прекращение перекрестного субсидирования;</w:t>
      </w:r>
    </w:p>
    <w:p w:rsidR="00E10F50" w:rsidRDefault="00762802">
      <w:pPr>
        <w:pStyle w:val="10"/>
        <w:tabs>
          <w:tab w:val="left" w:pos="1134"/>
        </w:tabs>
        <w:spacing w:line="240" w:lineRule="auto"/>
        <w:ind w:left="1134" w:right="-7" w:hanging="425"/>
        <w:jc w:val="both"/>
        <w:rPr>
          <w:sz w:val="28"/>
        </w:rPr>
      </w:pPr>
      <w:r>
        <w:rPr>
          <w:sz w:val="28"/>
        </w:rPr>
        <w:t xml:space="preserve">г) </w:t>
      </w:r>
      <w:r>
        <w:rPr>
          <w:sz w:val="28"/>
        </w:rPr>
        <w:tab/>
        <w:t xml:space="preserve">установить обоснованные тарифы на транспортировку электрической и тепловой энергии. </w:t>
      </w:r>
    </w:p>
    <w:p w:rsidR="00E10F50" w:rsidRDefault="00E10F50">
      <w:pPr>
        <w:pStyle w:val="10"/>
        <w:spacing w:line="240" w:lineRule="auto"/>
        <w:ind w:left="0" w:right="-7" w:firstLine="709"/>
        <w:jc w:val="both"/>
        <w:rPr>
          <w:sz w:val="28"/>
        </w:rPr>
      </w:pPr>
    </w:p>
    <w:p w:rsidR="00E10F50" w:rsidRDefault="00E10F50">
      <w:pPr>
        <w:pStyle w:val="10"/>
        <w:spacing w:line="240" w:lineRule="auto"/>
        <w:ind w:left="0" w:right="-7" w:firstLine="709"/>
        <w:jc w:val="both"/>
        <w:rPr>
          <w:sz w:val="28"/>
        </w:rPr>
      </w:pPr>
    </w:p>
    <w:p w:rsidR="00E10F50" w:rsidRDefault="00762802">
      <w:pPr>
        <w:pStyle w:val="10"/>
        <w:spacing w:line="240" w:lineRule="auto"/>
        <w:ind w:left="0" w:right="-7" w:firstLine="0"/>
        <w:jc w:val="both"/>
        <w:rPr>
          <w:sz w:val="28"/>
        </w:rPr>
      </w:pPr>
      <w:r>
        <w:rPr>
          <w:sz w:val="28"/>
        </w:rPr>
        <w:t>Будут приняты органами регулирования деятельности субъектов естественных монополий решения по сокращению тарифного перекрестного субсидирования между группами потребителей и выравниванию тарифов для льготных потребителей энергии и промышленных потребителей.</w:t>
      </w:r>
    </w:p>
    <w:p w:rsidR="00E10F50" w:rsidRDefault="00762802">
      <w:pPr>
        <w:pStyle w:val="10"/>
        <w:spacing w:line="240" w:lineRule="auto"/>
        <w:ind w:left="0" w:right="-7" w:firstLine="709"/>
        <w:jc w:val="both"/>
        <w:rPr>
          <w:sz w:val="28"/>
        </w:rPr>
      </w:pPr>
      <w:r>
        <w:rPr>
          <w:sz w:val="28"/>
        </w:rPr>
        <w:t>В отношении газовой промышленности, реформа предусматривает формирование в этой сфере системы цен на газ, отвечающей следующим требованиям:  обеспечение самофинансирования Российского акционерного общества «Газпром» посредством возмещения обоснованных затрат при разных уровнях надежности газоснабжения, включая покрытие текущих издержек и обеспечение необходимого уровня прибыли; стимулирование надежного газоснабжения  посредством  обеспечения необходимой гибкости цен при предоставлении потребителям права выбора условий своего газоснабжения; соответствие цен условиям равновесия спроса и предложения, недопущение дефицита или избытка газа на рынке.</w:t>
      </w:r>
    </w:p>
    <w:p w:rsidR="00E10F50" w:rsidRDefault="00762802">
      <w:pPr>
        <w:pStyle w:val="10"/>
        <w:spacing w:line="240" w:lineRule="auto"/>
        <w:ind w:left="0" w:right="-7" w:firstLine="709"/>
        <w:jc w:val="both"/>
        <w:rPr>
          <w:sz w:val="28"/>
        </w:rPr>
      </w:pPr>
      <w:r>
        <w:rPr>
          <w:sz w:val="28"/>
        </w:rPr>
        <w:t>Механизм ценообразования будет согласован с механизмами начисления и взимания налогов, с инвестиционной политикой РАО «Газпром» и величиной дивидендов акционеров. При установлении цен на газ будут учитываться условия конкуренции различных видов топлива и принципы стимулирования энергосбережения. Будут установлены правила и порядок регулирования цен на газ. Необходимо сохранение государственного регулирования в сфере естественной монополии путем установления тарифов на услуги по транспортировке газа. Цены добычи газа будут контролироваться   в соответствии с антимонопольным законодательством. При этом цена продажи газа конечным потребителям независимыми производителями газа не будет подлежать государственному регулированию.</w:t>
      </w:r>
    </w:p>
    <w:p w:rsidR="00E10F50" w:rsidRDefault="00762802">
      <w:pPr>
        <w:pStyle w:val="10"/>
        <w:spacing w:line="240" w:lineRule="auto"/>
        <w:ind w:left="0" w:right="-7" w:firstLine="709"/>
        <w:jc w:val="both"/>
        <w:rPr>
          <w:sz w:val="28"/>
        </w:rPr>
      </w:pPr>
      <w:r>
        <w:rPr>
          <w:sz w:val="28"/>
        </w:rPr>
        <w:t>Структурную реформу предполагается осуществлять в три этапа:</w:t>
      </w:r>
    </w:p>
    <w:p w:rsidR="00E10F50" w:rsidRDefault="00E10F50">
      <w:pPr>
        <w:pStyle w:val="10"/>
        <w:spacing w:line="240" w:lineRule="auto"/>
        <w:ind w:left="0" w:right="-7" w:firstLine="709"/>
        <w:jc w:val="both"/>
        <w:rPr>
          <w:sz w:val="28"/>
        </w:rPr>
      </w:pPr>
    </w:p>
    <w:p w:rsidR="00E10F50" w:rsidRDefault="00762802">
      <w:pPr>
        <w:pStyle w:val="10"/>
        <w:spacing w:line="240" w:lineRule="auto"/>
        <w:ind w:left="0" w:right="-7" w:firstLine="709"/>
        <w:jc w:val="both"/>
        <w:rPr>
          <w:rFonts w:ascii="Arial" w:hAnsi="Arial"/>
          <w:b/>
          <w:sz w:val="28"/>
        </w:rPr>
      </w:pPr>
      <w:r>
        <w:rPr>
          <w:rFonts w:ascii="Arial" w:hAnsi="Arial"/>
          <w:b/>
          <w:sz w:val="28"/>
          <w:lang w:val="en-US"/>
        </w:rPr>
        <w:t xml:space="preserve">I </w:t>
      </w:r>
      <w:r>
        <w:rPr>
          <w:rFonts w:ascii="Arial" w:hAnsi="Arial"/>
          <w:b/>
          <w:sz w:val="28"/>
        </w:rPr>
        <w:t>этап – 1997 год:</w:t>
      </w:r>
    </w:p>
    <w:p w:rsidR="00E10F50" w:rsidRDefault="00E10F50">
      <w:pPr>
        <w:pStyle w:val="10"/>
        <w:spacing w:line="240" w:lineRule="auto"/>
        <w:ind w:left="0" w:right="-7" w:firstLine="709"/>
        <w:jc w:val="both"/>
        <w:rPr>
          <w:b/>
          <w:sz w:val="28"/>
        </w:rPr>
      </w:pPr>
    </w:p>
    <w:p w:rsidR="00E10F50" w:rsidRDefault="00762802">
      <w:pPr>
        <w:pStyle w:val="10"/>
        <w:numPr>
          <w:ilvl w:val="0"/>
          <w:numId w:val="26"/>
        </w:numPr>
        <w:tabs>
          <w:tab w:val="clear" w:pos="360"/>
          <w:tab w:val="num" w:pos="1069"/>
        </w:tabs>
        <w:spacing w:line="240" w:lineRule="auto"/>
        <w:ind w:left="1069" w:right="-7"/>
        <w:jc w:val="both"/>
        <w:rPr>
          <w:sz w:val="28"/>
        </w:rPr>
      </w:pPr>
      <w:r>
        <w:rPr>
          <w:i/>
          <w:sz w:val="28"/>
        </w:rPr>
        <w:t>по электроэнергии:</w:t>
      </w:r>
    </w:p>
    <w:p w:rsidR="00E10F50" w:rsidRDefault="00762802">
      <w:pPr>
        <w:pStyle w:val="10"/>
        <w:spacing w:line="240" w:lineRule="auto"/>
        <w:ind w:left="0" w:right="-7" w:firstLine="709"/>
        <w:jc w:val="both"/>
        <w:rPr>
          <w:sz w:val="28"/>
        </w:rPr>
      </w:pPr>
      <w:r>
        <w:rPr>
          <w:sz w:val="28"/>
        </w:rPr>
        <w:t>Введение Федеральной энергетической комиссией  Российской Федерации двухставочных тарифов с регулируемой маржинальной ставкой платы за электроэнергию и ставкой платы за мощность, а также обоснованных тарифов на транспортировку электрической и тепловой энергии; организация конкуренции производителей электроэнергии по топливной составляющей затрат в европейской и сибирской зонах оптового рынка и сохранение регулируемой платы за мощность.</w:t>
      </w:r>
    </w:p>
    <w:p w:rsidR="00E10F50" w:rsidRDefault="00E10F50">
      <w:pPr>
        <w:pStyle w:val="10"/>
        <w:spacing w:line="240" w:lineRule="auto"/>
        <w:ind w:left="0" w:right="-7" w:firstLine="709"/>
        <w:jc w:val="both"/>
        <w:rPr>
          <w:sz w:val="28"/>
        </w:rPr>
      </w:pPr>
    </w:p>
    <w:p w:rsidR="00E10F50" w:rsidRDefault="00762802">
      <w:pPr>
        <w:pStyle w:val="10"/>
        <w:numPr>
          <w:ilvl w:val="0"/>
          <w:numId w:val="27"/>
        </w:numPr>
        <w:tabs>
          <w:tab w:val="clear" w:pos="360"/>
          <w:tab w:val="num" w:pos="1069"/>
        </w:tabs>
        <w:spacing w:line="240" w:lineRule="auto"/>
        <w:ind w:left="1069" w:right="-7"/>
        <w:jc w:val="both"/>
        <w:rPr>
          <w:sz w:val="28"/>
        </w:rPr>
      </w:pPr>
      <w:r>
        <w:rPr>
          <w:i/>
          <w:sz w:val="28"/>
        </w:rPr>
        <w:t>по газу:</w:t>
      </w:r>
    </w:p>
    <w:p w:rsidR="00E10F50" w:rsidRDefault="00762802">
      <w:pPr>
        <w:pStyle w:val="10"/>
        <w:spacing w:line="240" w:lineRule="auto"/>
        <w:ind w:left="0" w:right="-7" w:firstLine="709"/>
        <w:jc w:val="both"/>
        <w:rPr>
          <w:sz w:val="28"/>
        </w:rPr>
      </w:pPr>
      <w:r>
        <w:rPr>
          <w:sz w:val="28"/>
        </w:rPr>
        <w:t>Введение цен на природный газ, дифференцированных в зависимости от стоимости его транспортировки от мест добычи до потребителей;   разработка и внедрение единой системы тарифов на услуги по транспортировке газа по магистральным газопроводам как для независимых поставщиков газа, не входящих в Российское акционерное общество «Газпром», так и для организаций названного акционерного общества; подготовка и утверждение нормативных документов, устанавливающих порядок регулирования цен на природный газ;</w:t>
      </w:r>
    </w:p>
    <w:p w:rsidR="00E10F50" w:rsidRDefault="00E10F50">
      <w:pPr>
        <w:pStyle w:val="10"/>
        <w:spacing w:line="240" w:lineRule="auto"/>
        <w:ind w:left="0" w:right="-7" w:firstLine="709"/>
        <w:jc w:val="both"/>
        <w:rPr>
          <w:b/>
          <w:sz w:val="28"/>
        </w:rPr>
      </w:pPr>
    </w:p>
    <w:p w:rsidR="00E10F50" w:rsidRDefault="00762802">
      <w:pPr>
        <w:pStyle w:val="10"/>
        <w:spacing w:line="240" w:lineRule="auto"/>
        <w:ind w:left="0" w:right="-7" w:firstLine="709"/>
        <w:jc w:val="both"/>
        <w:rPr>
          <w:rFonts w:ascii="Arial" w:hAnsi="Arial"/>
          <w:sz w:val="28"/>
        </w:rPr>
      </w:pPr>
      <w:r>
        <w:rPr>
          <w:rFonts w:ascii="Arial" w:hAnsi="Arial"/>
          <w:b/>
          <w:sz w:val="28"/>
        </w:rPr>
        <w:t>II этап – 1998 год:</w:t>
      </w:r>
    </w:p>
    <w:p w:rsidR="00E10F50" w:rsidRDefault="00E10F50">
      <w:pPr>
        <w:pStyle w:val="10"/>
        <w:spacing w:line="240" w:lineRule="auto"/>
        <w:ind w:left="0" w:right="-7" w:firstLine="709"/>
        <w:jc w:val="both"/>
        <w:rPr>
          <w:sz w:val="28"/>
        </w:rPr>
      </w:pPr>
    </w:p>
    <w:p w:rsidR="00E10F50" w:rsidRDefault="00762802">
      <w:pPr>
        <w:pStyle w:val="10"/>
        <w:numPr>
          <w:ilvl w:val="0"/>
          <w:numId w:val="28"/>
        </w:numPr>
        <w:tabs>
          <w:tab w:val="clear" w:pos="360"/>
          <w:tab w:val="num" w:pos="1069"/>
        </w:tabs>
        <w:spacing w:line="240" w:lineRule="auto"/>
        <w:ind w:left="1069" w:right="-7"/>
        <w:jc w:val="both"/>
        <w:rPr>
          <w:i/>
          <w:sz w:val="28"/>
        </w:rPr>
      </w:pPr>
      <w:r>
        <w:rPr>
          <w:i/>
          <w:sz w:val="28"/>
        </w:rPr>
        <w:t>по электроэнергии:</w:t>
      </w:r>
    </w:p>
    <w:p w:rsidR="00E10F50" w:rsidRDefault="00762802">
      <w:pPr>
        <w:pStyle w:val="10"/>
        <w:spacing w:line="240" w:lineRule="auto"/>
        <w:ind w:left="0" w:right="-7" w:firstLine="709"/>
        <w:jc w:val="both"/>
        <w:rPr>
          <w:sz w:val="28"/>
        </w:rPr>
      </w:pPr>
      <w:r>
        <w:rPr>
          <w:sz w:val="28"/>
        </w:rPr>
        <w:t>Увеличение числа субъектов оптового рынка (электростанций акционерных обществ энергетики и электрификации и крупных потребителей электроэнергии).</w:t>
      </w:r>
    </w:p>
    <w:p w:rsidR="00E10F50" w:rsidRDefault="00E10F50">
      <w:pPr>
        <w:pStyle w:val="10"/>
        <w:spacing w:line="240" w:lineRule="auto"/>
        <w:ind w:left="0" w:right="-7" w:firstLine="709"/>
        <w:jc w:val="both"/>
        <w:rPr>
          <w:sz w:val="28"/>
        </w:rPr>
      </w:pPr>
    </w:p>
    <w:p w:rsidR="00E10F50" w:rsidRDefault="00762802">
      <w:pPr>
        <w:pStyle w:val="10"/>
        <w:numPr>
          <w:ilvl w:val="0"/>
          <w:numId w:val="29"/>
        </w:numPr>
        <w:tabs>
          <w:tab w:val="clear" w:pos="360"/>
          <w:tab w:val="num" w:pos="1069"/>
        </w:tabs>
        <w:spacing w:line="240" w:lineRule="auto"/>
        <w:ind w:left="1069" w:right="-7"/>
        <w:jc w:val="both"/>
        <w:rPr>
          <w:i/>
          <w:sz w:val="28"/>
        </w:rPr>
      </w:pPr>
      <w:r>
        <w:rPr>
          <w:i/>
          <w:sz w:val="28"/>
        </w:rPr>
        <w:t>по газу:</w:t>
      </w:r>
    </w:p>
    <w:p w:rsidR="00E10F50" w:rsidRDefault="00762802">
      <w:pPr>
        <w:pStyle w:val="10"/>
        <w:spacing w:line="240" w:lineRule="auto"/>
        <w:ind w:left="0" w:right="-7" w:firstLine="709"/>
        <w:jc w:val="both"/>
        <w:rPr>
          <w:sz w:val="28"/>
        </w:rPr>
      </w:pPr>
      <w:r>
        <w:rPr>
          <w:sz w:val="28"/>
        </w:rPr>
        <w:t>Прекращение практики перекрестного субсидирования разных групп потребителей газа и доведение оптовой цены на газ, предназначенный для реализации населению, до уровня оптовой цены на газ, отпускаемый организациями РАО «Газпром» газораспределительным организациям (перепродавцам) для промышленных нужд (без акциза); передача полномочий в области государственного регулирования тарифов на транспортировку газа по</w:t>
      </w:r>
      <w:r>
        <w:rPr>
          <w:sz w:val="28"/>
          <w:lang w:val="en-US"/>
        </w:rPr>
        <w:t xml:space="preserve"> </w:t>
      </w:r>
      <w:r>
        <w:rPr>
          <w:sz w:val="28"/>
        </w:rPr>
        <w:t>местным сетям региональным энергетическим комиссиям, осуществляющим свою деятельность под методическим руководством и контролем федеральных органов исполнительной власти.</w:t>
      </w:r>
    </w:p>
    <w:p w:rsidR="00E10F50" w:rsidRDefault="00E10F50">
      <w:pPr>
        <w:pStyle w:val="10"/>
        <w:spacing w:line="240" w:lineRule="auto"/>
        <w:ind w:left="0" w:right="-7" w:firstLine="709"/>
        <w:jc w:val="both"/>
        <w:rPr>
          <w:sz w:val="28"/>
        </w:rPr>
      </w:pPr>
    </w:p>
    <w:p w:rsidR="00E10F50" w:rsidRDefault="00762802">
      <w:pPr>
        <w:pStyle w:val="10"/>
        <w:spacing w:before="140" w:line="240" w:lineRule="auto"/>
        <w:ind w:left="0" w:right="-7" w:firstLine="709"/>
        <w:jc w:val="both"/>
        <w:rPr>
          <w:rFonts w:ascii="Arial" w:hAnsi="Arial"/>
          <w:sz w:val="28"/>
        </w:rPr>
      </w:pPr>
      <w:r>
        <w:rPr>
          <w:rFonts w:ascii="Arial" w:hAnsi="Arial"/>
          <w:b/>
          <w:sz w:val="28"/>
        </w:rPr>
        <w:t>III этап -1999 - 2000 годы:</w:t>
      </w:r>
    </w:p>
    <w:p w:rsidR="00E10F50" w:rsidRDefault="00E10F50">
      <w:pPr>
        <w:pStyle w:val="10"/>
        <w:spacing w:line="240" w:lineRule="auto"/>
        <w:ind w:left="0" w:right="-7" w:firstLine="709"/>
        <w:jc w:val="both"/>
        <w:rPr>
          <w:sz w:val="28"/>
        </w:rPr>
      </w:pPr>
    </w:p>
    <w:p w:rsidR="00E10F50" w:rsidRDefault="00762802">
      <w:pPr>
        <w:pStyle w:val="10"/>
        <w:numPr>
          <w:ilvl w:val="0"/>
          <w:numId w:val="30"/>
        </w:numPr>
        <w:tabs>
          <w:tab w:val="clear" w:pos="360"/>
          <w:tab w:val="num" w:pos="1069"/>
        </w:tabs>
        <w:spacing w:line="240" w:lineRule="auto"/>
        <w:ind w:left="1069" w:right="-7"/>
        <w:jc w:val="both"/>
        <w:rPr>
          <w:i/>
          <w:sz w:val="28"/>
        </w:rPr>
      </w:pPr>
      <w:r>
        <w:rPr>
          <w:i/>
          <w:sz w:val="28"/>
        </w:rPr>
        <w:t>по электроэнергии:</w:t>
      </w:r>
    </w:p>
    <w:p w:rsidR="00E10F50" w:rsidRDefault="00762802">
      <w:pPr>
        <w:pStyle w:val="10"/>
        <w:spacing w:line="240" w:lineRule="auto"/>
        <w:ind w:left="0" w:right="-7" w:firstLine="709"/>
        <w:jc w:val="both"/>
        <w:rPr>
          <w:sz w:val="28"/>
        </w:rPr>
      </w:pPr>
      <w:r>
        <w:rPr>
          <w:sz w:val="28"/>
        </w:rPr>
        <w:t>Прекращение регулирования цен на электроэнергию, формируемых на оптовом рынке, развитие контрактных отношений на оптовом рынке;</w:t>
      </w:r>
    </w:p>
    <w:p w:rsidR="00E10F50" w:rsidRDefault="00E10F50">
      <w:pPr>
        <w:jc w:val="both"/>
        <w:rPr>
          <w:sz w:val="28"/>
        </w:rPr>
      </w:pPr>
    </w:p>
    <w:p w:rsidR="00E10F50" w:rsidRDefault="00762802">
      <w:pPr>
        <w:numPr>
          <w:ilvl w:val="0"/>
          <w:numId w:val="31"/>
        </w:numPr>
        <w:tabs>
          <w:tab w:val="clear" w:pos="360"/>
          <w:tab w:val="num" w:pos="1080"/>
        </w:tabs>
        <w:ind w:left="1080"/>
        <w:jc w:val="both"/>
        <w:rPr>
          <w:i/>
          <w:sz w:val="28"/>
        </w:rPr>
      </w:pPr>
      <w:r>
        <w:rPr>
          <w:i/>
          <w:sz w:val="28"/>
        </w:rPr>
        <w:t>по газу:</w:t>
      </w:r>
    </w:p>
    <w:p w:rsidR="00E10F50" w:rsidRDefault="00762802">
      <w:pPr>
        <w:ind w:firstLine="720"/>
        <w:jc w:val="both"/>
        <w:rPr>
          <w:sz w:val="28"/>
        </w:rPr>
      </w:pPr>
      <w:r>
        <w:rPr>
          <w:sz w:val="28"/>
        </w:rPr>
        <w:t>Переход к регулированию тарифов на услуги по транспортировке газа, предоставляемые предприятиями Российского акционерного общества «Газпром».</w:t>
      </w:r>
    </w:p>
    <w:p w:rsidR="00E10F50" w:rsidRDefault="00762802">
      <w:pPr>
        <w:pStyle w:val="1"/>
        <w:ind w:firstLine="0"/>
        <w:rPr>
          <w:caps/>
          <w:sz w:val="32"/>
        </w:rPr>
      </w:pPr>
      <w:r>
        <w:br w:type="page"/>
      </w:r>
      <w:r>
        <w:rPr>
          <w:caps/>
          <w:sz w:val="32"/>
        </w:rPr>
        <w:t>Структура цен в ТЭК</w:t>
      </w:r>
      <w:r>
        <w:rPr>
          <w:sz w:val="32"/>
        </w:rPr>
        <w:t>е</w:t>
      </w:r>
    </w:p>
    <w:p w:rsidR="00E10F50" w:rsidRDefault="00E10F50">
      <w:pPr>
        <w:ind w:firstLine="709"/>
        <w:jc w:val="both"/>
        <w:rPr>
          <w:sz w:val="28"/>
        </w:rPr>
      </w:pPr>
    </w:p>
    <w:p w:rsidR="00E10F50" w:rsidRDefault="00762802">
      <w:pPr>
        <w:pStyle w:val="a6"/>
      </w:pPr>
      <w:r>
        <w:t>Основу цены, как и на товар в любой другой отрасли составляет себестоимость, состоящая из производственной себестоимости и внепроизводственных расходов. Сейчас все большую роль в росте цен на продукцию этой отрасли играют внепроизводственные расходы, а в частности, затраты на транспортировку. Резко возросла доля транспортных расходов, например, в ценах на уголь в местах потребления. Так, по канско-ачинским и бородинским углям даже при перевозке на расстояние до 1 тысячи км она достигает 75-80%.</w:t>
      </w:r>
    </w:p>
    <w:p w:rsidR="00E10F50" w:rsidRDefault="00762802">
      <w:pPr>
        <w:pStyle w:val="a6"/>
      </w:pPr>
      <w:r>
        <w:t>Вторая составляющая цены – прибыль, которая является выражением чистого дохода, создаваемого прибавочным трудом работника. Следует различать прибыль от реализации продукции и валовую прибыль. Прибыль от реализации является элементом цены и определяется как разность между ценой и себестоимостью, налогами, включаемыми в цены (НДС, акциз, экспортный тариф). Предприятия нефтепроводного транспорта, оказывая услуги по перекачке, перевалке и наливу нефти на экспорт не включают в оплату счетов услуг НДС. Акцизом облагается только нефть и природный газ, а также отдельные виды минерального сырья в соответствии с перечнем, утверждаемым Правительством Российской Федерации. Ставка акциза на нефть, включая стабилизированный газовый конденсат – 55 руб. за 1 тонну. Ставки акцизов и порядок их определения по подакцизным видам минерального сырья утверждаются Правительством РФ дифференцированно для отдельных месторождений в соответствии со средневзвешенной ставкой акциза.</w:t>
      </w:r>
      <w:r>
        <w:rPr>
          <w:rStyle w:val="a8"/>
        </w:rPr>
        <w:footnoteReference w:id="2"/>
      </w:r>
      <w:r>
        <w:t xml:space="preserve"> Ставка акциза (А</w:t>
      </w:r>
      <w:r>
        <w:rPr>
          <w:vertAlign w:val="subscript"/>
        </w:rPr>
        <w:t>к</w:t>
      </w:r>
      <w:r>
        <w:t>, рублей за 1 тонну) для конкретного месторождения рассчитывается, исходя из системы уравнений:</w:t>
      </w:r>
    </w:p>
    <w:p w:rsidR="00E10F50" w:rsidRDefault="00E10F50">
      <w:pPr>
        <w:pStyle w:val="a6"/>
      </w:pPr>
    </w:p>
    <w:p w:rsidR="00E10F50" w:rsidRDefault="00762802">
      <w:pPr>
        <w:pStyle w:val="a6"/>
      </w:pPr>
      <w:r>
        <w:t>А</w:t>
      </w:r>
      <w:r>
        <w:rPr>
          <w:vertAlign w:val="subscript"/>
        </w:rPr>
        <w:t xml:space="preserve">к </w:t>
      </w:r>
      <w:r>
        <w:t>= А</w:t>
      </w:r>
      <w:r>
        <w:rPr>
          <w:vertAlign w:val="subscript"/>
        </w:rPr>
        <w:t>ср</w:t>
      </w:r>
      <w:r>
        <w:t xml:space="preserve"> + О</w:t>
      </w:r>
      <w:r>
        <w:rPr>
          <w:vertAlign w:val="subscript"/>
        </w:rPr>
        <w:t>1к</w:t>
      </w:r>
      <w:r>
        <w:t xml:space="preserve"> + О</w:t>
      </w:r>
      <w:r>
        <w:rPr>
          <w:vertAlign w:val="subscript"/>
        </w:rPr>
        <w:t xml:space="preserve">2к </w:t>
      </w:r>
      <w:r>
        <w:t>+ О</w:t>
      </w:r>
      <w:r>
        <w:rPr>
          <w:vertAlign w:val="subscript"/>
        </w:rPr>
        <w:t>3к</w:t>
      </w:r>
      <w:r>
        <w:t xml:space="preserve"> + Е (1 + Д</w:t>
      </w:r>
      <w:r>
        <w:rPr>
          <w:vertAlign w:val="subscript"/>
        </w:rPr>
        <w:t>к</w:t>
      </w:r>
      <w:r>
        <w:t xml:space="preserve">/ </w:t>
      </w:r>
      <w:r>
        <w:sym w:font="Symbol" w:char="F053"/>
      </w:r>
      <w:r>
        <w:t>Д</w:t>
      </w:r>
      <w:r>
        <w:rPr>
          <w:vertAlign w:val="subscript"/>
        </w:rPr>
        <w:t>к</w:t>
      </w:r>
      <w:r>
        <w:t>)</w:t>
      </w:r>
    </w:p>
    <w:p w:rsidR="00E10F50" w:rsidRDefault="00E10F50">
      <w:pPr>
        <w:pStyle w:val="a6"/>
      </w:pPr>
    </w:p>
    <w:p w:rsidR="00E10F50" w:rsidRDefault="00762802">
      <w:pPr>
        <w:pStyle w:val="a6"/>
      </w:pPr>
      <w:r>
        <w:t>А</w:t>
      </w:r>
      <w:r>
        <w:rPr>
          <w:vertAlign w:val="subscript"/>
        </w:rPr>
        <w:t>ср</w:t>
      </w:r>
      <w:r>
        <w:t xml:space="preserve"> = </w:t>
      </w:r>
      <w:r>
        <w:sym w:font="Symbol" w:char="F053"/>
      </w:r>
      <w:r>
        <w:t>(А</w:t>
      </w:r>
      <w:r>
        <w:rPr>
          <w:vertAlign w:val="subscript"/>
        </w:rPr>
        <w:t>к</w:t>
      </w:r>
      <w:r>
        <w:t xml:space="preserve"> х Д</w:t>
      </w:r>
      <w:r>
        <w:rPr>
          <w:vertAlign w:val="subscript"/>
        </w:rPr>
        <w:t>к</w:t>
      </w:r>
      <w:r>
        <w:t xml:space="preserve">)/ </w:t>
      </w:r>
      <w:r>
        <w:sym w:font="Symbol" w:char="F053"/>
      </w:r>
      <w:r>
        <w:t>Д</w:t>
      </w:r>
      <w:r>
        <w:rPr>
          <w:vertAlign w:val="subscript"/>
        </w:rPr>
        <w:t>к</w:t>
      </w:r>
      <w:r>
        <w:t>;</w:t>
      </w:r>
    </w:p>
    <w:p w:rsidR="00E10F50" w:rsidRDefault="00E10F50">
      <w:pPr>
        <w:pStyle w:val="a6"/>
      </w:pPr>
    </w:p>
    <w:p w:rsidR="00E10F50" w:rsidRDefault="00762802">
      <w:pPr>
        <w:pStyle w:val="a6"/>
      </w:pPr>
      <w:r>
        <w:t>где:</w:t>
      </w:r>
    </w:p>
    <w:p w:rsidR="00E10F50" w:rsidRDefault="00762802">
      <w:pPr>
        <w:pStyle w:val="a6"/>
        <w:numPr>
          <w:ilvl w:val="0"/>
          <w:numId w:val="12"/>
        </w:numPr>
        <w:tabs>
          <w:tab w:val="clear" w:pos="360"/>
          <w:tab w:val="num" w:pos="1069"/>
        </w:tabs>
        <w:ind w:left="1069"/>
      </w:pPr>
      <w:r>
        <w:t>А</w:t>
      </w:r>
      <w:r>
        <w:rPr>
          <w:vertAlign w:val="subscript"/>
        </w:rPr>
        <w:t>ср</w:t>
      </w:r>
      <w:r>
        <w:t xml:space="preserve"> – средневзвешенная ставка акциза, установленная Федеральным законом «Об акцизах»;</w:t>
      </w:r>
    </w:p>
    <w:p w:rsidR="00E10F50" w:rsidRDefault="00762802">
      <w:pPr>
        <w:pStyle w:val="a6"/>
        <w:numPr>
          <w:ilvl w:val="0"/>
          <w:numId w:val="12"/>
        </w:numPr>
        <w:tabs>
          <w:tab w:val="clear" w:pos="360"/>
          <w:tab w:val="num" w:pos="1069"/>
        </w:tabs>
        <w:ind w:left="1069"/>
      </w:pPr>
      <w:r>
        <w:t>Д</w:t>
      </w:r>
      <w:r>
        <w:rPr>
          <w:vertAlign w:val="subscript"/>
        </w:rPr>
        <w:t>к</w:t>
      </w:r>
      <w:r>
        <w:t xml:space="preserve"> – количество (тонн) добытой и реализованной с конкретного месторождения нефти;</w:t>
      </w:r>
    </w:p>
    <w:p w:rsidR="00E10F50" w:rsidRDefault="00762802">
      <w:pPr>
        <w:pStyle w:val="a6"/>
        <w:numPr>
          <w:ilvl w:val="0"/>
          <w:numId w:val="12"/>
        </w:numPr>
        <w:tabs>
          <w:tab w:val="clear" w:pos="360"/>
          <w:tab w:val="num" w:pos="1069"/>
        </w:tabs>
        <w:ind w:left="1069"/>
      </w:pPr>
      <w:r>
        <w:t>Е – поправка для выхода на средневзвешенную ставку акциза (рублей за 1 тонну);</w:t>
      </w:r>
    </w:p>
    <w:p w:rsidR="00E10F50" w:rsidRDefault="00762802">
      <w:pPr>
        <w:pStyle w:val="a6"/>
        <w:numPr>
          <w:ilvl w:val="0"/>
          <w:numId w:val="12"/>
        </w:numPr>
        <w:tabs>
          <w:tab w:val="clear" w:pos="360"/>
          <w:tab w:val="num" w:pos="1069"/>
        </w:tabs>
        <w:ind w:left="1069"/>
      </w:pPr>
      <w:r>
        <w:t>О</w:t>
      </w:r>
      <w:r>
        <w:rPr>
          <w:vertAlign w:val="subscript"/>
        </w:rPr>
        <w:t>1к</w:t>
      </w:r>
      <w:r>
        <w:t>, О</w:t>
      </w:r>
      <w:r>
        <w:rPr>
          <w:vertAlign w:val="subscript"/>
        </w:rPr>
        <w:t>2к</w:t>
      </w:r>
      <w:r>
        <w:t>,</w:t>
      </w:r>
      <w:r>
        <w:rPr>
          <w:vertAlign w:val="subscript"/>
        </w:rPr>
        <w:t xml:space="preserve">  </w:t>
      </w:r>
      <w:r>
        <w:t>О</w:t>
      </w:r>
      <w:r>
        <w:rPr>
          <w:vertAlign w:val="subscript"/>
        </w:rPr>
        <w:t xml:space="preserve">3к </w:t>
      </w:r>
      <w:r>
        <w:t>– отклонения, обусловленные горно-геологическими особенностями объектов разработки, различиями в заработной плате, различиями в транспортном тарифе.</w:t>
      </w:r>
    </w:p>
    <w:p w:rsidR="00E10F50" w:rsidRDefault="00762802">
      <w:pPr>
        <w:pStyle w:val="a6"/>
      </w:pPr>
      <w:r>
        <w:t>Рабочая группа при Правительстве РФ рассматривает вопрос о возможном снижении акцизов на нефть на 10 руб. за 1 тонну. Для нормальной работы нефтяной отрасли необходимо снижение акциза на 30 руб. за тонну от нынешнего уровня в 55 руб. В том случае, если Правительство примет решение о снижении акциза до 45 руб. за тонну, то это позволит нефтяной отрасли России, как считают многие экономисты, сократить потери от падения мировых цен на 2 млрд. рублей.</w:t>
      </w:r>
    </w:p>
    <w:p w:rsidR="00E10F50" w:rsidRDefault="00762802">
      <w:pPr>
        <w:ind w:firstLine="709"/>
        <w:jc w:val="both"/>
        <w:rPr>
          <w:sz w:val="28"/>
        </w:rPr>
      </w:pPr>
      <w:r>
        <w:rPr>
          <w:sz w:val="28"/>
        </w:rPr>
        <w:tab/>
        <w:t>По природному газу акциз устанавливается в процентах к стоимости реализованной продукции газосбытовым организациям и непосредственно потребителям, исчисленной исходя из государственной регулируемой оптовой цены промышленности.</w:t>
      </w:r>
    </w:p>
    <w:p w:rsidR="00E10F50" w:rsidRDefault="00E10F50">
      <w:pPr>
        <w:ind w:firstLine="709"/>
        <w:jc w:val="both"/>
        <w:rPr>
          <w:sz w:val="28"/>
        </w:rPr>
      </w:pPr>
    </w:p>
    <w:p w:rsidR="00E10F50" w:rsidRDefault="00E10F50">
      <w:pPr>
        <w:ind w:firstLine="709"/>
        <w:jc w:val="both"/>
        <w:rPr>
          <w:sz w:val="28"/>
        </w:rPr>
      </w:pPr>
    </w:p>
    <w:p w:rsidR="00E10F50" w:rsidRDefault="00762802">
      <w:pPr>
        <w:jc w:val="center"/>
        <w:rPr>
          <w:b/>
          <w:caps/>
          <w:sz w:val="32"/>
        </w:rPr>
      </w:pPr>
      <w:r>
        <w:rPr>
          <w:b/>
          <w:sz w:val="28"/>
        </w:rPr>
        <w:br w:type="page"/>
      </w:r>
      <w:r>
        <w:rPr>
          <w:b/>
          <w:caps/>
          <w:sz w:val="32"/>
        </w:rPr>
        <w:t>Динамика изменения цен в ТЭК</w:t>
      </w:r>
      <w:r>
        <w:rPr>
          <w:b/>
          <w:sz w:val="32"/>
        </w:rPr>
        <w:t>е</w:t>
      </w:r>
    </w:p>
    <w:p w:rsidR="00E10F50" w:rsidRDefault="00E10F50">
      <w:pPr>
        <w:ind w:firstLine="709"/>
        <w:jc w:val="both"/>
        <w:rPr>
          <w:sz w:val="28"/>
        </w:rPr>
      </w:pPr>
    </w:p>
    <w:p w:rsidR="00E10F50" w:rsidRDefault="00762802">
      <w:pPr>
        <w:pStyle w:val="a6"/>
      </w:pPr>
      <w:r>
        <w:t xml:space="preserve">В переходный период цены на продукцию ТЭКа, после объявления их свободными быстро поползли вверх. Причинами чего было стремление максимально приблизить цены на нефть, газ, уголь и т.д. к уровню реальных затрат на добычу, переработку и транспортировку, так как цены на эту продукцию в нашей стране были заниженными, что обусловлено многими факторами, в том числе и природно-климатическими. Динамику изменения цен можно увидеть в таблицах </w:t>
      </w:r>
      <w:r>
        <w:rPr>
          <w:lang w:val="en-US"/>
        </w:rPr>
        <w:t>1</w:t>
      </w:r>
      <w:r>
        <w:t xml:space="preserve"> и </w:t>
      </w:r>
      <w:r>
        <w:rPr>
          <w:lang w:val="en-US"/>
        </w:rPr>
        <w:t>2</w:t>
      </w:r>
      <w:r>
        <w:t>.</w:t>
      </w:r>
    </w:p>
    <w:p w:rsidR="00E10F50" w:rsidRDefault="00762802">
      <w:pPr>
        <w:pStyle w:val="4"/>
        <w:ind w:right="-710"/>
        <w:rPr>
          <w:sz w:val="24"/>
        </w:rPr>
      </w:pPr>
      <w:r>
        <w:rPr>
          <w:sz w:val="24"/>
        </w:rPr>
        <w:t>Таблица 1</w:t>
      </w:r>
    </w:p>
    <w:p w:rsidR="00E10F50" w:rsidRDefault="00762802">
      <w:pPr>
        <w:pStyle w:val="af"/>
        <w:ind w:right="-710"/>
      </w:pPr>
      <w:r>
        <w:t>Индексы оптовых цен производителей по промышленности в целом, отдельным отраслям и подотраслям, в % к предыдущему периоду.</w:t>
      </w:r>
    </w:p>
    <w:tbl>
      <w:tblPr>
        <w:tblW w:w="0" w:type="auto"/>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43"/>
        <w:gridCol w:w="709"/>
        <w:gridCol w:w="709"/>
        <w:gridCol w:w="708"/>
        <w:gridCol w:w="709"/>
        <w:gridCol w:w="1134"/>
        <w:gridCol w:w="1134"/>
        <w:gridCol w:w="1134"/>
        <w:gridCol w:w="1134"/>
        <w:gridCol w:w="1134"/>
      </w:tblGrid>
      <w:tr w:rsidR="00E10F50">
        <w:trPr>
          <w:cantSplit/>
        </w:trPr>
        <w:tc>
          <w:tcPr>
            <w:tcW w:w="1843" w:type="dxa"/>
            <w:vMerge w:val="restart"/>
            <w:tcBorders>
              <w:bottom w:val="nil"/>
            </w:tcBorders>
            <w:shd w:val="pct40" w:color="000000" w:fill="FFFFFF"/>
            <w:vAlign w:val="center"/>
          </w:tcPr>
          <w:p w:rsidR="00E10F50" w:rsidRDefault="00E10F50">
            <w:pPr>
              <w:jc w:val="center"/>
              <w:rPr>
                <w:b/>
                <w:sz w:val="24"/>
              </w:rPr>
            </w:pPr>
          </w:p>
        </w:tc>
        <w:tc>
          <w:tcPr>
            <w:tcW w:w="709" w:type="dxa"/>
            <w:vMerge w:val="restart"/>
            <w:tcBorders>
              <w:bottom w:val="nil"/>
            </w:tcBorders>
            <w:shd w:val="pct40" w:color="000000" w:fill="FFFFFF"/>
            <w:vAlign w:val="center"/>
          </w:tcPr>
          <w:p w:rsidR="00E10F50" w:rsidRDefault="00762802">
            <w:pPr>
              <w:jc w:val="center"/>
              <w:rPr>
                <w:b/>
                <w:sz w:val="24"/>
                <w:lang w:val="en-US"/>
              </w:rPr>
            </w:pPr>
            <w:r>
              <w:rPr>
                <w:b/>
                <w:sz w:val="24"/>
                <w:lang w:val="en-US"/>
              </w:rPr>
              <w:t>1993</w:t>
            </w:r>
          </w:p>
        </w:tc>
        <w:tc>
          <w:tcPr>
            <w:tcW w:w="709" w:type="dxa"/>
            <w:vMerge w:val="restart"/>
            <w:tcBorders>
              <w:bottom w:val="nil"/>
            </w:tcBorders>
            <w:shd w:val="pct40" w:color="000000" w:fill="FFFFFF"/>
            <w:vAlign w:val="center"/>
          </w:tcPr>
          <w:p w:rsidR="00E10F50" w:rsidRDefault="00762802">
            <w:pPr>
              <w:jc w:val="center"/>
              <w:rPr>
                <w:b/>
                <w:sz w:val="24"/>
                <w:lang w:val="en-US"/>
              </w:rPr>
            </w:pPr>
            <w:r>
              <w:rPr>
                <w:b/>
                <w:sz w:val="24"/>
                <w:lang w:val="en-US"/>
              </w:rPr>
              <w:t>1994</w:t>
            </w:r>
          </w:p>
        </w:tc>
        <w:tc>
          <w:tcPr>
            <w:tcW w:w="708" w:type="dxa"/>
            <w:vMerge w:val="restart"/>
            <w:tcBorders>
              <w:bottom w:val="nil"/>
            </w:tcBorders>
            <w:shd w:val="pct40" w:color="000000" w:fill="FFFFFF"/>
            <w:vAlign w:val="center"/>
          </w:tcPr>
          <w:p w:rsidR="00E10F50" w:rsidRDefault="00762802">
            <w:pPr>
              <w:jc w:val="center"/>
              <w:rPr>
                <w:b/>
                <w:sz w:val="24"/>
                <w:lang w:val="en-US"/>
              </w:rPr>
            </w:pPr>
            <w:r>
              <w:rPr>
                <w:b/>
                <w:sz w:val="24"/>
                <w:lang w:val="en-US"/>
              </w:rPr>
              <w:t>1995</w:t>
            </w:r>
          </w:p>
        </w:tc>
        <w:tc>
          <w:tcPr>
            <w:tcW w:w="709" w:type="dxa"/>
            <w:vMerge w:val="restart"/>
            <w:tcBorders>
              <w:bottom w:val="nil"/>
            </w:tcBorders>
            <w:shd w:val="pct40" w:color="000000" w:fill="FFFFFF"/>
            <w:vAlign w:val="center"/>
          </w:tcPr>
          <w:p w:rsidR="00E10F50" w:rsidRDefault="00762802">
            <w:pPr>
              <w:jc w:val="center"/>
              <w:rPr>
                <w:b/>
                <w:sz w:val="24"/>
                <w:lang w:val="en-US"/>
              </w:rPr>
            </w:pPr>
            <w:r>
              <w:rPr>
                <w:b/>
                <w:sz w:val="24"/>
                <w:lang w:val="en-US"/>
              </w:rPr>
              <w:t>1996</w:t>
            </w:r>
          </w:p>
        </w:tc>
        <w:tc>
          <w:tcPr>
            <w:tcW w:w="4536" w:type="dxa"/>
            <w:gridSpan w:val="4"/>
            <w:tcBorders>
              <w:bottom w:val="single" w:sz="4" w:space="0" w:color="auto"/>
            </w:tcBorders>
            <w:shd w:val="pct40" w:color="000000" w:fill="FFFFFF"/>
            <w:vAlign w:val="center"/>
          </w:tcPr>
          <w:p w:rsidR="00E10F50" w:rsidRDefault="00762802">
            <w:pPr>
              <w:jc w:val="center"/>
              <w:rPr>
                <w:b/>
                <w:sz w:val="24"/>
                <w:lang w:val="en-US"/>
              </w:rPr>
            </w:pPr>
            <w:r>
              <w:rPr>
                <w:b/>
                <w:sz w:val="24"/>
                <w:lang w:val="en-US"/>
              </w:rPr>
              <w:t>1997</w:t>
            </w:r>
          </w:p>
        </w:tc>
        <w:tc>
          <w:tcPr>
            <w:tcW w:w="1134" w:type="dxa"/>
            <w:tcBorders>
              <w:bottom w:val="single" w:sz="4" w:space="0" w:color="auto"/>
            </w:tcBorders>
            <w:shd w:val="pct40" w:color="000000" w:fill="FFFFFF"/>
            <w:vAlign w:val="center"/>
          </w:tcPr>
          <w:p w:rsidR="00E10F50" w:rsidRDefault="00762802">
            <w:pPr>
              <w:jc w:val="center"/>
              <w:rPr>
                <w:b/>
                <w:sz w:val="24"/>
                <w:lang w:val="en-US"/>
              </w:rPr>
            </w:pPr>
            <w:r>
              <w:rPr>
                <w:b/>
                <w:sz w:val="24"/>
                <w:lang w:val="en-US"/>
              </w:rPr>
              <w:t>1998</w:t>
            </w:r>
          </w:p>
        </w:tc>
      </w:tr>
      <w:tr w:rsidR="00E10F50">
        <w:trPr>
          <w:cantSplit/>
        </w:trPr>
        <w:tc>
          <w:tcPr>
            <w:tcW w:w="1843" w:type="dxa"/>
            <w:vMerge/>
            <w:tcBorders>
              <w:top w:val="nil"/>
              <w:bottom w:val="single" w:sz="12" w:space="0" w:color="auto"/>
            </w:tcBorders>
            <w:shd w:val="pct40" w:color="000000" w:fill="FFFFFF"/>
            <w:vAlign w:val="center"/>
          </w:tcPr>
          <w:p w:rsidR="00E10F50" w:rsidRDefault="00E10F50">
            <w:pPr>
              <w:jc w:val="center"/>
              <w:rPr>
                <w:b/>
                <w:sz w:val="24"/>
              </w:rPr>
            </w:pPr>
          </w:p>
        </w:tc>
        <w:tc>
          <w:tcPr>
            <w:tcW w:w="709" w:type="dxa"/>
            <w:vMerge/>
            <w:tcBorders>
              <w:top w:val="nil"/>
              <w:bottom w:val="single" w:sz="12" w:space="0" w:color="auto"/>
            </w:tcBorders>
            <w:shd w:val="pct40" w:color="000000" w:fill="FFFFFF"/>
            <w:vAlign w:val="center"/>
          </w:tcPr>
          <w:p w:rsidR="00E10F50" w:rsidRDefault="00E10F50">
            <w:pPr>
              <w:jc w:val="center"/>
              <w:rPr>
                <w:b/>
                <w:sz w:val="24"/>
                <w:lang w:val="en-US"/>
              </w:rPr>
            </w:pPr>
          </w:p>
        </w:tc>
        <w:tc>
          <w:tcPr>
            <w:tcW w:w="709" w:type="dxa"/>
            <w:vMerge/>
            <w:tcBorders>
              <w:top w:val="nil"/>
              <w:bottom w:val="single" w:sz="12" w:space="0" w:color="auto"/>
            </w:tcBorders>
            <w:shd w:val="pct40" w:color="000000" w:fill="FFFFFF"/>
            <w:vAlign w:val="center"/>
          </w:tcPr>
          <w:p w:rsidR="00E10F50" w:rsidRDefault="00E10F50">
            <w:pPr>
              <w:jc w:val="center"/>
              <w:rPr>
                <w:b/>
                <w:sz w:val="24"/>
                <w:lang w:val="en-US"/>
              </w:rPr>
            </w:pPr>
          </w:p>
        </w:tc>
        <w:tc>
          <w:tcPr>
            <w:tcW w:w="708" w:type="dxa"/>
            <w:vMerge/>
            <w:tcBorders>
              <w:top w:val="nil"/>
              <w:bottom w:val="single" w:sz="12" w:space="0" w:color="auto"/>
            </w:tcBorders>
            <w:shd w:val="pct40" w:color="000000" w:fill="FFFFFF"/>
            <w:vAlign w:val="center"/>
          </w:tcPr>
          <w:p w:rsidR="00E10F50" w:rsidRDefault="00E10F50">
            <w:pPr>
              <w:jc w:val="center"/>
              <w:rPr>
                <w:b/>
                <w:sz w:val="24"/>
                <w:lang w:val="en-US"/>
              </w:rPr>
            </w:pPr>
          </w:p>
        </w:tc>
        <w:tc>
          <w:tcPr>
            <w:tcW w:w="709" w:type="dxa"/>
            <w:vMerge/>
            <w:tcBorders>
              <w:top w:val="nil"/>
              <w:bottom w:val="single" w:sz="12" w:space="0" w:color="auto"/>
            </w:tcBorders>
            <w:shd w:val="pct40" w:color="000000" w:fill="FFFFFF"/>
            <w:vAlign w:val="center"/>
          </w:tcPr>
          <w:p w:rsidR="00E10F50" w:rsidRDefault="00E10F50">
            <w:pPr>
              <w:jc w:val="center"/>
              <w:rPr>
                <w:b/>
                <w:sz w:val="24"/>
                <w:lang w:val="en-US"/>
              </w:rPr>
            </w:pP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rPr>
            </w:pPr>
            <w:r>
              <w:rPr>
                <w:b/>
                <w:sz w:val="24"/>
                <w:lang w:val="en-US"/>
              </w:rPr>
              <w:t>I</w:t>
            </w:r>
            <w:r>
              <w:rPr>
                <w:b/>
                <w:sz w:val="24"/>
              </w:rPr>
              <w:t xml:space="preserve"> </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II</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III</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IV</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w:t>
            </w:r>
            <w:r>
              <w:rPr>
                <w:b/>
                <w:sz w:val="24"/>
              </w:rPr>
              <w:t xml:space="preserve"> </w:t>
            </w:r>
          </w:p>
          <w:p w:rsidR="00E10F50" w:rsidRDefault="00762802">
            <w:pPr>
              <w:jc w:val="center"/>
              <w:rPr>
                <w:b/>
                <w:sz w:val="24"/>
                <w:lang w:val="en-US"/>
              </w:rPr>
            </w:pPr>
            <w:r>
              <w:rPr>
                <w:b/>
                <w:sz w:val="24"/>
              </w:rPr>
              <w:t>квартал</w:t>
            </w:r>
          </w:p>
        </w:tc>
      </w:tr>
      <w:tr w:rsidR="00E10F50">
        <w:tc>
          <w:tcPr>
            <w:tcW w:w="1843" w:type="dxa"/>
            <w:tcBorders>
              <w:top w:val="single" w:sz="12" w:space="0" w:color="auto"/>
            </w:tcBorders>
            <w:shd w:val="pct10" w:color="000000" w:fill="FFFFFF"/>
            <w:vAlign w:val="center"/>
          </w:tcPr>
          <w:p w:rsidR="00E10F50" w:rsidRDefault="00762802">
            <w:pPr>
              <w:jc w:val="center"/>
              <w:rPr>
                <w:b/>
                <w:sz w:val="24"/>
              </w:rPr>
            </w:pPr>
            <w:r>
              <w:rPr>
                <w:b/>
                <w:sz w:val="24"/>
              </w:rPr>
              <w:t>Промышленность</w:t>
            </w:r>
          </w:p>
        </w:tc>
        <w:tc>
          <w:tcPr>
            <w:tcW w:w="709" w:type="dxa"/>
            <w:tcBorders>
              <w:top w:val="single" w:sz="12" w:space="0" w:color="auto"/>
            </w:tcBorders>
            <w:shd w:val="pct10" w:color="000000" w:fill="FFFFFF"/>
            <w:vAlign w:val="center"/>
          </w:tcPr>
          <w:p w:rsidR="00E10F50" w:rsidRDefault="00762802">
            <w:pPr>
              <w:jc w:val="right"/>
              <w:rPr>
                <w:sz w:val="24"/>
                <w:lang w:val="en-US"/>
              </w:rPr>
            </w:pPr>
            <w:r>
              <w:rPr>
                <w:sz w:val="24"/>
                <w:lang w:val="en-US"/>
              </w:rPr>
              <w:t>1000</w:t>
            </w:r>
          </w:p>
        </w:tc>
        <w:tc>
          <w:tcPr>
            <w:tcW w:w="709" w:type="dxa"/>
            <w:tcBorders>
              <w:top w:val="single" w:sz="12" w:space="0" w:color="auto"/>
            </w:tcBorders>
            <w:shd w:val="pct10" w:color="000000" w:fill="FFFFFF"/>
            <w:vAlign w:val="center"/>
          </w:tcPr>
          <w:p w:rsidR="00E10F50" w:rsidRDefault="00762802">
            <w:pPr>
              <w:jc w:val="right"/>
              <w:rPr>
                <w:sz w:val="24"/>
                <w:lang w:val="en-US"/>
              </w:rPr>
            </w:pPr>
            <w:r>
              <w:rPr>
                <w:sz w:val="24"/>
                <w:lang w:val="en-US"/>
              </w:rPr>
              <w:t>330</w:t>
            </w:r>
          </w:p>
        </w:tc>
        <w:tc>
          <w:tcPr>
            <w:tcW w:w="708" w:type="dxa"/>
            <w:tcBorders>
              <w:top w:val="single" w:sz="12" w:space="0" w:color="auto"/>
            </w:tcBorders>
            <w:shd w:val="pct10" w:color="000000" w:fill="FFFFFF"/>
            <w:vAlign w:val="center"/>
          </w:tcPr>
          <w:p w:rsidR="00E10F50" w:rsidRDefault="00762802">
            <w:pPr>
              <w:jc w:val="right"/>
              <w:rPr>
                <w:sz w:val="24"/>
                <w:lang w:val="en-US"/>
              </w:rPr>
            </w:pPr>
            <w:r>
              <w:rPr>
                <w:sz w:val="24"/>
                <w:lang w:val="en-US"/>
              </w:rPr>
              <w:t>280</w:t>
            </w:r>
          </w:p>
        </w:tc>
        <w:tc>
          <w:tcPr>
            <w:tcW w:w="709" w:type="dxa"/>
            <w:tcBorders>
              <w:top w:val="single" w:sz="12" w:space="0" w:color="auto"/>
            </w:tcBorders>
            <w:shd w:val="pct10" w:color="000000" w:fill="FFFFFF"/>
            <w:vAlign w:val="center"/>
          </w:tcPr>
          <w:p w:rsidR="00E10F50" w:rsidRDefault="00762802">
            <w:pPr>
              <w:jc w:val="right"/>
              <w:rPr>
                <w:sz w:val="24"/>
                <w:lang w:val="en-US"/>
              </w:rPr>
            </w:pPr>
            <w:r>
              <w:rPr>
                <w:sz w:val="24"/>
                <w:lang w:val="en-US"/>
              </w:rPr>
              <w:t>130</w:t>
            </w:r>
          </w:p>
        </w:tc>
        <w:tc>
          <w:tcPr>
            <w:tcW w:w="1134" w:type="dxa"/>
            <w:tcBorders>
              <w:top w:val="single" w:sz="12" w:space="0" w:color="auto"/>
            </w:tcBorders>
            <w:shd w:val="pct10" w:color="000000" w:fill="FFFFFF"/>
            <w:vAlign w:val="center"/>
          </w:tcPr>
          <w:p w:rsidR="00E10F50" w:rsidRDefault="00762802">
            <w:pPr>
              <w:jc w:val="right"/>
              <w:rPr>
                <w:sz w:val="24"/>
                <w:lang w:val="en-US"/>
              </w:rPr>
            </w:pPr>
            <w:r>
              <w:rPr>
                <w:sz w:val="24"/>
                <w:lang w:val="en-US"/>
              </w:rPr>
              <w:t>104</w:t>
            </w:r>
          </w:p>
        </w:tc>
        <w:tc>
          <w:tcPr>
            <w:tcW w:w="1134" w:type="dxa"/>
            <w:tcBorders>
              <w:top w:val="single" w:sz="12" w:space="0" w:color="auto"/>
            </w:tcBorders>
            <w:shd w:val="pct10" w:color="000000" w:fill="FFFFFF"/>
            <w:vAlign w:val="center"/>
          </w:tcPr>
          <w:p w:rsidR="00E10F50" w:rsidRDefault="00762802">
            <w:pPr>
              <w:jc w:val="right"/>
              <w:rPr>
                <w:sz w:val="24"/>
                <w:lang w:val="en-US"/>
              </w:rPr>
            </w:pPr>
            <w:r>
              <w:rPr>
                <w:sz w:val="24"/>
                <w:lang w:val="en-US"/>
              </w:rPr>
              <w:t>102</w:t>
            </w:r>
          </w:p>
        </w:tc>
        <w:tc>
          <w:tcPr>
            <w:tcW w:w="1134" w:type="dxa"/>
            <w:tcBorders>
              <w:top w:val="single" w:sz="12" w:space="0" w:color="auto"/>
            </w:tcBorders>
            <w:shd w:val="pct10" w:color="000000" w:fill="FFFFFF"/>
            <w:vAlign w:val="center"/>
          </w:tcPr>
          <w:p w:rsidR="00E10F50" w:rsidRDefault="00762802">
            <w:pPr>
              <w:jc w:val="right"/>
              <w:rPr>
                <w:sz w:val="24"/>
                <w:lang w:val="en-US"/>
              </w:rPr>
            </w:pPr>
            <w:r>
              <w:rPr>
                <w:sz w:val="24"/>
                <w:lang w:val="en-US"/>
              </w:rPr>
              <w:t>100,6</w:t>
            </w:r>
          </w:p>
        </w:tc>
        <w:tc>
          <w:tcPr>
            <w:tcW w:w="1134" w:type="dxa"/>
            <w:tcBorders>
              <w:top w:val="single" w:sz="12" w:space="0" w:color="auto"/>
            </w:tcBorders>
            <w:shd w:val="pct10" w:color="000000" w:fill="FFFFFF"/>
            <w:vAlign w:val="center"/>
          </w:tcPr>
          <w:p w:rsidR="00E10F50" w:rsidRDefault="00762802">
            <w:pPr>
              <w:jc w:val="right"/>
              <w:rPr>
                <w:sz w:val="24"/>
                <w:lang w:val="en-US"/>
              </w:rPr>
            </w:pPr>
            <w:r>
              <w:rPr>
                <w:sz w:val="24"/>
                <w:lang w:val="en-US"/>
              </w:rPr>
              <w:t>100,3</w:t>
            </w:r>
          </w:p>
        </w:tc>
        <w:tc>
          <w:tcPr>
            <w:tcW w:w="1134" w:type="dxa"/>
            <w:tcBorders>
              <w:top w:val="single" w:sz="12" w:space="0" w:color="auto"/>
            </w:tcBorders>
            <w:shd w:val="pct10" w:color="000000" w:fill="FFFFFF"/>
            <w:vAlign w:val="center"/>
          </w:tcPr>
          <w:p w:rsidR="00E10F50" w:rsidRDefault="00762802">
            <w:pPr>
              <w:jc w:val="right"/>
              <w:rPr>
                <w:sz w:val="24"/>
                <w:lang w:val="en-US"/>
              </w:rPr>
            </w:pPr>
            <w:r>
              <w:rPr>
                <w:sz w:val="24"/>
                <w:lang w:val="en-US"/>
              </w:rPr>
              <w:t>100,9</w:t>
            </w:r>
          </w:p>
        </w:tc>
      </w:tr>
      <w:tr w:rsidR="00E10F50">
        <w:tc>
          <w:tcPr>
            <w:tcW w:w="1843" w:type="dxa"/>
            <w:vAlign w:val="center"/>
          </w:tcPr>
          <w:p w:rsidR="00E10F50" w:rsidRDefault="00762802">
            <w:pPr>
              <w:jc w:val="center"/>
              <w:rPr>
                <w:b/>
                <w:sz w:val="24"/>
              </w:rPr>
            </w:pPr>
            <w:r>
              <w:rPr>
                <w:b/>
                <w:sz w:val="24"/>
              </w:rPr>
              <w:t>Электроэнергетика</w:t>
            </w:r>
          </w:p>
        </w:tc>
        <w:tc>
          <w:tcPr>
            <w:tcW w:w="709" w:type="dxa"/>
            <w:vAlign w:val="center"/>
          </w:tcPr>
          <w:p w:rsidR="00E10F50" w:rsidRDefault="00762802">
            <w:pPr>
              <w:jc w:val="right"/>
              <w:rPr>
                <w:sz w:val="24"/>
                <w:lang w:val="en-US"/>
              </w:rPr>
            </w:pPr>
            <w:r>
              <w:rPr>
                <w:sz w:val="24"/>
                <w:lang w:val="en-US"/>
              </w:rPr>
              <w:t>1360</w:t>
            </w:r>
          </w:p>
        </w:tc>
        <w:tc>
          <w:tcPr>
            <w:tcW w:w="709" w:type="dxa"/>
            <w:vAlign w:val="center"/>
          </w:tcPr>
          <w:p w:rsidR="00E10F50" w:rsidRDefault="00762802">
            <w:pPr>
              <w:jc w:val="right"/>
              <w:rPr>
                <w:sz w:val="24"/>
                <w:lang w:val="en-US"/>
              </w:rPr>
            </w:pPr>
            <w:r>
              <w:rPr>
                <w:sz w:val="24"/>
                <w:lang w:val="en-US"/>
              </w:rPr>
              <w:t>330</w:t>
            </w:r>
          </w:p>
        </w:tc>
        <w:tc>
          <w:tcPr>
            <w:tcW w:w="708" w:type="dxa"/>
            <w:vAlign w:val="center"/>
          </w:tcPr>
          <w:p w:rsidR="00E10F50" w:rsidRDefault="00762802">
            <w:pPr>
              <w:jc w:val="right"/>
              <w:rPr>
                <w:sz w:val="24"/>
                <w:lang w:val="en-US"/>
              </w:rPr>
            </w:pPr>
            <w:r>
              <w:rPr>
                <w:sz w:val="24"/>
                <w:lang w:val="en-US"/>
              </w:rPr>
              <w:t>300</w:t>
            </w:r>
          </w:p>
        </w:tc>
        <w:tc>
          <w:tcPr>
            <w:tcW w:w="709" w:type="dxa"/>
            <w:vAlign w:val="center"/>
          </w:tcPr>
          <w:p w:rsidR="00E10F50" w:rsidRDefault="00762802">
            <w:pPr>
              <w:jc w:val="right"/>
              <w:rPr>
                <w:sz w:val="24"/>
                <w:lang w:val="en-US"/>
              </w:rPr>
            </w:pPr>
            <w:r>
              <w:rPr>
                <w:sz w:val="24"/>
                <w:lang w:val="en-US"/>
              </w:rPr>
              <w:t>140</w:t>
            </w:r>
          </w:p>
        </w:tc>
        <w:tc>
          <w:tcPr>
            <w:tcW w:w="1134" w:type="dxa"/>
            <w:vAlign w:val="center"/>
          </w:tcPr>
          <w:p w:rsidR="00E10F50" w:rsidRDefault="00762802">
            <w:pPr>
              <w:jc w:val="right"/>
              <w:rPr>
                <w:sz w:val="24"/>
                <w:lang w:val="en-US"/>
              </w:rPr>
            </w:pPr>
            <w:r>
              <w:rPr>
                <w:sz w:val="24"/>
                <w:lang w:val="en-US"/>
              </w:rPr>
              <w:t>105</w:t>
            </w:r>
          </w:p>
        </w:tc>
        <w:tc>
          <w:tcPr>
            <w:tcW w:w="1134" w:type="dxa"/>
            <w:vAlign w:val="center"/>
          </w:tcPr>
          <w:p w:rsidR="00E10F50" w:rsidRDefault="00762802">
            <w:pPr>
              <w:jc w:val="right"/>
              <w:rPr>
                <w:sz w:val="24"/>
                <w:lang w:val="en-US"/>
              </w:rPr>
            </w:pPr>
            <w:r>
              <w:rPr>
                <w:sz w:val="24"/>
                <w:lang w:val="en-US"/>
              </w:rPr>
              <w:t>102</w:t>
            </w:r>
          </w:p>
        </w:tc>
        <w:tc>
          <w:tcPr>
            <w:tcW w:w="1134" w:type="dxa"/>
            <w:vAlign w:val="center"/>
          </w:tcPr>
          <w:p w:rsidR="00E10F50" w:rsidRDefault="00762802">
            <w:pPr>
              <w:jc w:val="right"/>
              <w:rPr>
                <w:sz w:val="24"/>
                <w:lang w:val="en-US"/>
              </w:rPr>
            </w:pPr>
            <w:r>
              <w:rPr>
                <w:sz w:val="24"/>
                <w:lang w:val="en-US"/>
              </w:rPr>
              <w:t>98,3</w:t>
            </w:r>
          </w:p>
        </w:tc>
        <w:tc>
          <w:tcPr>
            <w:tcW w:w="1134" w:type="dxa"/>
            <w:vAlign w:val="center"/>
          </w:tcPr>
          <w:p w:rsidR="00E10F50" w:rsidRDefault="00762802">
            <w:pPr>
              <w:jc w:val="right"/>
              <w:rPr>
                <w:sz w:val="24"/>
                <w:lang w:val="en-US"/>
              </w:rPr>
            </w:pPr>
            <w:r>
              <w:rPr>
                <w:sz w:val="24"/>
                <w:lang w:val="en-US"/>
              </w:rPr>
              <w:t>101</w:t>
            </w:r>
          </w:p>
        </w:tc>
        <w:tc>
          <w:tcPr>
            <w:tcW w:w="1134" w:type="dxa"/>
            <w:vAlign w:val="center"/>
          </w:tcPr>
          <w:p w:rsidR="00E10F50" w:rsidRDefault="00762802">
            <w:pPr>
              <w:jc w:val="right"/>
              <w:rPr>
                <w:sz w:val="24"/>
                <w:lang w:val="en-US"/>
              </w:rPr>
            </w:pPr>
            <w:r>
              <w:rPr>
                <w:sz w:val="24"/>
                <w:lang w:val="en-US"/>
              </w:rPr>
              <w:t>101,2</w:t>
            </w:r>
          </w:p>
        </w:tc>
      </w:tr>
      <w:tr w:rsidR="00E10F50">
        <w:tc>
          <w:tcPr>
            <w:tcW w:w="1843" w:type="dxa"/>
            <w:shd w:val="pct10" w:color="000000" w:fill="FFFFFF"/>
            <w:vAlign w:val="center"/>
          </w:tcPr>
          <w:p w:rsidR="00E10F50" w:rsidRDefault="00762802">
            <w:pPr>
              <w:jc w:val="center"/>
              <w:rPr>
                <w:b/>
                <w:sz w:val="24"/>
              </w:rPr>
            </w:pPr>
            <w:r>
              <w:rPr>
                <w:b/>
                <w:sz w:val="24"/>
              </w:rPr>
              <w:t xml:space="preserve">Топливная промышленность </w:t>
            </w:r>
          </w:p>
        </w:tc>
        <w:tc>
          <w:tcPr>
            <w:tcW w:w="709" w:type="dxa"/>
            <w:shd w:val="pct10" w:color="000000" w:fill="FFFFFF"/>
            <w:vAlign w:val="center"/>
          </w:tcPr>
          <w:p w:rsidR="00E10F50" w:rsidRDefault="00762802">
            <w:pPr>
              <w:jc w:val="right"/>
              <w:rPr>
                <w:sz w:val="24"/>
                <w:lang w:val="en-US"/>
              </w:rPr>
            </w:pPr>
            <w:r>
              <w:rPr>
                <w:sz w:val="24"/>
                <w:lang w:val="en-US"/>
              </w:rPr>
              <w:t>730</w:t>
            </w:r>
          </w:p>
        </w:tc>
        <w:tc>
          <w:tcPr>
            <w:tcW w:w="709" w:type="dxa"/>
            <w:shd w:val="pct10" w:color="000000" w:fill="FFFFFF"/>
            <w:vAlign w:val="center"/>
          </w:tcPr>
          <w:p w:rsidR="00E10F50" w:rsidRDefault="00762802">
            <w:pPr>
              <w:jc w:val="right"/>
              <w:rPr>
                <w:sz w:val="24"/>
                <w:lang w:val="en-US"/>
              </w:rPr>
            </w:pPr>
            <w:r>
              <w:rPr>
                <w:sz w:val="24"/>
                <w:lang w:val="en-US"/>
              </w:rPr>
              <w:t>300</w:t>
            </w:r>
          </w:p>
        </w:tc>
        <w:tc>
          <w:tcPr>
            <w:tcW w:w="708" w:type="dxa"/>
            <w:shd w:val="pct10" w:color="000000" w:fill="FFFFFF"/>
            <w:vAlign w:val="center"/>
          </w:tcPr>
          <w:p w:rsidR="00E10F50" w:rsidRDefault="00762802">
            <w:pPr>
              <w:jc w:val="right"/>
              <w:rPr>
                <w:sz w:val="24"/>
                <w:lang w:val="en-US"/>
              </w:rPr>
            </w:pPr>
            <w:r>
              <w:rPr>
                <w:sz w:val="24"/>
                <w:lang w:val="en-US"/>
              </w:rPr>
              <w:t>290</w:t>
            </w:r>
          </w:p>
        </w:tc>
        <w:tc>
          <w:tcPr>
            <w:tcW w:w="709" w:type="dxa"/>
            <w:shd w:val="pct10" w:color="000000" w:fill="FFFFFF"/>
            <w:vAlign w:val="center"/>
          </w:tcPr>
          <w:p w:rsidR="00E10F50" w:rsidRDefault="00762802">
            <w:pPr>
              <w:jc w:val="right"/>
              <w:rPr>
                <w:sz w:val="24"/>
                <w:lang w:val="en-US"/>
              </w:rPr>
            </w:pPr>
            <w:r>
              <w:rPr>
                <w:sz w:val="24"/>
                <w:lang w:val="en-US"/>
              </w:rPr>
              <w:t>140</w:t>
            </w:r>
          </w:p>
        </w:tc>
        <w:tc>
          <w:tcPr>
            <w:tcW w:w="1134" w:type="dxa"/>
            <w:shd w:val="pct10" w:color="000000" w:fill="FFFFFF"/>
            <w:vAlign w:val="center"/>
          </w:tcPr>
          <w:p w:rsidR="00E10F50" w:rsidRDefault="00762802">
            <w:pPr>
              <w:jc w:val="right"/>
              <w:rPr>
                <w:sz w:val="24"/>
                <w:lang w:val="en-US"/>
              </w:rPr>
            </w:pPr>
            <w:r>
              <w:rPr>
                <w:sz w:val="24"/>
                <w:lang w:val="en-US"/>
              </w:rPr>
              <w:t>107</w:t>
            </w:r>
          </w:p>
        </w:tc>
        <w:tc>
          <w:tcPr>
            <w:tcW w:w="1134" w:type="dxa"/>
            <w:shd w:val="pct10" w:color="000000" w:fill="FFFFFF"/>
            <w:vAlign w:val="center"/>
          </w:tcPr>
          <w:p w:rsidR="00E10F50" w:rsidRDefault="00762802">
            <w:pPr>
              <w:jc w:val="right"/>
              <w:rPr>
                <w:sz w:val="24"/>
                <w:lang w:val="en-US"/>
              </w:rPr>
            </w:pPr>
            <w:r>
              <w:rPr>
                <w:sz w:val="24"/>
                <w:lang w:val="en-US"/>
              </w:rPr>
              <w:t>103</w:t>
            </w:r>
          </w:p>
        </w:tc>
        <w:tc>
          <w:tcPr>
            <w:tcW w:w="1134" w:type="dxa"/>
            <w:shd w:val="pct10" w:color="000000" w:fill="FFFFFF"/>
            <w:vAlign w:val="center"/>
          </w:tcPr>
          <w:p w:rsidR="00E10F50" w:rsidRDefault="00762802">
            <w:pPr>
              <w:jc w:val="right"/>
              <w:rPr>
                <w:sz w:val="24"/>
                <w:lang w:val="en-US"/>
              </w:rPr>
            </w:pPr>
            <w:r>
              <w:rPr>
                <w:sz w:val="24"/>
                <w:lang w:val="en-US"/>
              </w:rPr>
              <w:t>100,7</w:t>
            </w:r>
          </w:p>
        </w:tc>
        <w:tc>
          <w:tcPr>
            <w:tcW w:w="1134" w:type="dxa"/>
            <w:shd w:val="pct10" w:color="000000" w:fill="FFFFFF"/>
            <w:vAlign w:val="center"/>
          </w:tcPr>
          <w:p w:rsidR="00E10F50" w:rsidRDefault="00762802">
            <w:pPr>
              <w:jc w:val="right"/>
              <w:rPr>
                <w:sz w:val="24"/>
                <w:lang w:val="en-US"/>
              </w:rPr>
            </w:pPr>
            <w:r>
              <w:rPr>
                <w:sz w:val="24"/>
                <w:lang w:val="en-US"/>
              </w:rPr>
              <w:t>100,8</w:t>
            </w:r>
          </w:p>
        </w:tc>
        <w:tc>
          <w:tcPr>
            <w:tcW w:w="1134" w:type="dxa"/>
            <w:shd w:val="pct10" w:color="000000" w:fill="FFFFFF"/>
            <w:vAlign w:val="center"/>
          </w:tcPr>
          <w:p w:rsidR="00E10F50" w:rsidRDefault="00762802">
            <w:pPr>
              <w:jc w:val="right"/>
              <w:rPr>
                <w:sz w:val="24"/>
                <w:lang w:val="en-US"/>
              </w:rPr>
            </w:pPr>
            <w:r>
              <w:rPr>
                <w:sz w:val="24"/>
                <w:lang w:val="en-US"/>
              </w:rPr>
              <w:t>101</w:t>
            </w:r>
          </w:p>
        </w:tc>
      </w:tr>
      <w:tr w:rsidR="00E10F50">
        <w:tc>
          <w:tcPr>
            <w:tcW w:w="1843" w:type="dxa"/>
            <w:vAlign w:val="center"/>
          </w:tcPr>
          <w:p w:rsidR="00E10F50" w:rsidRDefault="00762802">
            <w:pPr>
              <w:jc w:val="center"/>
              <w:rPr>
                <w:b/>
                <w:sz w:val="24"/>
              </w:rPr>
            </w:pPr>
            <w:r>
              <w:rPr>
                <w:b/>
                <w:sz w:val="24"/>
              </w:rPr>
              <w:t>Нефтедобывающая</w:t>
            </w:r>
          </w:p>
        </w:tc>
        <w:tc>
          <w:tcPr>
            <w:tcW w:w="709" w:type="dxa"/>
            <w:vAlign w:val="center"/>
          </w:tcPr>
          <w:p w:rsidR="00E10F50" w:rsidRDefault="00762802">
            <w:pPr>
              <w:jc w:val="right"/>
              <w:rPr>
                <w:sz w:val="24"/>
                <w:lang w:val="en-US"/>
              </w:rPr>
            </w:pPr>
            <w:r>
              <w:rPr>
                <w:sz w:val="24"/>
                <w:lang w:val="en-US"/>
              </w:rPr>
              <w:t>560</w:t>
            </w:r>
          </w:p>
        </w:tc>
        <w:tc>
          <w:tcPr>
            <w:tcW w:w="709" w:type="dxa"/>
            <w:vAlign w:val="center"/>
          </w:tcPr>
          <w:p w:rsidR="00E10F50" w:rsidRDefault="00762802">
            <w:pPr>
              <w:jc w:val="right"/>
              <w:rPr>
                <w:sz w:val="24"/>
                <w:lang w:val="en-US"/>
              </w:rPr>
            </w:pPr>
            <w:r>
              <w:rPr>
                <w:sz w:val="24"/>
                <w:lang w:val="en-US"/>
              </w:rPr>
              <w:t>290</w:t>
            </w:r>
          </w:p>
        </w:tc>
        <w:tc>
          <w:tcPr>
            <w:tcW w:w="708" w:type="dxa"/>
            <w:vAlign w:val="center"/>
          </w:tcPr>
          <w:p w:rsidR="00E10F50" w:rsidRDefault="00762802">
            <w:pPr>
              <w:jc w:val="right"/>
              <w:rPr>
                <w:sz w:val="24"/>
                <w:lang w:val="en-US"/>
              </w:rPr>
            </w:pPr>
            <w:r>
              <w:rPr>
                <w:sz w:val="24"/>
                <w:lang w:val="en-US"/>
              </w:rPr>
              <w:t>280</w:t>
            </w:r>
          </w:p>
        </w:tc>
        <w:tc>
          <w:tcPr>
            <w:tcW w:w="709" w:type="dxa"/>
            <w:vAlign w:val="center"/>
          </w:tcPr>
          <w:p w:rsidR="00E10F50" w:rsidRDefault="00762802">
            <w:pPr>
              <w:jc w:val="right"/>
              <w:rPr>
                <w:sz w:val="24"/>
                <w:lang w:val="en-US"/>
              </w:rPr>
            </w:pPr>
            <w:r>
              <w:rPr>
                <w:sz w:val="24"/>
                <w:lang w:val="en-US"/>
              </w:rPr>
              <w:t>120</w:t>
            </w:r>
          </w:p>
        </w:tc>
        <w:tc>
          <w:tcPr>
            <w:tcW w:w="1134" w:type="dxa"/>
            <w:vAlign w:val="center"/>
          </w:tcPr>
          <w:p w:rsidR="00E10F50" w:rsidRDefault="00762802">
            <w:pPr>
              <w:jc w:val="right"/>
              <w:rPr>
                <w:sz w:val="24"/>
                <w:lang w:val="en-US"/>
              </w:rPr>
            </w:pPr>
            <w:r>
              <w:rPr>
                <w:sz w:val="24"/>
                <w:lang w:val="en-US"/>
              </w:rPr>
              <w:t>109,3</w:t>
            </w:r>
          </w:p>
        </w:tc>
        <w:tc>
          <w:tcPr>
            <w:tcW w:w="1134" w:type="dxa"/>
            <w:vAlign w:val="center"/>
          </w:tcPr>
          <w:p w:rsidR="00E10F50" w:rsidRDefault="00762802">
            <w:pPr>
              <w:jc w:val="right"/>
              <w:rPr>
                <w:sz w:val="24"/>
                <w:lang w:val="en-US"/>
              </w:rPr>
            </w:pPr>
            <w:r>
              <w:rPr>
                <w:sz w:val="24"/>
                <w:lang w:val="en-US"/>
              </w:rPr>
              <w:t>103,7</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102</w:t>
            </w:r>
          </w:p>
        </w:tc>
      </w:tr>
      <w:tr w:rsidR="00E10F50">
        <w:tc>
          <w:tcPr>
            <w:tcW w:w="1843" w:type="dxa"/>
            <w:vAlign w:val="center"/>
          </w:tcPr>
          <w:p w:rsidR="00E10F50" w:rsidRDefault="00762802">
            <w:pPr>
              <w:jc w:val="center"/>
              <w:rPr>
                <w:b/>
                <w:sz w:val="24"/>
              </w:rPr>
            </w:pPr>
            <w:r>
              <w:rPr>
                <w:b/>
                <w:sz w:val="24"/>
              </w:rPr>
              <w:t>Нефтеперерабатывающая</w:t>
            </w:r>
          </w:p>
        </w:tc>
        <w:tc>
          <w:tcPr>
            <w:tcW w:w="709" w:type="dxa"/>
            <w:vAlign w:val="center"/>
          </w:tcPr>
          <w:p w:rsidR="00E10F50" w:rsidRDefault="00762802">
            <w:pPr>
              <w:jc w:val="right"/>
              <w:rPr>
                <w:sz w:val="24"/>
                <w:lang w:val="en-US"/>
              </w:rPr>
            </w:pPr>
            <w:r>
              <w:rPr>
                <w:sz w:val="24"/>
                <w:lang w:val="en-US"/>
              </w:rPr>
              <w:t>520</w:t>
            </w:r>
          </w:p>
        </w:tc>
        <w:tc>
          <w:tcPr>
            <w:tcW w:w="709" w:type="dxa"/>
            <w:vAlign w:val="center"/>
          </w:tcPr>
          <w:p w:rsidR="00E10F50" w:rsidRDefault="00762802">
            <w:pPr>
              <w:jc w:val="right"/>
              <w:rPr>
                <w:sz w:val="24"/>
                <w:lang w:val="en-US"/>
              </w:rPr>
            </w:pPr>
            <w:r>
              <w:rPr>
                <w:sz w:val="24"/>
                <w:lang w:val="en-US"/>
              </w:rPr>
              <w:t>290</w:t>
            </w:r>
          </w:p>
        </w:tc>
        <w:tc>
          <w:tcPr>
            <w:tcW w:w="708" w:type="dxa"/>
            <w:vAlign w:val="center"/>
          </w:tcPr>
          <w:p w:rsidR="00E10F50" w:rsidRDefault="00762802">
            <w:pPr>
              <w:jc w:val="right"/>
              <w:rPr>
                <w:sz w:val="24"/>
                <w:lang w:val="en-US"/>
              </w:rPr>
            </w:pPr>
            <w:r>
              <w:rPr>
                <w:sz w:val="24"/>
                <w:lang w:val="en-US"/>
              </w:rPr>
              <w:t>300</w:t>
            </w:r>
          </w:p>
        </w:tc>
        <w:tc>
          <w:tcPr>
            <w:tcW w:w="709" w:type="dxa"/>
            <w:vAlign w:val="center"/>
          </w:tcPr>
          <w:p w:rsidR="00E10F50" w:rsidRDefault="00762802">
            <w:pPr>
              <w:jc w:val="right"/>
              <w:rPr>
                <w:sz w:val="24"/>
                <w:lang w:val="en-US"/>
              </w:rPr>
            </w:pPr>
            <w:r>
              <w:rPr>
                <w:sz w:val="24"/>
                <w:lang w:val="en-US"/>
              </w:rPr>
              <w:t>140</w:t>
            </w:r>
          </w:p>
        </w:tc>
        <w:tc>
          <w:tcPr>
            <w:tcW w:w="1134" w:type="dxa"/>
            <w:vAlign w:val="center"/>
          </w:tcPr>
          <w:p w:rsidR="00E10F50" w:rsidRDefault="00762802">
            <w:pPr>
              <w:jc w:val="right"/>
              <w:rPr>
                <w:sz w:val="24"/>
                <w:lang w:val="en-US"/>
              </w:rPr>
            </w:pPr>
            <w:r>
              <w:rPr>
                <w:sz w:val="24"/>
                <w:lang w:val="en-US"/>
              </w:rPr>
              <w:t>108,1</w:t>
            </w:r>
          </w:p>
        </w:tc>
        <w:tc>
          <w:tcPr>
            <w:tcW w:w="1134" w:type="dxa"/>
            <w:vAlign w:val="center"/>
          </w:tcPr>
          <w:p w:rsidR="00E10F50" w:rsidRDefault="00762802">
            <w:pPr>
              <w:jc w:val="right"/>
              <w:rPr>
                <w:sz w:val="24"/>
                <w:lang w:val="en-US"/>
              </w:rPr>
            </w:pPr>
            <w:r>
              <w:rPr>
                <w:sz w:val="24"/>
                <w:lang w:val="en-US"/>
              </w:rPr>
              <w:t>101,9</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100,3</w:t>
            </w:r>
          </w:p>
        </w:tc>
      </w:tr>
      <w:tr w:rsidR="00E10F50">
        <w:tc>
          <w:tcPr>
            <w:tcW w:w="1843" w:type="dxa"/>
            <w:vAlign w:val="center"/>
          </w:tcPr>
          <w:p w:rsidR="00E10F50" w:rsidRDefault="00762802">
            <w:pPr>
              <w:jc w:val="center"/>
              <w:rPr>
                <w:b/>
                <w:sz w:val="24"/>
              </w:rPr>
            </w:pPr>
            <w:r>
              <w:rPr>
                <w:b/>
                <w:sz w:val="24"/>
              </w:rPr>
              <w:t>Газовая</w:t>
            </w:r>
          </w:p>
        </w:tc>
        <w:tc>
          <w:tcPr>
            <w:tcW w:w="709" w:type="dxa"/>
            <w:vAlign w:val="center"/>
          </w:tcPr>
          <w:p w:rsidR="00E10F50" w:rsidRDefault="00762802">
            <w:pPr>
              <w:jc w:val="right"/>
              <w:rPr>
                <w:sz w:val="24"/>
                <w:lang w:val="en-US"/>
              </w:rPr>
            </w:pPr>
            <w:r>
              <w:rPr>
                <w:sz w:val="24"/>
                <w:lang w:val="en-US"/>
              </w:rPr>
              <w:t>950</w:t>
            </w:r>
          </w:p>
        </w:tc>
        <w:tc>
          <w:tcPr>
            <w:tcW w:w="709" w:type="dxa"/>
            <w:vAlign w:val="center"/>
          </w:tcPr>
          <w:p w:rsidR="00E10F50" w:rsidRDefault="00762802">
            <w:pPr>
              <w:jc w:val="right"/>
              <w:rPr>
                <w:sz w:val="24"/>
                <w:lang w:val="en-US"/>
              </w:rPr>
            </w:pPr>
            <w:r>
              <w:rPr>
                <w:sz w:val="24"/>
                <w:lang w:val="en-US"/>
              </w:rPr>
              <w:t>390</w:t>
            </w:r>
          </w:p>
        </w:tc>
        <w:tc>
          <w:tcPr>
            <w:tcW w:w="708" w:type="dxa"/>
            <w:vAlign w:val="center"/>
          </w:tcPr>
          <w:p w:rsidR="00E10F50" w:rsidRDefault="00762802">
            <w:pPr>
              <w:jc w:val="right"/>
              <w:rPr>
                <w:sz w:val="24"/>
                <w:lang w:val="en-US"/>
              </w:rPr>
            </w:pPr>
            <w:r>
              <w:rPr>
                <w:sz w:val="24"/>
                <w:lang w:val="en-US"/>
              </w:rPr>
              <w:t>260</w:t>
            </w:r>
          </w:p>
        </w:tc>
        <w:tc>
          <w:tcPr>
            <w:tcW w:w="709" w:type="dxa"/>
            <w:vAlign w:val="center"/>
          </w:tcPr>
          <w:p w:rsidR="00E10F50" w:rsidRDefault="00762802">
            <w:pPr>
              <w:jc w:val="right"/>
              <w:rPr>
                <w:sz w:val="24"/>
                <w:lang w:val="en-US"/>
              </w:rPr>
            </w:pPr>
            <w:r>
              <w:rPr>
                <w:sz w:val="24"/>
                <w:lang w:val="en-US"/>
              </w:rPr>
              <w:t>230</w:t>
            </w:r>
          </w:p>
        </w:tc>
        <w:tc>
          <w:tcPr>
            <w:tcW w:w="1134" w:type="dxa"/>
            <w:vAlign w:val="center"/>
          </w:tcPr>
          <w:p w:rsidR="00E10F50" w:rsidRDefault="00762802">
            <w:pPr>
              <w:jc w:val="right"/>
              <w:rPr>
                <w:sz w:val="24"/>
                <w:lang w:val="en-US"/>
              </w:rPr>
            </w:pPr>
            <w:r>
              <w:rPr>
                <w:sz w:val="24"/>
                <w:lang w:val="en-US"/>
              </w:rPr>
              <w:t>100,2</w:t>
            </w:r>
          </w:p>
        </w:tc>
        <w:tc>
          <w:tcPr>
            <w:tcW w:w="1134" w:type="dxa"/>
            <w:vAlign w:val="center"/>
          </w:tcPr>
          <w:p w:rsidR="00E10F50" w:rsidRDefault="00762802">
            <w:pPr>
              <w:jc w:val="right"/>
              <w:rPr>
                <w:sz w:val="24"/>
                <w:lang w:val="en-US"/>
              </w:rPr>
            </w:pPr>
            <w:r>
              <w:rPr>
                <w:sz w:val="24"/>
                <w:lang w:val="en-US"/>
              </w:rPr>
              <w:t>100,1</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99,8</w:t>
            </w:r>
          </w:p>
        </w:tc>
      </w:tr>
      <w:tr w:rsidR="00E10F50">
        <w:tc>
          <w:tcPr>
            <w:tcW w:w="1843" w:type="dxa"/>
            <w:vAlign w:val="center"/>
          </w:tcPr>
          <w:p w:rsidR="00E10F50" w:rsidRDefault="00762802">
            <w:pPr>
              <w:jc w:val="center"/>
              <w:rPr>
                <w:b/>
                <w:sz w:val="24"/>
              </w:rPr>
            </w:pPr>
            <w:r>
              <w:rPr>
                <w:b/>
                <w:sz w:val="24"/>
              </w:rPr>
              <w:t>Угольная</w:t>
            </w:r>
          </w:p>
        </w:tc>
        <w:tc>
          <w:tcPr>
            <w:tcW w:w="709" w:type="dxa"/>
            <w:vAlign w:val="center"/>
          </w:tcPr>
          <w:p w:rsidR="00E10F50" w:rsidRDefault="00762802">
            <w:pPr>
              <w:jc w:val="right"/>
              <w:rPr>
                <w:sz w:val="24"/>
                <w:lang w:val="en-US"/>
              </w:rPr>
            </w:pPr>
            <w:r>
              <w:rPr>
                <w:sz w:val="24"/>
                <w:lang w:val="en-US"/>
              </w:rPr>
              <w:t>930</w:t>
            </w:r>
          </w:p>
        </w:tc>
        <w:tc>
          <w:tcPr>
            <w:tcW w:w="709" w:type="dxa"/>
            <w:vAlign w:val="center"/>
          </w:tcPr>
          <w:p w:rsidR="00E10F50" w:rsidRDefault="00762802">
            <w:pPr>
              <w:jc w:val="right"/>
              <w:rPr>
                <w:sz w:val="24"/>
                <w:lang w:val="en-US"/>
              </w:rPr>
            </w:pPr>
            <w:r>
              <w:rPr>
                <w:sz w:val="24"/>
                <w:lang w:val="en-US"/>
              </w:rPr>
              <w:t>350</w:t>
            </w:r>
          </w:p>
        </w:tc>
        <w:tc>
          <w:tcPr>
            <w:tcW w:w="708" w:type="dxa"/>
            <w:vAlign w:val="center"/>
          </w:tcPr>
          <w:p w:rsidR="00E10F50" w:rsidRDefault="00762802">
            <w:pPr>
              <w:jc w:val="right"/>
              <w:rPr>
                <w:sz w:val="24"/>
                <w:lang w:val="en-US"/>
              </w:rPr>
            </w:pPr>
            <w:r>
              <w:rPr>
                <w:sz w:val="24"/>
                <w:lang w:val="en-US"/>
              </w:rPr>
              <w:t>280</w:t>
            </w:r>
          </w:p>
        </w:tc>
        <w:tc>
          <w:tcPr>
            <w:tcW w:w="709" w:type="dxa"/>
            <w:vAlign w:val="center"/>
          </w:tcPr>
          <w:p w:rsidR="00E10F50" w:rsidRDefault="00762802">
            <w:pPr>
              <w:jc w:val="right"/>
              <w:rPr>
                <w:sz w:val="24"/>
                <w:lang w:val="en-US"/>
              </w:rPr>
            </w:pPr>
            <w:r>
              <w:rPr>
                <w:sz w:val="24"/>
                <w:lang w:val="en-US"/>
              </w:rPr>
              <w:t>130</w:t>
            </w:r>
          </w:p>
        </w:tc>
        <w:tc>
          <w:tcPr>
            <w:tcW w:w="1134" w:type="dxa"/>
            <w:vAlign w:val="center"/>
          </w:tcPr>
          <w:p w:rsidR="00E10F50" w:rsidRDefault="00762802">
            <w:pPr>
              <w:jc w:val="right"/>
              <w:rPr>
                <w:sz w:val="24"/>
                <w:lang w:val="en-US"/>
              </w:rPr>
            </w:pPr>
            <w:r>
              <w:rPr>
                <w:sz w:val="24"/>
                <w:lang w:val="en-US"/>
              </w:rPr>
              <w:t>103,6</w:t>
            </w:r>
          </w:p>
        </w:tc>
        <w:tc>
          <w:tcPr>
            <w:tcW w:w="1134" w:type="dxa"/>
            <w:vAlign w:val="center"/>
          </w:tcPr>
          <w:p w:rsidR="00E10F50" w:rsidRDefault="00762802">
            <w:pPr>
              <w:jc w:val="right"/>
              <w:rPr>
                <w:sz w:val="24"/>
                <w:lang w:val="en-US"/>
              </w:rPr>
            </w:pPr>
            <w:r>
              <w:rPr>
                <w:sz w:val="24"/>
                <w:lang w:val="en-US"/>
              </w:rPr>
              <w:t>101,6</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w:t>
            </w:r>
          </w:p>
        </w:tc>
        <w:tc>
          <w:tcPr>
            <w:tcW w:w="1134" w:type="dxa"/>
            <w:vAlign w:val="center"/>
          </w:tcPr>
          <w:p w:rsidR="00E10F50" w:rsidRDefault="00762802">
            <w:pPr>
              <w:jc w:val="right"/>
              <w:rPr>
                <w:sz w:val="24"/>
                <w:lang w:val="en-US"/>
              </w:rPr>
            </w:pPr>
            <w:r>
              <w:rPr>
                <w:sz w:val="24"/>
                <w:lang w:val="en-US"/>
              </w:rPr>
              <w:t>100,7</w:t>
            </w:r>
          </w:p>
        </w:tc>
      </w:tr>
    </w:tbl>
    <w:p w:rsidR="00E10F50" w:rsidRDefault="00762802">
      <w:pPr>
        <w:ind w:firstLine="709"/>
        <w:jc w:val="both"/>
        <w:rPr>
          <w:i/>
          <w:sz w:val="24"/>
        </w:rPr>
      </w:pPr>
      <w:r>
        <w:rPr>
          <w:i/>
          <w:sz w:val="24"/>
        </w:rPr>
        <w:t>*** – данные отсутствуют</w:t>
      </w:r>
    </w:p>
    <w:p w:rsidR="00E10F50" w:rsidRDefault="00762802">
      <w:pPr>
        <w:pStyle w:val="5"/>
      </w:pPr>
      <w:r>
        <w:t>Таблица 2</w:t>
      </w:r>
    </w:p>
    <w:p w:rsidR="00E10F50" w:rsidRDefault="00762802">
      <w:pPr>
        <w:ind w:right="-710"/>
        <w:jc w:val="right"/>
        <w:rPr>
          <w:i/>
          <w:sz w:val="24"/>
        </w:rPr>
      </w:pPr>
      <w:r>
        <w:rPr>
          <w:i/>
          <w:sz w:val="24"/>
        </w:rPr>
        <w:t>Средние цены предприятий-производителей на энергоресурсы</w:t>
      </w:r>
    </w:p>
    <w:tbl>
      <w:tblPr>
        <w:tblW w:w="0" w:type="auto"/>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52"/>
        <w:gridCol w:w="709"/>
        <w:gridCol w:w="708"/>
        <w:gridCol w:w="709"/>
        <w:gridCol w:w="1134"/>
        <w:gridCol w:w="1134"/>
        <w:gridCol w:w="1134"/>
        <w:gridCol w:w="1134"/>
        <w:gridCol w:w="1134"/>
      </w:tblGrid>
      <w:tr w:rsidR="00E10F50">
        <w:trPr>
          <w:cantSplit/>
        </w:trPr>
        <w:tc>
          <w:tcPr>
            <w:tcW w:w="2552" w:type="dxa"/>
            <w:vMerge w:val="restart"/>
            <w:tcBorders>
              <w:bottom w:val="nil"/>
            </w:tcBorders>
            <w:shd w:val="pct40" w:color="000000" w:fill="FFFFFF"/>
            <w:vAlign w:val="center"/>
          </w:tcPr>
          <w:p w:rsidR="00E10F50" w:rsidRDefault="00E10F50">
            <w:pPr>
              <w:jc w:val="center"/>
              <w:rPr>
                <w:b/>
                <w:sz w:val="24"/>
              </w:rPr>
            </w:pPr>
          </w:p>
        </w:tc>
        <w:tc>
          <w:tcPr>
            <w:tcW w:w="709" w:type="dxa"/>
            <w:vMerge w:val="restart"/>
            <w:tcBorders>
              <w:bottom w:val="nil"/>
            </w:tcBorders>
            <w:shd w:val="pct40" w:color="000000" w:fill="FFFFFF"/>
            <w:vAlign w:val="center"/>
          </w:tcPr>
          <w:p w:rsidR="00E10F50" w:rsidRDefault="00762802">
            <w:pPr>
              <w:jc w:val="center"/>
              <w:rPr>
                <w:b/>
                <w:sz w:val="24"/>
                <w:lang w:val="en-US"/>
              </w:rPr>
            </w:pPr>
            <w:r>
              <w:rPr>
                <w:b/>
                <w:sz w:val="24"/>
                <w:lang w:val="en-US"/>
              </w:rPr>
              <w:t>1994</w:t>
            </w:r>
          </w:p>
        </w:tc>
        <w:tc>
          <w:tcPr>
            <w:tcW w:w="708" w:type="dxa"/>
            <w:vMerge w:val="restart"/>
            <w:tcBorders>
              <w:bottom w:val="nil"/>
            </w:tcBorders>
            <w:shd w:val="pct40" w:color="000000" w:fill="FFFFFF"/>
            <w:vAlign w:val="center"/>
          </w:tcPr>
          <w:p w:rsidR="00E10F50" w:rsidRDefault="00762802">
            <w:pPr>
              <w:jc w:val="center"/>
              <w:rPr>
                <w:b/>
                <w:sz w:val="24"/>
                <w:lang w:val="en-US"/>
              </w:rPr>
            </w:pPr>
            <w:r>
              <w:rPr>
                <w:b/>
                <w:sz w:val="24"/>
                <w:lang w:val="en-US"/>
              </w:rPr>
              <w:t>1995</w:t>
            </w:r>
          </w:p>
        </w:tc>
        <w:tc>
          <w:tcPr>
            <w:tcW w:w="709" w:type="dxa"/>
            <w:vMerge w:val="restart"/>
            <w:tcBorders>
              <w:bottom w:val="nil"/>
            </w:tcBorders>
            <w:shd w:val="pct40" w:color="000000" w:fill="FFFFFF"/>
            <w:vAlign w:val="center"/>
          </w:tcPr>
          <w:p w:rsidR="00E10F50" w:rsidRDefault="00762802">
            <w:pPr>
              <w:jc w:val="center"/>
              <w:rPr>
                <w:b/>
                <w:sz w:val="24"/>
                <w:lang w:val="en-US"/>
              </w:rPr>
            </w:pPr>
            <w:r>
              <w:rPr>
                <w:b/>
                <w:sz w:val="24"/>
                <w:lang w:val="en-US"/>
              </w:rPr>
              <w:t>1996</w:t>
            </w:r>
          </w:p>
        </w:tc>
        <w:tc>
          <w:tcPr>
            <w:tcW w:w="4536" w:type="dxa"/>
            <w:gridSpan w:val="4"/>
            <w:tcBorders>
              <w:bottom w:val="single" w:sz="4" w:space="0" w:color="auto"/>
            </w:tcBorders>
            <w:shd w:val="pct40" w:color="000000" w:fill="FFFFFF"/>
            <w:vAlign w:val="center"/>
          </w:tcPr>
          <w:p w:rsidR="00E10F50" w:rsidRDefault="00762802">
            <w:pPr>
              <w:jc w:val="center"/>
              <w:rPr>
                <w:b/>
                <w:sz w:val="24"/>
                <w:lang w:val="en-US"/>
              </w:rPr>
            </w:pPr>
            <w:r>
              <w:rPr>
                <w:b/>
                <w:sz w:val="24"/>
                <w:lang w:val="en-US"/>
              </w:rPr>
              <w:t>1997</w:t>
            </w:r>
          </w:p>
        </w:tc>
        <w:tc>
          <w:tcPr>
            <w:tcW w:w="1134" w:type="dxa"/>
            <w:tcBorders>
              <w:bottom w:val="single" w:sz="4" w:space="0" w:color="auto"/>
            </w:tcBorders>
            <w:shd w:val="pct40" w:color="000000" w:fill="FFFFFF"/>
            <w:vAlign w:val="center"/>
          </w:tcPr>
          <w:p w:rsidR="00E10F50" w:rsidRDefault="00762802">
            <w:pPr>
              <w:jc w:val="center"/>
              <w:rPr>
                <w:b/>
                <w:sz w:val="24"/>
                <w:lang w:val="en-US"/>
              </w:rPr>
            </w:pPr>
            <w:r>
              <w:rPr>
                <w:b/>
                <w:sz w:val="24"/>
                <w:lang w:val="en-US"/>
              </w:rPr>
              <w:t>1998</w:t>
            </w:r>
          </w:p>
        </w:tc>
      </w:tr>
      <w:tr w:rsidR="00E10F50">
        <w:trPr>
          <w:cantSplit/>
        </w:trPr>
        <w:tc>
          <w:tcPr>
            <w:tcW w:w="2552" w:type="dxa"/>
            <w:vMerge/>
            <w:tcBorders>
              <w:top w:val="nil"/>
              <w:bottom w:val="single" w:sz="12" w:space="0" w:color="auto"/>
            </w:tcBorders>
            <w:shd w:val="pct40" w:color="000000" w:fill="FFFFFF"/>
            <w:vAlign w:val="center"/>
          </w:tcPr>
          <w:p w:rsidR="00E10F50" w:rsidRDefault="00E10F50">
            <w:pPr>
              <w:jc w:val="center"/>
              <w:rPr>
                <w:b/>
                <w:sz w:val="24"/>
              </w:rPr>
            </w:pPr>
          </w:p>
        </w:tc>
        <w:tc>
          <w:tcPr>
            <w:tcW w:w="709" w:type="dxa"/>
            <w:vMerge/>
            <w:tcBorders>
              <w:top w:val="nil"/>
              <w:bottom w:val="single" w:sz="12" w:space="0" w:color="auto"/>
            </w:tcBorders>
            <w:shd w:val="pct40" w:color="000000" w:fill="FFFFFF"/>
            <w:vAlign w:val="center"/>
          </w:tcPr>
          <w:p w:rsidR="00E10F50" w:rsidRDefault="00E10F50">
            <w:pPr>
              <w:jc w:val="center"/>
              <w:rPr>
                <w:b/>
                <w:sz w:val="24"/>
                <w:lang w:val="en-US"/>
              </w:rPr>
            </w:pPr>
          </w:p>
        </w:tc>
        <w:tc>
          <w:tcPr>
            <w:tcW w:w="708" w:type="dxa"/>
            <w:vMerge/>
            <w:tcBorders>
              <w:top w:val="nil"/>
              <w:bottom w:val="single" w:sz="12" w:space="0" w:color="auto"/>
            </w:tcBorders>
            <w:shd w:val="pct40" w:color="000000" w:fill="FFFFFF"/>
            <w:vAlign w:val="center"/>
          </w:tcPr>
          <w:p w:rsidR="00E10F50" w:rsidRDefault="00E10F50">
            <w:pPr>
              <w:jc w:val="center"/>
              <w:rPr>
                <w:b/>
                <w:sz w:val="24"/>
                <w:lang w:val="en-US"/>
              </w:rPr>
            </w:pPr>
          </w:p>
        </w:tc>
        <w:tc>
          <w:tcPr>
            <w:tcW w:w="709" w:type="dxa"/>
            <w:vMerge/>
            <w:tcBorders>
              <w:top w:val="nil"/>
              <w:bottom w:val="single" w:sz="12" w:space="0" w:color="auto"/>
            </w:tcBorders>
            <w:shd w:val="pct40" w:color="000000" w:fill="FFFFFF"/>
            <w:vAlign w:val="center"/>
          </w:tcPr>
          <w:p w:rsidR="00E10F50" w:rsidRDefault="00E10F50">
            <w:pPr>
              <w:jc w:val="center"/>
              <w:rPr>
                <w:b/>
                <w:sz w:val="24"/>
                <w:lang w:val="en-US"/>
              </w:rPr>
            </w:pP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rPr>
            </w:pPr>
            <w:r>
              <w:rPr>
                <w:b/>
                <w:sz w:val="24"/>
                <w:lang w:val="en-US"/>
              </w:rPr>
              <w:t>I</w:t>
            </w:r>
            <w:r>
              <w:rPr>
                <w:b/>
                <w:sz w:val="24"/>
              </w:rPr>
              <w:t xml:space="preserve"> </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II</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III</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IV</w:t>
            </w:r>
          </w:p>
          <w:p w:rsidR="00E10F50" w:rsidRDefault="00762802">
            <w:pPr>
              <w:jc w:val="center"/>
              <w:rPr>
                <w:b/>
                <w:sz w:val="24"/>
                <w:lang w:val="en-US"/>
              </w:rPr>
            </w:pPr>
            <w:r>
              <w:rPr>
                <w:b/>
                <w:sz w:val="24"/>
              </w:rPr>
              <w:t>квартал</w:t>
            </w:r>
          </w:p>
        </w:tc>
        <w:tc>
          <w:tcPr>
            <w:tcW w:w="1134" w:type="dxa"/>
            <w:tcBorders>
              <w:top w:val="single" w:sz="4" w:space="0" w:color="auto"/>
              <w:bottom w:val="single" w:sz="12" w:space="0" w:color="auto"/>
            </w:tcBorders>
            <w:shd w:val="pct40" w:color="000000" w:fill="FFFFFF"/>
            <w:vAlign w:val="center"/>
          </w:tcPr>
          <w:p w:rsidR="00E10F50" w:rsidRDefault="00762802">
            <w:pPr>
              <w:jc w:val="center"/>
              <w:rPr>
                <w:b/>
                <w:sz w:val="24"/>
                <w:lang w:val="en-US"/>
              </w:rPr>
            </w:pPr>
            <w:r>
              <w:rPr>
                <w:b/>
                <w:sz w:val="24"/>
                <w:lang w:val="en-US"/>
              </w:rPr>
              <w:t>I</w:t>
            </w:r>
            <w:r>
              <w:rPr>
                <w:b/>
                <w:sz w:val="24"/>
              </w:rPr>
              <w:t xml:space="preserve"> </w:t>
            </w:r>
          </w:p>
          <w:p w:rsidR="00E10F50" w:rsidRDefault="00762802">
            <w:pPr>
              <w:jc w:val="center"/>
              <w:rPr>
                <w:b/>
                <w:sz w:val="24"/>
                <w:lang w:val="en-US"/>
              </w:rPr>
            </w:pPr>
            <w:r>
              <w:rPr>
                <w:b/>
                <w:sz w:val="24"/>
              </w:rPr>
              <w:t>квартал</w:t>
            </w:r>
          </w:p>
        </w:tc>
      </w:tr>
      <w:tr w:rsidR="00E10F50">
        <w:tc>
          <w:tcPr>
            <w:tcW w:w="2552" w:type="dxa"/>
            <w:tcBorders>
              <w:top w:val="single" w:sz="12" w:space="0" w:color="auto"/>
            </w:tcBorders>
            <w:shd w:val="pct10" w:color="000000" w:fill="FFFFFF"/>
            <w:vAlign w:val="center"/>
          </w:tcPr>
          <w:p w:rsidR="00E10F50" w:rsidRDefault="00762802">
            <w:pPr>
              <w:jc w:val="center"/>
              <w:rPr>
                <w:b/>
                <w:sz w:val="24"/>
              </w:rPr>
            </w:pPr>
            <w:r>
              <w:rPr>
                <w:b/>
                <w:sz w:val="24"/>
              </w:rPr>
              <w:t>Нефть</w:t>
            </w:r>
          </w:p>
        </w:tc>
        <w:tc>
          <w:tcPr>
            <w:tcW w:w="709" w:type="dxa"/>
            <w:tcBorders>
              <w:top w:val="single" w:sz="12" w:space="0" w:color="auto"/>
            </w:tcBorders>
            <w:shd w:val="pct10" w:color="000000" w:fill="FFFFFF"/>
            <w:vAlign w:val="center"/>
          </w:tcPr>
          <w:p w:rsidR="00E10F50" w:rsidRDefault="00E10F50">
            <w:pPr>
              <w:jc w:val="right"/>
              <w:rPr>
                <w:sz w:val="24"/>
                <w:lang w:val="en-US"/>
              </w:rPr>
            </w:pPr>
          </w:p>
        </w:tc>
        <w:tc>
          <w:tcPr>
            <w:tcW w:w="708" w:type="dxa"/>
            <w:tcBorders>
              <w:top w:val="single" w:sz="12" w:space="0" w:color="auto"/>
            </w:tcBorders>
            <w:shd w:val="pct10" w:color="000000" w:fill="FFFFFF"/>
            <w:vAlign w:val="center"/>
          </w:tcPr>
          <w:p w:rsidR="00E10F50" w:rsidRDefault="00E10F50">
            <w:pPr>
              <w:jc w:val="right"/>
              <w:rPr>
                <w:sz w:val="24"/>
                <w:lang w:val="en-US"/>
              </w:rPr>
            </w:pPr>
          </w:p>
        </w:tc>
        <w:tc>
          <w:tcPr>
            <w:tcW w:w="709" w:type="dxa"/>
            <w:tcBorders>
              <w:top w:val="single" w:sz="12" w:space="0" w:color="auto"/>
            </w:tcBorders>
            <w:shd w:val="pct10" w:color="000000" w:fill="FFFFFF"/>
            <w:vAlign w:val="center"/>
          </w:tcPr>
          <w:p w:rsidR="00E10F50" w:rsidRDefault="00E10F50">
            <w:pPr>
              <w:jc w:val="right"/>
              <w:rPr>
                <w:sz w:val="24"/>
                <w:lang w:val="en-US"/>
              </w:rPr>
            </w:pPr>
          </w:p>
        </w:tc>
        <w:tc>
          <w:tcPr>
            <w:tcW w:w="1134" w:type="dxa"/>
            <w:tcBorders>
              <w:top w:val="single" w:sz="12" w:space="0" w:color="auto"/>
            </w:tcBorders>
            <w:shd w:val="pct10" w:color="000000" w:fill="FFFFFF"/>
            <w:vAlign w:val="center"/>
          </w:tcPr>
          <w:p w:rsidR="00E10F50" w:rsidRDefault="00E10F50">
            <w:pPr>
              <w:jc w:val="right"/>
              <w:rPr>
                <w:sz w:val="24"/>
                <w:lang w:val="en-US"/>
              </w:rPr>
            </w:pPr>
          </w:p>
        </w:tc>
        <w:tc>
          <w:tcPr>
            <w:tcW w:w="1134" w:type="dxa"/>
            <w:tcBorders>
              <w:top w:val="single" w:sz="12" w:space="0" w:color="auto"/>
            </w:tcBorders>
            <w:shd w:val="pct10" w:color="000000" w:fill="FFFFFF"/>
            <w:vAlign w:val="center"/>
          </w:tcPr>
          <w:p w:rsidR="00E10F50" w:rsidRDefault="00E10F50">
            <w:pPr>
              <w:jc w:val="right"/>
              <w:rPr>
                <w:sz w:val="24"/>
                <w:lang w:val="en-US"/>
              </w:rPr>
            </w:pPr>
          </w:p>
        </w:tc>
        <w:tc>
          <w:tcPr>
            <w:tcW w:w="1134" w:type="dxa"/>
            <w:tcBorders>
              <w:top w:val="single" w:sz="12" w:space="0" w:color="auto"/>
            </w:tcBorders>
            <w:shd w:val="pct10" w:color="000000" w:fill="FFFFFF"/>
            <w:vAlign w:val="center"/>
          </w:tcPr>
          <w:p w:rsidR="00E10F50" w:rsidRDefault="00E10F50">
            <w:pPr>
              <w:jc w:val="right"/>
              <w:rPr>
                <w:sz w:val="24"/>
                <w:lang w:val="en-US"/>
              </w:rPr>
            </w:pPr>
          </w:p>
        </w:tc>
        <w:tc>
          <w:tcPr>
            <w:tcW w:w="1134" w:type="dxa"/>
            <w:tcBorders>
              <w:top w:val="single" w:sz="12" w:space="0" w:color="auto"/>
            </w:tcBorders>
            <w:shd w:val="pct10" w:color="000000" w:fill="FFFFFF"/>
            <w:vAlign w:val="center"/>
          </w:tcPr>
          <w:p w:rsidR="00E10F50" w:rsidRDefault="00E10F50">
            <w:pPr>
              <w:jc w:val="right"/>
              <w:rPr>
                <w:sz w:val="24"/>
                <w:lang w:val="en-US"/>
              </w:rPr>
            </w:pPr>
          </w:p>
        </w:tc>
        <w:tc>
          <w:tcPr>
            <w:tcW w:w="1134" w:type="dxa"/>
            <w:tcBorders>
              <w:top w:val="single" w:sz="12" w:space="0" w:color="auto"/>
            </w:tcBorders>
            <w:shd w:val="pct10" w:color="000000" w:fill="FFFFFF"/>
            <w:vAlign w:val="center"/>
          </w:tcPr>
          <w:p w:rsidR="00E10F50" w:rsidRDefault="00E10F50">
            <w:pPr>
              <w:jc w:val="right"/>
              <w:rPr>
                <w:sz w:val="24"/>
                <w:lang w:val="en-US"/>
              </w:rPr>
            </w:pPr>
          </w:p>
        </w:tc>
      </w:tr>
      <w:tr w:rsidR="00E10F50">
        <w:tc>
          <w:tcPr>
            <w:tcW w:w="2552" w:type="dxa"/>
            <w:shd w:val="clear" w:color="auto" w:fill="FFFFFF"/>
            <w:vAlign w:val="center"/>
          </w:tcPr>
          <w:p w:rsidR="00E10F50" w:rsidRDefault="00762802">
            <w:pPr>
              <w:jc w:val="right"/>
              <w:rPr>
                <w:sz w:val="24"/>
              </w:rPr>
            </w:pPr>
            <w:r>
              <w:rPr>
                <w:sz w:val="24"/>
              </w:rPr>
              <w:t xml:space="preserve">тыс. руб. за тонну </w:t>
            </w:r>
          </w:p>
        </w:tc>
        <w:tc>
          <w:tcPr>
            <w:tcW w:w="709" w:type="dxa"/>
            <w:shd w:val="clear" w:color="auto" w:fill="FFFFFF"/>
            <w:vAlign w:val="center"/>
          </w:tcPr>
          <w:p w:rsidR="00E10F50" w:rsidRDefault="00762802">
            <w:pPr>
              <w:jc w:val="right"/>
              <w:rPr>
                <w:sz w:val="24"/>
                <w:lang w:val="en-US"/>
              </w:rPr>
            </w:pPr>
            <w:r>
              <w:rPr>
                <w:sz w:val="24"/>
                <w:lang w:val="en-US"/>
              </w:rPr>
              <w:t>70</w:t>
            </w:r>
          </w:p>
        </w:tc>
        <w:tc>
          <w:tcPr>
            <w:tcW w:w="708" w:type="dxa"/>
            <w:shd w:val="clear" w:color="auto" w:fill="FFFFFF"/>
            <w:vAlign w:val="center"/>
          </w:tcPr>
          <w:p w:rsidR="00E10F50" w:rsidRDefault="00762802">
            <w:pPr>
              <w:jc w:val="right"/>
              <w:rPr>
                <w:sz w:val="24"/>
                <w:lang w:val="en-US"/>
              </w:rPr>
            </w:pPr>
            <w:r>
              <w:rPr>
                <w:sz w:val="24"/>
                <w:lang w:val="en-US"/>
              </w:rPr>
              <w:t>221</w:t>
            </w:r>
          </w:p>
        </w:tc>
        <w:tc>
          <w:tcPr>
            <w:tcW w:w="709" w:type="dxa"/>
            <w:shd w:val="clear" w:color="auto" w:fill="FFFFFF"/>
            <w:vAlign w:val="center"/>
          </w:tcPr>
          <w:p w:rsidR="00E10F50" w:rsidRDefault="00762802">
            <w:pPr>
              <w:jc w:val="right"/>
              <w:rPr>
                <w:sz w:val="24"/>
                <w:lang w:val="en-US"/>
              </w:rPr>
            </w:pPr>
            <w:r>
              <w:rPr>
                <w:sz w:val="24"/>
                <w:lang w:val="en-US"/>
              </w:rPr>
              <w:t>325</w:t>
            </w:r>
          </w:p>
        </w:tc>
        <w:tc>
          <w:tcPr>
            <w:tcW w:w="1134" w:type="dxa"/>
            <w:shd w:val="clear" w:color="auto" w:fill="FFFFFF"/>
            <w:vAlign w:val="center"/>
          </w:tcPr>
          <w:p w:rsidR="00E10F50" w:rsidRDefault="00762802">
            <w:pPr>
              <w:jc w:val="right"/>
              <w:rPr>
                <w:sz w:val="24"/>
                <w:lang w:val="en-US"/>
              </w:rPr>
            </w:pPr>
            <w:r>
              <w:rPr>
                <w:sz w:val="24"/>
                <w:lang w:val="en-US"/>
              </w:rPr>
              <w:t>351</w:t>
            </w:r>
          </w:p>
        </w:tc>
        <w:tc>
          <w:tcPr>
            <w:tcW w:w="1134" w:type="dxa"/>
            <w:shd w:val="clear" w:color="auto" w:fill="FFFFFF"/>
            <w:vAlign w:val="center"/>
          </w:tcPr>
          <w:p w:rsidR="00E10F50" w:rsidRDefault="00762802">
            <w:pPr>
              <w:jc w:val="right"/>
              <w:rPr>
                <w:sz w:val="24"/>
                <w:lang w:val="en-US"/>
              </w:rPr>
            </w:pPr>
            <w:r>
              <w:rPr>
                <w:sz w:val="24"/>
                <w:lang w:val="en-US"/>
              </w:rPr>
              <w:t>373</w:t>
            </w:r>
          </w:p>
        </w:tc>
        <w:tc>
          <w:tcPr>
            <w:tcW w:w="1134" w:type="dxa"/>
            <w:shd w:val="clear" w:color="auto" w:fill="FFFFFF"/>
            <w:vAlign w:val="center"/>
          </w:tcPr>
          <w:p w:rsidR="00E10F50" w:rsidRDefault="00762802">
            <w:pPr>
              <w:jc w:val="right"/>
              <w:rPr>
                <w:sz w:val="24"/>
                <w:lang w:val="en-US"/>
              </w:rPr>
            </w:pPr>
            <w:r>
              <w:rPr>
                <w:sz w:val="24"/>
                <w:lang w:val="en-US"/>
              </w:rPr>
              <w:t>373</w:t>
            </w:r>
          </w:p>
        </w:tc>
        <w:tc>
          <w:tcPr>
            <w:tcW w:w="1134" w:type="dxa"/>
            <w:shd w:val="clear" w:color="auto" w:fill="FFFFFF"/>
            <w:vAlign w:val="center"/>
          </w:tcPr>
          <w:p w:rsidR="00E10F50" w:rsidRDefault="00762802">
            <w:pPr>
              <w:jc w:val="right"/>
              <w:rPr>
                <w:sz w:val="24"/>
                <w:lang w:val="en-US"/>
              </w:rPr>
            </w:pPr>
            <w:r>
              <w:rPr>
                <w:sz w:val="24"/>
                <w:lang w:val="en-US"/>
              </w:rPr>
              <w:t>375</w:t>
            </w:r>
          </w:p>
        </w:tc>
        <w:tc>
          <w:tcPr>
            <w:tcW w:w="1134" w:type="dxa"/>
            <w:shd w:val="clear" w:color="auto" w:fill="FFFFFF"/>
            <w:vAlign w:val="center"/>
          </w:tcPr>
          <w:p w:rsidR="00E10F50" w:rsidRDefault="00762802">
            <w:pPr>
              <w:jc w:val="right"/>
              <w:rPr>
                <w:sz w:val="24"/>
                <w:lang w:val="en-US"/>
              </w:rPr>
            </w:pPr>
            <w:r>
              <w:rPr>
                <w:sz w:val="24"/>
                <w:lang w:val="en-US"/>
              </w:rPr>
              <w:t>384</w:t>
            </w:r>
          </w:p>
        </w:tc>
      </w:tr>
      <w:tr w:rsidR="00E10F50">
        <w:tc>
          <w:tcPr>
            <w:tcW w:w="2552" w:type="dxa"/>
            <w:shd w:val="clear" w:color="auto" w:fill="FFFFFF"/>
            <w:vAlign w:val="center"/>
          </w:tcPr>
          <w:p w:rsidR="00E10F50" w:rsidRDefault="00762802">
            <w:pPr>
              <w:jc w:val="right"/>
              <w:rPr>
                <w:sz w:val="24"/>
              </w:rPr>
            </w:pPr>
            <w:r>
              <w:rPr>
                <w:sz w:val="24"/>
              </w:rPr>
              <w:t>в % к предыдущему периоду</w:t>
            </w:r>
          </w:p>
        </w:tc>
        <w:tc>
          <w:tcPr>
            <w:tcW w:w="709" w:type="dxa"/>
            <w:shd w:val="clear" w:color="auto" w:fill="FFFFFF"/>
            <w:vAlign w:val="center"/>
          </w:tcPr>
          <w:p w:rsidR="00E10F50" w:rsidRDefault="00762802">
            <w:pPr>
              <w:jc w:val="right"/>
              <w:rPr>
                <w:sz w:val="24"/>
                <w:lang w:val="en-US"/>
              </w:rPr>
            </w:pPr>
            <w:r>
              <w:rPr>
                <w:sz w:val="24"/>
                <w:lang w:val="en-US"/>
              </w:rPr>
              <w:t>290</w:t>
            </w:r>
          </w:p>
        </w:tc>
        <w:tc>
          <w:tcPr>
            <w:tcW w:w="708" w:type="dxa"/>
            <w:shd w:val="clear" w:color="auto" w:fill="FFFFFF"/>
            <w:vAlign w:val="center"/>
          </w:tcPr>
          <w:p w:rsidR="00E10F50" w:rsidRDefault="00762802">
            <w:pPr>
              <w:jc w:val="right"/>
              <w:rPr>
                <w:sz w:val="24"/>
                <w:lang w:val="en-US"/>
              </w:rPr>
            </w:pPr>
            <w:r>
              <w:rPr>
                <w:sz w:val="24"/>
                <w:lang w:val="en-US"/>
              </w:rPr>
              <w:t>280</w:t>
            </w:r>
          </w:p>
        </w:tc>
        <w:tc>
          <w:tcPr>
            <w:tcW w:w="709" w:type="dxa"/>
            <w:shd w:val="clear" w:color="auto" w:fill="FFFFFF"/>
            <w:vAlign w:val="center"/>
          </w:tcPr>
          <w:p w:rsidR="00E10F50" w:rsidRDefault="00762802">
            <w:pPr>
              <w:jc w:val="right"/>
              <w:rPr>
                <w:sz w:val="24"/>
                <w:lang w:val="en-US"/>
              </w:rPr>
            </w:pPr>
            <w:r>
              <w:rPr>
                <w:sz w:val="24"/>
                <w:lang w:val="en-US"/>
              </w:rPr>
              <w:t>120</w:t>
            </w:r>
          </w:p>
        </w:tc>
        <w:tc>
          <w:tcPr>
            <w:tcW w:w="1134" w:type="dxa"/>
            <w:shd w:val="clear" w:color="auto" w:fill="FFFFFF"/>
            <w:vAlign w:val="center"/>
          </w:tcPr>
          <w:p w:rsidR="00E10F50" w:rsidRDefault="00762802">
            <w:pPr>
              <w:jc w:val="right"/>
              <w:rPr>
                <w:sz w:val="24"/>
                <w:lang w:val="en-US"/>
              </w:rPr>
            </w:pPr>
            <w:r>
              <w:rPr>
                <w:sz w:val="24"/>
                <w:lang w:val="en-US"/>
              </w:rPr>
              <w:t>108</w:t>
            </w:r>
          </w:p>
        </w:tc>
        <w:tc>
          <w:tcPr>
            <w:tcW w:w="1134" w:type="dxa"/>
            <w:shd w:val="clear" w:color="auto" w:fill="FFFFFF"/>
            <w:vAlign w:val="center"/>
          </w:tcPr>
          <w:p w:rsidR="00E10F50" w:rsidRDefault="00762802">
            <w:pPr>
              <w:jc w:val="right"/>
              <w:rPr>
                <w:sz w:val="24"/>
                <w:lang w:val="en-US"/>
              </w:rPr>
            </w:pPr>
            <w:r>
              <w:rPr>
                <w:sz w:val="24"/>
                <w:lang w:val="en-US"/>
              </w:rPr>
              <w:t>103</w:t>
            </w:r>
          </w:p>
        </w:tc>
        <w:tc>
          <w:tcPr>
            <w:tcW w:w="1134" w:type="dxa"/>
            <w:shd w:val="clear" w:color="auto" w:fill="FFFFFF"/>
            <w:vAlign w:val="center"/>
          </w:tcPr>
          <w:p w:rsidR="00E10F50" w:rsidRDefault="00762802">
            <w:pPr>
              <w:jc w:val="right"/>
              <w:rPr>
                <w:sz w:val="24"/>
                <w:lang w:val="en-US"/>
              </w:rPr>
            </w:pPr>
            <w:r>
              <w:rPr>
                <w:sz w:val="24"/>
                <w:lang w:val="en-US"/>
              </w:rPr>
              <w:t>99,9</w:t>
            </w:r>
          </w:p>
        </w:tc>
        <w:tc>
          <w:tcPr>
            <w:tcW w:w="1134" w:type="dxa"/>
            <w:shd w:val="clear" w:color="auto" w:fill="FFFFFF"/>
            <w:vAlign w:val="center"/>
          </w:tcPr>
          <w:p w:rsidR="00E10F50" w:rsidRDefault="00762802">
            <w:pPr>
              <w:jc w:val="right"/>
              <w:rPr>
                <w:sz w:val="24"/>
                <w:lang w:val="en-US"/>
              </w:rPr>
            </w:pPr>
            <w:r>
              <w:rPr>
                <w:sz w:val="24"/>
                <w:lang w:val="en-US"/>
              </w:rPr>
              <w:t>100,5</w:t>
            </w:r>
          </w:p>
        </w:tc>
        <w:tc>
          <w:tcPr>
            <w:tcW w:w="1134" w:type="dxa"/>
            <w:shd w:val="clear" w:color="auto" w:fill="FFFFFF"/>
            <w:vAlign w:val="center"/>
          </w:tcPr>
          <w:p w:rsidR="00E10F50" w:rsidRDefault="00762802">
            <w:pPr>
              <w:jc w:val="right"/>
              <w:rPr>
                <w:sz w:val="24"/>
                <w:lang w:val="en-US"/>
              </w:rPr>
            </w:pPr>
            <w:r>
              <w:rPr>
                <w:sz w:val="24"/>
                <w:lang w:val="en-US"/>
              </w:rPr>
              <w:t>102</w:t>
            </w:r>
          </w:p>
        </w:tc>
      </w:tr>
      <w:tr w:rsidR="00E10F50">
        <w:tc>
          <w:tcPr>
            <w:tcW w:w="2552" w:type="dxa"/>
            <w:shd w:val="pct10" w:color="000000" w:fill="FFFFFF"/>
            <w:vAlign w:val="center"/>
          </w:tcPr>
          <w:p w:rsidR="00E10F50" w:rsidRDefault="00762802">
            <w:pPr>
              <w:jc w:val="center"/>
              <w:rPr>
                <w:b/>
                <w:sz w:val="24"/>
              </w:rPr>
            </w:pPr>
            <w:r>
              <w:rPr>
                <w:b/>
                <w:sz w:val="24"/>
              </w:rPr>
              <w:t>Уголь</w:t>
            </w:r>
          </w:p>
        </w:tc>
        <w:tc>
          <w:tcPr>
            <w:tcW w:w="709" w:type="dxa"/>
            <w:shd w:val="pct10" w:color="000000" w:fill="FFFFFF"/>
            <w:vAlign w:val="center"/>
          </w:tcPr>
          <w:p w:rsidR="00E10F50" w:rsidRDefault="00E10F50">
            <w:pPr>
              <w:jc w:val="right"/>
              <w:rPr>
                <w:sz w:val="24"/>
                <w:lang w:val="en-US"/>
              </w:rPr>
            </w:pPr>
          </w:p>
        </w:tc>
        <w:tc>
          <w:tcPr>
            <w:tcW w:w="708" w:type="dxa"/>
            <w:shd w:val="pct10" w:color="000000" w:fill="FFFFFF"/>
            <w:vAlign w:val="center"/>
          </w:tcPr>
          <w:p w:rsidR="00E10F50" w:rsidRDefault="00E10F50">
            <w:pPr>
              <w:jc w:val="right"/>
              <w:rPr>
                <w:sz w:val="24"/>
                <w:lang w:val="en-US"/>
              </w:rPr>
            </w:pPr>
          </w:p>
        </w:tc>
        <w:tc>
          <w:tcPr>
            <w:tcW w:w="709"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r>
      <w:tr w:rsidR="00E10F50">
        <w:tc>
          <w:tcPr>
            <w:tcW w:w="2552" w:type="dxa"/>
            <w:shd w:val="clear" w:color="auto" w:fill="FFFFFF"/>
            <w:vAlign w:val="center"/>
          </w:tcPr>
          <w:p w:rsidR="00E10F50" w:rsidRDefault="00762802">
            <w:pPr>
              <w:jc w:val="right"/>
              <w:rPr>
                <w:b/>
                <w:sz w:val="24"/>
              </w:rPr>
            </w:pPr>
            <w:r>
              <w:rPr>
                <w:sz w:val="24"/>
              </w:rPr>
              <w:t>тыс. руб. за тонну</w:t>
            </w:r>
          </w:p>
        </w:tc>
        <w:tc>
          <w:tcPr>
            <w:tcW w:w="709" w:type="dxa"/>
            <w:shd w:val="clear" w:color="auto" w:fill="FFFFFF"/>
            <w:vAlign w:val="center"/>
          </w:tcPr>
          <w:p w:rsidR="00E10F50" w:rsidRDefault="00762802">
            <w:pPr>
              <w:jc w:val="right"/>
              <w:rPr>
                <w:sz w:val="24"/>
                <w:lang w:val="en-US"/>
              </w:rPr>
            </w:pPr>
            <w:r>
              <w:rPr>
                <w:sz w:val="24"/>
                <w:lang w:val="en-US"/>
              </w:rPr>
              <w:t>20,2</w:t>
            </w:r>
          </w:p>
        </w:tc>
        <w:tc>
          <w:tcPr>
            <w:tcW w:w="708" w:type="dxa"/>
            <w:shd w:val="clear" w:color="auto" w:fill="FFFFFF"/>
            <w:vAlign w:val="center"/>
          </w:tcPr>
          <w:p w:rsidR="00E10F50" w:rsidRDefault="00762802">
            <w:pPr>
              <w:jc w:val="right"/>
              <w:rPr>
                <w:sz w:val="24"/>
                <w:lang w:val="en-US"/>
              </w:rPr>
            </w:pPr>
            <w:r>
              <w:rPr>
                <w:sz w:val="24"/>
                <w:lang w:val="en-US"/>
              </w:rPr>
              <w:t>67,9</w:t>
            </w:r>
          </w:p>
        </w:tc>
        <w:tc>
          <w:tcPr>
            <w:tcW w:w="709" w:type="dxa"/>
            <w:shd w:val="clear" w:color="auto" w:fill="FFFFFF"/>
            <w:vAlign w:val="center"/>
          </w:tcPr>
          <w:p w:rsidR="00E10F50" w:rsidRDefault="00762802">
            <w:pPr>
              <w:jc w:val="right"/>
              <w:rPr>
                <w:sz w:val="24"/>
                <w:lang w:val="en-US"/>
              </w:rPr>
            </w:pPr>
            <w:r>
              <w:rPr>
                <w:sz w:val="24"/>
                <w:lang w:val="en-US"/>
              </w:rPr>
              <w:t>123</w:t>
            </w:r>
          </w:p>
        </w:tc>
        <w:tc>
          <w:tcPr>
            <w:tcW w:w="1134" w:type="dxa"/>
            <w:shd w:val="clear" w:color="auto" w:fill="FFFFFF"/>
            <w:vAlign w:val="center"/>
          </w:tcPr>
          <w:p w:rsidR="00E10F50" w:rsidRDefault="00762802">
            <w:pPr>
              <w:jc w:val="right"/>
              <w:rPr>
                <w:sz w:val="24"/>
                <w:lang w:val="en-US"/>
              </w:rPr>
            </w:pPr>
            <w:r>
              <w:rPr>
                <w:sz w:val="24"/>
                <w:lang w:val="en-US"/>
              </w:rPr>
              <w:t>116</w:t>
            </w:r>
          </w:p>
        </w:tc>
        <w:tc>
          <w:tcPr>
            <w:tcW w:w="1134" w:type="dxa"/>
            <w:shd w:val="clear" w:color="auto" w:fill="FFFFFF"/>
            <w:vAlign w:val="center"/>
          </w:tcPr>
          <w:p w:rsidR="00E10F50" w:rsidRDefault="00762802">
            <w:pPr>
              <w:jc w:val="right"/>
              <w:rPr>
                <w:sz w:val="24"/>
                <w:lang w:val="en-US"/>
              </w:rPr>
            </w:pPr>
            <w:r>
              <w:rPr>
                <w:sz w:val="24"/>
                <w:lang w:val="en-US"/>
              </w:rPr>
              <w:t>121</w:t>
            </w:r>
          </w:p>
        </w:tc>
        <w:tc>
          <w:tcPr>
            <w:tcW w:w="1134" w:type="dxa"/>
            <w:shd w:val="clear" w:color="auto" w:fill="FFFFFF"/>
            <w:vAlign w:val="center"/>
          </w:tcPr>
          <w:p w:rsidR="00E10F50" w:rsidRDefault="00762802">
            <w:pPr>
              <w:jc w:val="right"/>
              <w:rPr>
                <w:sz w:val="24"/>
                <w:lang w:val="en-US"/>
              </w:rPr>
            </w:pPr>
            <w:r>
              <w:rPr>
                <w:sz w:val="24"/>
                <w:lang w:val="en-US"/>
              </w:rPr>
              <w:t>122</w:t>
            </w:r>
          </w:p>
        </w:tc>
        <w:tc>
          <w:tcPr>
            <w:tcW w:w="1134" w:type="dxa"/>
            <w:shd w:val="clear" w:color="auto" w:fill="FFFFFF"/>
            <w:vAlign w:val="center"/>
          </w:tcPr>
          <w:p w:rsidR="00E10F50" w:rsidRDefault="00762802">
            <w:pPr>
              <w:jc w:val="right"/>
              <w:rPr>
                <w:sz w:val="24"/>
                <w:lang w:val="en-US"/>
              </w:rPr>
            </w:pPr>
            <w:r>
              <w:rPr>
                <w:sz w:val="24"/>
                <w:lang w:val="en-US"/>
              </w:rPr>
              <w:t>118</w:t>
            </w:r>
          </w:p>
        </w:tc>
        <w:tc>
          <w:tcPr>
            <w:tcW w:w="1134" w:type="dxa"/>
            <w:shd w:val="clear" w:color="auto" w:fill="FFFFFF"/>
            <w:vAlign w:val="center"/>
          </w:tcPr>
          <w:p w:rsidR="00E10F50" w:rsidRDefault="00762802">
            <w:pPr>
              <w:jc w:val="right"/>
              <w:rPr>
                <w:sz w:val="24"/>
                <w:lang w:val="en-US"/>
              </w:rPr>
            </w:pPr>
            <w:r>
              <w:rPr>
                <w:sz w:val="24"/>
                <w:lang w:val="en-US"/>
              </w:rPr>
              <w:t>119</w:t>
            </w:r>
          </w:p>
        </w:tc>
      </w:tr>
      <w:tr w:rsidR="00E10F50">
        <w:tc>
          <w:tcPr>
            <w:tcW w:w="2552" w:type="dxa"/>
            <w:shd w:val="clear" w:color="auto" w:fill="FFFFFF"/>
            <w:vAlign w:val="center"/>
          </w:tcPr>
          <w:p w:rsidR="00E10F50" w:rsidRDefault="00762802">
            <w:pPr>
              <w:jc w:val="right"/>
              <w:rPr>
                <w:sz w:val="24"/>
              </w:rPr>
            </w:pPr>
            <w:r>
              <w:rPr>
                <w:sz w:val="24"/>
              </w:rPr>
              <w:t>в % к предыдущему периоду</w:t>
            </w:r>
          </w:p>
        </w:tc>
        <w:tc>
          <w:tcPr>
            <w:tcW w:w="709" w:type="dxa"/>
            <w:shd w:val="clear" w:color="auto" w:fill="FFFFFF"/>
            <w:vAlign w:val="center"/>
          </w:tcPr>
          <w:p w:rsidR="00E10F50" w:rsidRDefault="00762802">
            <w:pPr>
              <w:jc w:val="right"/>
              <w:rPr>
                <w:sz w:val="24"/>
                <w:lang w:val="en-US"/>
              </w:rPr>
            </w:pPr>
            <w:r>
              <w:rPr>
                <w:sz w:val="24"/>
                <w:lang w:val="en-US"/>
              </w:rPr>
              <w:t>350</w:t>
            </w:r>
          </w:p>
        </w:tc>
        <w:tc>
          <w:tcPr>
            <w:tcW w:w="708" w:type="dxa"/>
            <w:shd w:val="clear" w:color="auto" w:fill="FFFFFF"/>
            <w:vAlign w:val="center"/>
          </w:tcPr>
          <w:p w:rsidR="00E10F50" w:rsidRDefault="00762802">
            <w:pPr>
              <w:jc w:val="right"/>
              <w:rPr>
                <w:sz w:val="24"/>
                <w:lang w:val="en-US"/>
              </w:rPr>
            </w:pPr>
            <w:r>
              <w:rPr>
                <w:sz w:val="24"/>
                <w:lang w:val="en-US"/>
              </w:rPr>
              <w:t>270</w:t>
            </w:r>
          </w:p>
        </w:tc>
        <w:tc>
          <w:tcPr>
            <w:tcW w:w="709" w:type="dxa"/>
            <w:shd w:val="clear" w:color="auto" w:fill="FFFFFF"/>
            <w:vAlign w:val="center"/>
          </w:tcPr>
          <w:p w:rsidR="00E10F50" w:rsidRDefault="00762802">
            <w:pPr>
              <w:jc w:val="right"/>
              <w:rPr>
                <w:sz w:val="24"/>
                <w:lang w:val="en-US"/>
              </w:rPr>
            </w:pPr>
            <w:r>
              <w:rPr>
                <w:sz w:val="24"/>
                <w:lang w:val="en-US"/>
              </w:rPr>
              <w:t>140</w:t>
            </w:r>
          </w:p>
        </w:tc>
        <w:tc>
          <w:tcPr>
            <w:tcW w:w="1134" w:type="dxa"/>
            <w:shd w:val="clear" w:color="auto" w:fill="FFFFFF"/>
            <w:vAlign w:val="center"/>
          </w:tcPr>
          <w:p w:rsidR="00E10F50" w:rsidRDefault="00762802">
            <w:pPr>
              <w:jc w:val="right"/>
              <w:rPr>
                <w:sz w:val="24"/>
                <w:lang w:val="en-US"/>
              </w:rPr>
            </w:pPr>
            <w:r>
              <w:rPr>
                <w:sz w:val="24"/>
                <w:lang w:val="en-US"/>
              </w:rPr>
              <w:t>103</w:t>
            </w:r>
          </w:p>
        </w:tc>
        <w:tc>
          <w:tcPr>
            <w:tcW w:w="1134" w:type="dxa"/>
            <w:shd w:val="clear" w:color="auto" w:fill="FFFFFF"/>
            <w:vAlign w:val="center"/>
          </w:tcPr>
          <w:p w:rsidR="00E10F50" w:rsidRDefault="00762802">
            <w:pPr>
              <w:jc w:val="right"/>
              <w:rPr>
                <w:sz w:val="24"/>
                <w:lang w:val="en-US"/>
              </w:rPr>
            </w:pPr>
            <w:r>
              <w:rPr>
                <w:sz w:val="24"/>
                <w:lang w:val="en-US"/>
              </w:rPr>
              <w:t>102</w:t>
            </w:r>
          </w:p>
        </w:tc>
        <w:tc>
          <w:tcPr>
            <w:tcW w:w="1134" w:type="dxa"/>
            <w:shd w:val="clear" w:color="auto" w:fill="FFFFFF"/>
            <w:vAlign w:val="center"/>
          </w:tcPr>
          <w:p w:rsidR="00E10F50" w:rsidRDefault="00762802">
            <w:pPr>
              <w:jc w:val="right"/>
              <w:rPr>
                <w:sz w:val="24"/>
                <w:lang w:val="en-US"/>
              </w:rPr>
            </w:pPr>
            <w:r>
              <w:rPr>
                <w:sz w:val="24"/>
                <w:lang w:val="en-US"/>
              </w:rPr>
              <w:t>97,4</w:t>
            </w:r>
          </w:p>
        </w:tc>
        <w:tc>
          <w:tcPr>
            <w:tcW w:w="1134" w:type="dxa"/>
            <w:shd w:val="clear" w:color="auto" w:fill="FFFFFF"/>
            <w:vAlign w:val="center"/>
          </w:tcPr>
          <w:p w:rsidR="00E10F50" w:rsidRDefault="00762802">
            <w:pPr>
              <w:jc w:val="right"/>
              <w:rPr>
                <w:sz w:val="24"/>
                <w:lang w:val="en-US"/>
              </w:rPr>
            </w:pPr>
            <w:r>
              <w:rPr>
                <w:sz w:val="24"/>
                <w:lang w:val="en-US"/>
              </w:rPr>
              <w:t>97,3</w:t>
            </w:r>
          </w:p>
        </w:tc>
        <w:tc>
          <w:tcPr>
            <w:tcW w:w="1134" w:type="dxa"/>
            <w:shd w:val="clear" w:color="auto" w:fill="FFFFFF"/>
            <w:vAlign w:val="center"/>
          </w:tcPr>
          <w:p w:rsidR="00E10F50" w:rsidRDefault="00762802">
            <w:pPr>
              <w:jc w:val="right"/>
              <w:rPr>
                <w:sz w:val="24"/>
                <w:lang w:val="en-US"/>
              </w:rPr>
            </w:pPr>
            <w:r>
              <w:rPr>
                <w:sz w:val="24"/>
                <w:lang w:val="en-US"/>
              </w:rPr>
              <w:t>100,7</w:t>
            </w:r>
          </w:p>
        </w:tc>
      </w:tr>
      <w:tr w:rsidR="00E10F50">
        <w:tc>
          <w:tcPr>
            <w:tcW w:w="2552" w:type="dxa"/>
            <w:shd w:val="pct10" w:color="000000" w:fill="FFFFFF"/>
            <w:vAlign w:val="center"/>
          </w:tcPr>
          <w:p w:rsidR="00E10F50" w:rsidRDefault="00762802">
            <w:pPr>
              <w:jc w:val="center"/>
              <w:rPr>
                <w:b/>
                <w:sz w:val="24"/>
              </w:rPr>
            </w:pPr>
            <w:r>
              <w:rPr>
                <w:b/>
                <w:sz w:val="24"/>
              </w:rPr>
              <w:t>Газ</w:t>
            </w:r>
          </w:p>
        </w:tc>
        <w:tc>
          <w:tcPr>
            <w:tcW w:w="709" w:type="dxa"/>
            <w:shd w:val="pct10" w:color="000000" w:fill="FFFFFF"/>
            <w:vAlign w:val="center"/>
          </w:tcPr>
          <w:p w:rsidR="00E10F50" w:rsidRDefault="00E10F50">
            <w:pPr>
              <w:jc w:val="right"/>
              <w:rPr>
                <w:sz w:val="24"/>
                <w:lang w:val="en-US"/>
              </w:rPr>
            </w:pPr>
          </w:p>
        </w:tc>
        <w:tc>
          <w:tcPr>
            <w:tcW w:w="708" w:type="dxa"/>
            <w:shd w:val="pct10" w:color="000000" w:fill="FFFFFF"/>
            <w:vAlign w:val="center"/>
          </w:tcPr>
          <w:p w:rsidR="00E10F50" w:rsidRDefault="00E10F50">
            <w:pPr>
              <w:jc w:val="right"/>
              <w:rPr>
                <w:sz w:val="24"/>
                <w:lang w:val="en-US"/>
              </w:rPr>
            </w:pPr>
          </w:p>
        </w:tc>
        <w:tc>
          <w:tcPr>
            <w:tcW w:w="709"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c>
          <w:tcPr>
            <w:tcW w:w="1134" w:type="dxa"/>
            <w:shd w:val="pct10" w:color="000000" w:fill="FFFFFF"/>
            <w:vAlign w:val="center"/>
          </w:tcPr>
          <w:p w:rsidR="00E10F50" w:rsidRDefault="00E10F50">
            <w:pPr>
              <w:jc w:val="right"/>
              <w:rPr>
                <w:sz w:val="24"/>
                <w:lang w:val="en-US"/>
              </w:rPr>
            </w:pPr>
          </w:p>
        </w:tc>
      </w:tr>
      <w:tr w:rsidR="00E10F50">
        <w:tc>
          <w:tcPr>
            <w:tcW w:w="2552" w:type="dxa"/>
            <w:shd w:val="clear" w:color="auto" w:fill="FFFFFF"/>
            <w:vAlign w:val="center"/>
          </w:tcPr>
          <w:p w:rsidR="00E10F50" w:rsidRDefault="00762802">
            <w:pPr>
              <w:jc w:val="right"/>
              <w:rPr>
                <w:b/>
                <w:sz w:val="24"/>
              </w:rPr>
            </w:pPr>
            <w:r>
              <w:rPr>
                <w:sz w:val="24"/>
              </w:rPr>
              <w:t>тыс. руб. за тонну</w:t>
            </w:r>
          </w:p>
        </w:tc>
        <w:tc>
          <w:tcPr>
            <w:tcW w:w="709" w:type="dxa"/>
            <w:shd w:val="clear" w:color="auto" w:fill="FFFFFF"/>
            <w:vAlign w:val="center"/>
          </w:tcPr>
          <w:p w:rsidR="00E10F50" w:rsidRDefault="00762802">
            <w:pPr>
              <w:jc w:val="right"/>
              <w:rPr>
                <w:sz w:val="24"/>
                <w:lang w:val="en-US"/>
              </w:rPr>
            </w:pPr>
            <w:r>
              <w:rPr>
                <w:sz w:val="24"/>
                <w:lang w:val="en-US"/>
              </w:rPr>
              <w:t>5,7</w:t>
            </w:r>
          </w:p>
        </w:tc>
        <w:tc>
          <w:tcPr>
            <w:tcW w:w="708" w:type="dxa"/>
            <w:shd w:val="clear" w:color="auto" w:fill="FFFFFF"/>
            <w:vAlign w:val="center"/>
          </w:tcPr>
          <w:p w:rsidR="00E10F50" w:rsidRDefault="00762802">
            <w:pPr>
              <w:jc w:val="right"/>
              <w:rPr>
                <w:sz w:val="24"/>
                <w:lang w:val="en-US"/>
              </w:rPr>
            </w:pPr>
            <w:r>
              <w:rPr>
                <w:sz w:val="24"/>
                <w:lang w:val="en-US"/>
              </w:rPr>
              <w:t>12,9</w:t>
            </w:r>
          </w:p>
        </w:tc>
        <w:tc>
          <w:tcPr>
            <w:tcW w:w="709" w:type="dxa"/>
            <w:shd w:val="clear" w:color="auto" w:fill="FFFFFF"/>
            <w:vAlign w:val="center"/>
          </w:tcPr>
          <w:p w:rsidR="00E10F50" w:rsidRDefault="00762802">
            <w:pPr>
              <w:jc w:val="right"/>
              <w:rPr>
                <w:sz w:val="24"/>
                <w:lang w:val="en-US"/>
              </w:rPr>
            </w:pPr>
            <w:r>
              <w:rPr>
                <w:sz w:val="24"/>
                <w:lang w:val="en-US"/>
              </w:rPr>
              <w:t>24,3</w:t>
            </w:r>
          </w:p>
        </w:tc>
        <w:tc>
          <w:tcPr>
            <w:tcW w:w="1134" w:type="dxa"/>
            <w:shd w:val="clear" w:color="auto" w:fill="FFFFFF"/>
            <w:vAlign w:val="center"/>
          </w:tcPr>
          <w:p w:rsidR="00E10F50" w:rsidRDefault="00762802">
            <w:pPr>
              <w:jc w:val="right"/>
              <w:rPr>
                <w:sz w:val="24"/>
                <w:lang w:val="en-US"/>
              </w:rPr>
            </w:pPr>
            <w:r>
              <w:rPr>
                <w:sz w:val="24"/>
                <w:lang w:val="en-US"/>
              </w:rPr>
              <w:t>42,5</w:t>
            </w:r>
          </w:p>
        </w:tc>
        <w:tc>
          <w:tcPr>
            <w:tcW w:w="1134" w:type="dxa"/>
            <w:shd w:val="clear" w:color="auto" w:fill="FFFFFF"/>
            <w:vAlign w:val="center"/>
          </w:tcPr>
          <w:p w:rsidR="00E10F50" w:rsidRDefault="00762802">
            <w:pPr>
              <w:jc w:val="right"/>
              <w:rPr>
                <w:sz w:val="24"/>
                <w:lang w:val="en-US"/>
              </w:rPr>
            </w:pPr>
            <w:r>
              <w:rPr>
                <w:sz w:val="24"/>
                <w:lang w:val="en-US"/>
              </w:rPr>
              <w:t>38,4</w:t>
            </w:r>
          </w:p>
        </w:tc>
        <w:tc>
          <w:tcPr>
            <w:tcW w:w="1134" w:type="dxa"/>
            <w:shd w:val="clear" w:color="auto" w:fill="FFFFFF"/>
            <w:vAlign w:val="center"/>
          </w:tcPr>
          <w:p w:rsidR="00E10F50" w:rsidRDefault="00762802">
            <w:pPr>
              <w:jc w:val="right"/>
              <w:rPr>
                <w:sz w:val="24"/>
                <w:lang w:val="en-US"/>
              </w:rPr>
            </w:pPr>
            <w:r>
              <w:rPr>
                <w:sz w:val="24"/>
                <w:lang w:val="en-US"/>
              </w:rPr>
              <w:t>39,2</w:t>
            </w:r>
          </w:p>
        </w:tc>
        <w:tc>
          <w:tcPr>
            <w:tcW w:w="1134" w:type="dxa"/>
            <w:shd w:val="clear" w:color="auto" w:fill="FFFFFF"/>
            <w:vAlign w:val="center"/>
          </w:tcPr>
          <w:p w:rsidR="00E10F50" w:rsidRDefault="00762802">
            <w:pPr>
              <w:jc w:val="right"/>
              <w:rPr>
                <w:sz w:val="24"/>
                <w:lang w:val="en-US"/>
              </w:rPr>
            </w:pPr>
            <w:r>
              <w:rPr>
                <w:sz w:val="24"/>
                <w:lang w:val="en-US"/>
              </w:rPr>
              <w:t>39,5</w:t>
            </w:r>
          </w:p>
        </w:tc>
        <w:tc>
          <w:tcPr>
            <w:tcW w:w="1134" w:type="dxa"/>
            <w:shd w:val="clear" w:color="auto" w:fill="FFFFFF"/>
            <w:vAlign w:val="center"/>
          </w:tcPr>
          <w:p w:rsidR="00E10F50" w:rsidRDefault="00762802">
            <w:pPr>
              <w:jc w:val="right"/>
              <w:rPr>
                <w:sz w:val="24"/>
                <w:lang w:val="en-US"/>
              </w:rPr>
            </w:pPr>
            <w:r>
              <w:rPr>
                <w:sz w:val="24"/>
                <w:lang w:val="en-US"/>
              </w:rPr>
              <w:t>40,2</w:t>
            </w:r>
          </w:p>
        </w:tc>
      </w:tr>
      <w:tr w:rsidR="00E10F50">
        <w:tc>
          <w:tcPr>
            <w:tcW w:w="2552" w:type="dxa"/>
            <w:shd w:val="clear" w:color="auto" w:fill="FFFFFF"/>
            <w:vAlign w:val="center"/>
          </w:tcPr>
          <w:p w:rsidR="00E10F50" w:rsidRDefault="00762802">
            <w:pPr>
              <w:jc w:val="right"/>
              <w:rPr>
                <w:sz w:val="24"/>
              </w:rPr>
            </w:pPr>
            <w:r>
              <w:rPr>
                <w:sz w:val="24"/>
              </w:rPr>
              <w:t>в % к предыдущему периоду</w:t>
            </w:r>
          </w:p>
        </w:tc>
        <w:tc>
          <w:tcPr>
            <w:tcW w:w="709" w:type="dxa"/>
            <w:shd w:val="clear" w:color="auto" w:fill="FFFFFF"/>
            <w:vAlign w:val="center"/>
          </w:tcPr>
          <w:p w:rsidR="00E10F50" w:rsidRDefault="00762802">
            <w:pPr>
              <w:jc w:val="right"/>
              <w:rPr>
                <w:sz w:val="24"/>
                <w:lang w:val="en-US"/>
              </w:rPr>
            </w:pPr>
            <w:r>
              <w:rPr>
                <w:sz w:val="24"/>
                <w:lang w:val="en-US"/>
              </w:rPr>
              <w:t>390</w:t>
            </w:r>
          </w:p>
        </w:tc>
        <w:tc>
          <w:tcPr>
            <w:tcW w:w="708" w:type="dxa"/>
            <w:shd w:val="clear" w:color="auto" w:fill="FFFFFF"/>
            <w:vAlign w:val="center"/>
          </w:tcPr>
          <w:p w:rsidR="00E10F50" w:rsidRDefault="00762802">
            <w:pPr>
              <w:jc w:val="right"/>
              <w:rPr>
                <w:sz w:val="24"/>
                <w:lang w:val="en-US"/>
              </w:rPr>
            </w:pPr>
            <w:r>
              <w:rPr>
                <w:sz w:val="24"/>
                <w:lang w:val="en-US"/>
              </w:rPr>
              <w:t>260</w:t>
            </w:r>
          </w:p>
        </w:tc>
        <w:tc>
          <w:tcPr>
            <w:tcW w:w="709" w:type="dxa"/>
            <w:shd w:val="clear" w:color="auto" w:fill="FFFFFF"/>
            <w:vAlign w:val="center"/>
          </w:tcPr>
          <w:p w:rsidR="00E10F50" w:rsidRDefault="00762802">
            <w:pPr>
              <w:jc w:val="right"/>
              <w:rPr>
                <w:sz w:val="24"/>
                <w:lang w:val="en-US"/>
              </w:rPr>
            </w:pPr>
            <w:r>
              <w:rPr>
                <w:sz w:val="24"/>
                <w:lang w:val="en-US"/>
              </w:rPr>
              <w:t>230</w:t>
            </w:r>
          </w:p>
        </w:tc>
        <w:tc>
          <w:tcPr>
            <w:tcW w:w="1134" w:type="dxa"/>
            <w:shd w:val="clear" w:color="auto" w:fill="FFFFFF"/>
            <w:vAlign w:val="center"/>
          </w:tcPr>
          <w:p w:rsidR="00E10F50" w:rsidRDefault="00762802">
            <w:pPr>
              <w:jc w:val="right"/>
              <w:rPr>
                <w:sz w:val="24"/>
                <w:lang w:val="en-US"/>
              </w:rPr>
            </w:pPr>
            <w:r>
              <w:rPr>
                <w:sz w:val="24"/>
                <w:lang w:val="en-US"/>
              </w:rPr>
              <w:t>100,3</w:t>
            </w:r>
          </w:p>
        </w:tc>
        <w:tc>
          <w:tcPr>
            <w:tcW w:w="1134" w:type="dxa"/>
            <w:shd w:val="clear" w:color="auto" w:fill="FFFFFF"/>
            <w:vAlign w:val="center"/>
          </w:tcPr>
          <w:p w:rsidR="00E10F50" w:rsidRDefault="00762802">
            <w:pPr>
              <w:jc w:val="right"/>
              <w:rPr>
                <w:sz w:val="24"/>
                <w:lang w:val="en-US"/>
              </w:rPr>
            </w:pPr>
            <w:r>
              <w:rPr>
                <w:sz w:val="24"/>
                <w:lang w:val="en-US"/>
              </w:rPr>
              <w:t>99,7</w:t>
            </w:r>
          </w:p>
        </w:tc>
        <w:tc>
          <w:tcPr>
            <w:tcW w:w="1134" w:type="dxa"/>
            <w:shd w:val="clear" w:color="auto" w:fill="FFFFFF"/>
            <w:vAlign w:val="center"/>
          </w:tcPr>
          <w:p w:rsidR="00E10F50" w:rsidRDefault="00762802">
            <w:pPr>
              <w:jc w:val="right"/>
              <w:rPr>
                <w:sz w:val="24"/>
                <w:lang w:val="en-US"/>
              </w:rPr>
            </w:pPr>
            <w:r>
              <w:rPr>
                <w:sz w:val="24"/>
                <w:lang w:val="en-US"/>
              </w:rPr>
              <w:t>99,9</w:t>
            </w:r>
          </w:p>
        </w:tc>
        <w:tc>
          <w:tcPr>
            <w:tcW w:w="1134" w:type="dxa"/>
            <w:shd w:val="clear" w:color="auto" w:fill="FFFFFF"/>
            <w:vAlign w:val="center"/>
          </w:tcPr>
          <w:p w:rsidR="00E10F50" w:rsidRDefault="00762802">
            <w:pPr>
              <w:jc w:val="right"/>
              <w:rPr>
                <w:sz w:val="24"/>
                <w:lang w:val="en-US"/>
              </w:rPr>
            </w:pPr>
            <w:r>
              <w:rPr>
                <w:sz w:val="24"/>
                <w:lang w:val="en-US"/>
              </w:rPr>
              <w:t>100,7</w:t>
            </w:r>
          </w:p>
        </w:tc>
        <w:tc>
          <w:tcPr>
            <w:tcW w:w="1134" w:type="dxa"/>
            <w:shd w:val="clear" w:color="auto" w:fill="FFFFFF"/>
            <w:vAlign w:val="center"/>
          </w:tcPr>
          <w:p w:rsidR="00E10F50" w:rsidRDefault="00762802">
            <w:pPr>
              <w:jc w:val="right"/>
              <w:rPr>
                <w:sz w:val="24"/>
                <w:lang w:val="en-US"/>
              </w:rPr>
            </w:pPr>
            <w:r>
              <w:rPr>
                <w:sz w:val="24"/>
                <w:lang w:val="en-US"/>
              </w:rPr>
              <w:t>99,3</w:t>
            </w:r>
          </w:p>
        </w:tc>
      </w:tr>
    </w:tbl>
    <w:p w:rsidR="00E10F50" w:rsidRDefault="00E10F50">
      <w:pPr>
        <w:ind w:firstLine="709"/>
        <w:jc w:val="both"/>
        <w:rPr>
          <w:sz w:val="28"/>
        </w:rPr>
      </w:pPr>
    </w:p>
    <w:p w:rsidR="00E10F50" w:rsidRDefault="00762802">
      <w:pPr>
        <w:ind w:right="-7" w:firstLine="709"/>
        <w:jc w:val="both"/>
        <w:rPr>
          <w:sz w:val="28"/>
        </w:rPr>
      </w:pPr>
      <w:r>
        <w:rPr>
          <w:sz w:val="28"/>
        </w:rPr>
        <w:t xml:space="preserve">Как видно из таблицы 1, с 1993 года цены росли очень быстрыми темпами, тем не менее, имея тенденцию к замедлению. Так, если в 1993г. по сравнению с 1992 г. индекс цен по промышленности в целом составлял  1000% (наибольший – 1360% был в электроэнергетике), то уже в 1995 г. он был 280%, а по данным за </w:t>
      </w:r>
      <w:r>
        <w:rPr>
          <w:sz w:val="28"/>
          <w:lang w:val="en-US"/>
        </w:rPr>
        <w:t xml:space="preserve">I </w:t>
      </w:r>
      <w:r>
        <w:rPr>
          <w:sz w:val="28"/>
        </w:rPr>
        <w:t xml:space="preserve">квартал 1998 г. – 100,9%. Примерно такими же темпами развивалась и топливная промышленность, однако, начиная с 1994 г. рост общего индекса цен в основном был обусловлен не ростом его в энергетике, а повышением тарифов в угольной промышленности. На сегодняшний день удельные веса отраслей в общем снижении цен примерно одинаковы. В 1997 г. в целом,  по сравнению с предыдущими годами рост цен был наименьший, а особенно это снижение цен было видно во </w:t>
      </w:r>
      <w:r>
        <w:rPr>
          <w:sz w:val="28"/>
          <w:lang w:val="en-US"/>
        </w:rPr>
        <w:t>II</w:t>
      </w:r>
      <w:r>
        <w:rPr>
          <w:sz w:val="28"/>
        </w:rPr>
        <w:t xml:space="preserve"> квартале 1997 г. в нефтеперерабатывающей  и нефтедобывающей отраслях, что обусловлено снижением мировых цен на нефть. По последним данным, цены во всех отраслях, кроме газовой, где произошло снижение на 0,2% в течение </w:t>
      </w:r>
      <w:r>
        <w:rPr>
          <w:sz w:val="28"/>
          <w:lang w:val="en-US"/>
        </w:rPr>
        <w:t xml:space="preserve">I </w:t>
      </w:r>
      <w:r>
        <w:rPr>
          <w:sz w:val="28"/>
        </w:rPr>
        <w:t>квартала 1998 г., повысились.</w:t>
      </w:r>
    </w:p>
    <w:p w:rsidR="00E10F50" w:rsidRDefault="00762802">
      <w:pPr>
        <w:ind w:right="-7" w:firstLine="709"/>
        <w:jc w:val="both"/>
        <w:rPr>
          <w:sz w:val="28"/>
        </w:rPr>
      </w:pPr>
      <w:r>
        <w:rPr>
          <w:sz w:val="28"/>
        </w:rPr>
        <w:t xml:space="preserve">Примерно такая же ситуация видна и в изменении средних цен предприятий-производителей. В таблице 2 цены приводятся по выборочному кругу конкретных предприятий, как в процентах, так и в тысячах рублей, в то время как в таблице 1 цены приводились в целом по отраслям, показывая только процентное изменение. Как мы можем видеть из таблицы, цены неуклонно повышались, причем на нефть также резко упали во </w:t>
      </w:r>
      <w:r>
        <w:rPr>
          <w:sz w:val="28"/>
          <w:lang w:val="en-US"/>
        </w:rPr>
        <w:t>II</w:t>
      </w:r>
      <w:r>
        <w:rPr>
          <w:sz w:val="28"/>
        </w:rPr>
        <w:t xml:space="preserve"> квартале 1997 г. по сравнению с первым. В изменении цен на уголь и на газ за период 1997 – 1998 гг. заметных скачков не наблюдалось.</w:t>
      </w:r>
    </w:p>
    <w:p w:rsidR="00E10F50" w:rsidRDefault="00762802">
      <w:pPr>
        <w:ind w:right="-7" w:firstLine="709"/>
        <w:jc w:val="both"/>
        <w:rPr>
          <w:sz w:val="28"/>
        </w:rPr>
      </w:pPr>
      <w:r>
        <w:rPr>
          <w:sz w:val="28"/>
        </w:rPr>
        <w:t>В целом можно сказать, что изменение цен в ТЭКе практически не отличается от их динамики в других отраслях, таких как легкая, пищевая, машиностроение, химическая и др., то есть, с отпуском цен они сильно подскочили, а к нынешнему времени заметно их снижение.</w:t>
      </w:r>
    </w:p>
    <w:p w:rsidR="00E10F50" w:rsidRDefault="00762802">
      <w:pPr>
        <w:pStyle w:val="10"/>
        <w:spacing w:line="240" w:lineRule="auto"/>
        <w:ind w:left="0" w:right="-7" w:firstLine="0"/>
        <w:jc w:val="center"/>
        <w:rPr>
          <w:b/>
          <w:sz w:val="32"/>
        </w:rPr>
      </w:pPr>
      <w:r>
        <w:br w:type="page"/>
      </w:r>
      <w:r>
        <w:rPr>
          <w:b/>
          <w:caps/>
          <w:sz w:val="32"/>
        </w:rPr>
        <w:t>Дифференциация цен в ТЭК</w:t>
      </w:r>
      <w:r>
        <w:rPr>
          <w:b/>
          <w:sz w:val="32"/>
        </w:rPr>
        <w:t>е</w:t>
      </w:r>
    </w:p>
    <w:p w:rsidR="00E10F50" w:rsidRDefault="00E10F50">
      <w:pPr>
        <w:pStyle w:val="10"/>
        <w:spacing w:line="240" w:lineRule="auto"/>
        <w:ind w:left="0" w:right="-7" w:firstLine="709"/>
        <w:jc w:val="both"/>
        <w:rPr>
          <w:sz w:val="28"/>
          <w:lang w:val="en-US"/>
        </w:rPr>
      </w:pPr>
    </w:p>
    <w:p w:rsidR="00E10F50" w:rsidRDefault="00762802">
      <w:pPr>
        <w:pStyle w:val="10"/>
        <w:spacing w:line="240" w:lineRule="auto"/>
        <w:ind w:left="0" w:right="-7" w:firstLine="709"/>
        <w:jc w:val="both"/>
        <w:rPr>
          <w:sz w:val="28"/>
          <w:lang w:val="en-US"/>
        </w:rPr>
      </w:pPr>
      <w:r>
        <w:rPr>
          <w:sz w:val="28"/>
        </w:rPr>
        <w:t>Важное значение имеет дифференциация цен по отдельным месторождениям в зависимости от их горно-геологических и экономико-географических условий потому что топливно-энергетические ресурсы по территории и регионам распределены крайне неравномерно. Для сглаживания уровней тарифов на электроэнергию между регионами необходимо развитие единого оптового рынка электрической энергии (мощности). В    качестве факторов, характеризующих горно-геологические и экономико-географические условия месторождений, приняты:</w:t>
      </w:r>
    </w:p>
    <w:p w:rsidR="00E10F50" w:rsidRDefault="00762802">
      <w:pPr>
        <w:pStyle w:val="10"/>
        <w:numPr>
          <w:ilvl w:val="0"/>
          <w:numId w:val="32"/>
        </w:numPr>
        <w:tabs>
          <w:tab w:val="clear" w:pos="360"/>
          <w:tab w:val="num" w:pos="1069"/>
        </w:tabs>
        <w:spacing w:line="240" w:lineRule="auto"/>
        <w:ind w:left="1069" w:right="-7"/>
        <w:jc w:val="both"/>
        <w:rPr>
          <w:sz w:val="28"/>
        </w:rPr>
      </w:pPr>
      <w:r>
        <w:rPr>
          <w:sz w:val="28"/>
        </w:rPr>
        <w:t>коэффициент извлечения ресурсов</w:t>
      </w:r>
      <w:r>
        <w:rPr>
          <w:sz w:val="28"/>
          <w:lang w:val="en-US"/>
        </w:rPr>
        <w:t>;</w:t>
      </w:r>
    </w:p>
    <w:p w:rsidR="00E10F50" w:rsidRDefault="00762802">
      <w:pPr>
        <w:pStyle w:val="10"/>
        <w:numPr>
          <w:ilvl w:val="0"/>
          <w:numId w:val="33"/>
        </w:numPr>
        <w:tabs>
          <w:tab w:val="clear" w:pos="360"/>
          <w:tab w:val="num" w:pos="1069"/>
        </w:tabs>
        <w:spacing w:before="140" w:line="240" w:lineRule="auto"/>
        <w:ind w:left="1069" w:right="-7"/>
        <w:jc w:val="both"/>
        <w:rPr>
          <w:sz w:val="28"/>
        </w:rPr>
      </w:pPr>
      <w:r>
        <w:rPr>
          <w:sz w:val="28"/>
        </w:rPr>
        <w:t>накопленный отбор от начальных извлекаемых запасов</w:t>
      </w:r>
      <w:r>
        <w:rPr>
          <w:sz w:val="28"/>
          <w:lang w:val="en-US"/>
        </w:rPr>
        <w:t>;</w:t>
      </w:r>
    </w:p>
    <w:p w:rsidR="00E10F50" w:rsidRDefault="00762802">
      <w:pPr>
        <w:pStyle w:val="10"/>
        <w:numPr>
          <w:ilvl w:val="0"/>
          <w:numId w:val="34"/>
        </w:numPr>
        <w:tabs>
          <w:tab w:val="clear" w:pos="360"/>
          <w:tab w:val="num" w:pos="1069"/>
        </w:tabs>
        <w:spacing w:before="140" w:line="240" w:lineRule="auto"/>
        <w:ind w:left="1069" w:right="-7"/>
        <w:jc w:val="both"/>
        <w:rPr>
          <w:sz w:val="28"/>
        </w:rPr>
      </w:pPr>
      <w:r>
        <w:rPr>
          <w:sz w:val="28"/>
        </w:rPr>
        <w:t>обводненность добываемой продукции</w:t>
      </w:r>
      <w:r>
        <w:rPr>
          <w:sz w:val="28"/>
          <w:lang w:val="en-US"/>
        </w:rPr>
        <w:t>;</w:t>
      </w:r>
    </w:p>
    <w:p w:rsidR="00E10F50" w:rsidRDefault="00762802">
      <w:pPr>
        <w:pStyle w:val="10"/>
        <w:numPr>
          <w:ilvl w:val="0"/>
          <w:numId w:val="35"/>
        </w:numPr>
        <w:tabs>
          <w:tab w:val="clear" w:pos="360"/>
          <w:tab w:val="num" w:pos="1069"/>
        </w:tabs>
        <w:spacing w:before="140" w:line="240" w:lineRule="auto"/>
        <w:ind w:left="1069" w:right="-7"/>
        <w:jc w:val="both"/>
        <w:rPr>
          <w:sz w:val="28"/>
        </w:rPr>
      </w:pPr>
      <w:r>
        <w:rPr>
          <w:sz w:val="28"/>
        </w:rPr>
        <w:t>районный коэффициент к заработной плате</w:t>
      </w:r>
      <w:r>
        <w:rPr>
          <w:sz w:val="28"/>
          <w:lang w:val="en-US"/>
        </w:rPr>
        <w:t>;</w:t>
      </w:r>
    </w:p>
    <w:p w:rsidR="00E10F50" w:rsidRDefault="00762802">
      <w:pPr>
        <w:pStyle w:val="10"/>
        <w:numPr>
          <w:ilvl w:val="0"/>
          <w:numId w:val="36"/>
        </w:numPr>
        <w:tabs>
          <w:tab w:val="clear" w:pos="360"/>
          <w:tab w:val="num" w:pos="1069"/>
        </w:tabs>
        <w:spacing w:before="140" w:line="240" w:lineRule="auto"/>
        <w:ind w:left="1069" w:right="-7"/>
        <w:jc w:val="both"/>
        <w:rPr>
          <w:sz w:val="28"/>
        </w:rPr>
      </w:pPr>
      <w:r>
        <w:rPr>
          <w:sz w:val="28"/>
        </w:rPr>
        <w:t>расчетная ставка транспортного тарифа</w:t>
      </w:r>
      <w:r>
        <w:rPr>
          <w:sz w:val="28"/>
          <w:lang w:val="en-US"/>
        </w:rPr>
        <w:t>.</w:t>
      </w:r>
    </w:p>
    <w:p w:rsidR="00E10F50" w:rsidRDefault="00E10F50">
      <w:pPr>
        <w:pStyle w:val="10"/>
        <w:spacing w:before="140" w:line="240" w:lineRule="auto"/>
        <w:ind w:left="709" w:right="-7" w:firstLine="0"/>
        <w:jc w:val="both"/>
        <w:rPr>
          <w:sz w:val="28"/>
        </w:rPr>
      </w:pPr>
    </w:p>
    <w:p w:rsidR="00E10F50" w:rsidRDefault="00762802">
      <w:pPr>
        <w:pStyle w:val="10"/>
        <w:spacing w:line="240" w:lineRule="auto"/>
        <w:ind w:left="0" w:right="-7" w:firstLine="709"/>
        <w:jc w:val="both"/>
        <w:rPr>
          <w:sz w:val="28"/>
        </w:rPr>
      </w:pPr>
      <w:r>
        <w:rPr>
          <w:sz w:val="28"/>
        </w:rPr>
        <w:t>Наиболее полно территориальной дифференциации рыночной стоимости отвечает система цен базисных пунктов. История возникновения цен базисных пунктов восходит к 80-м годам прошлого века сталелитейной промышленности в США. В основе этого лежит следующая характеристика: «в своей простейшей форме система цен базисных пунктов рассматривает все однородные продукты, как товары, изготовленные в одной точке, базисном пункте. Единственная заводская цена устанавливается только для этого пункта и действует для всех изготовителей независимо от фактических издержек производства». Цена, взимаемая с покупателя, рассчитывается путем прибавления к «базисной» цене транспортных расходов, как если бы любой грузоотправитель был расположен в базисном пункте. При наличии нескольких региональных зон сбыта количество базисных пунктов соответствует их числу.</w:t>
      </w:r>
    </w:p>
    <w:p w:rsidR="00E10F50" w:rsidRDefault="00762802">
      <w:pPr>
        <w:pStyle w:val="10"/>
        <w:spacing w:line="240" w:lineRule="auto"/>
        <w:ind w:left="0" w:right="-7" w:firstLine="709"/>
        <w:jc w:val="both"/>
        <w:rPr>
          <w:sz w:val="28"/>
        </w:rPr>
      </w:pPr>
      <w:r>
        <w:rPr>
          <w:sz w:val="28"/>
        </w:rPr>
        <w:t>Разработка механизма сознательно устанавливаемых цен базисных пунктов требует предварительного анализа теоретических основ формирования территориальной дифференциации общественной стоимости. Анализ показал, что для топливной промышленности характерными являются рынки сбыта,</w:t>
      </w:r>
      <w:r>
        <w:rPr>
          <w:sz w:val="28"/>
          <w:lang w:val="en-US"/>
        </w:rPr>
        <w:t xml:space="preserve"> </w:t>
      </w:r>
      <w:r>
        <w:rPr>
          <w:sz w:val="28"/>
        </w:rPr>
        <w:t>формирующиеся вокруг сконцентрированных мест добычи ресурсов. В этом отличие топливной отрасли, например, от сельского хозяйства, где продукция производится на больших площадях, а ее потребление концентрируется в крупных городах. На рынках сбыта, формирующихся вокруг мест производства, территориальная дифференциация рыночной стоимости имеет форму «воронки», где наиболее низкий уровень рыночной стоимости находится в ее центре. Затраты на доставку ресурсов из цента «воронки», т.е. места добычи, связанные с перемещением ресурсов до потребителя, увеличивают рыночную стоимость. Ее наиболее высокая величина образуется на краях «воронки».</w:t>
      </w:r>
    </w:p>
    <w:p w:rsidR="00E10F50" w:rsidRDefault="00762802">
      <w:pPr>
        <w:pStyle w:val="10"/>
        <w:spacing w:line="240" w:lineRule="auto"/>
        <w:ind w:left="0" w:right="-7" w:firstLine="709"/>
        <w:jc w:val="both"/>
        <w:rPr>
          <w:sz w:val="28"/>
        </w:rPr>
      </w:pPr>
      <w:r>
        <w:rPr>
          <w:sz w:val="28"/>
        </w:rPr>
        <w:t>Рынки сбыта могут быть смежные и изолированные. Смежными становятся рынки, когда продукция может быть реализована в общих (или смежных) районах потребления. Например, для угольной отрасли характерна система смежных рынков сбыта. Изолированные рынки сбыта имеют якутские, магаданские угли. Поэтому для угольной отрасли теоретически важны два аспекта территориальной дифференциации рыночной стоимости. Во-первых, внутри</w:t>
      </w:r>
      <w:r>
        <w:rPr>
          <w:sz w:val="28"/>
          <w:lang w:val="en-US"/>
        </w:rPr>
        <w:t xml:space="preserve"> </w:t>
      </w:r>
      <w:r>
        <w:rPr>
          <w:sz w:val="28"/>
        </w:rPr>
        <w:t xml:space="preserve">зональная дифференциация рыночной стоимости. Здесь возможны два случая: </w:t>
      </w:r>
    </w:p>
    <w:p w:rsidR="00E10F50" w:rsidRDefault="00762802">
      <w:pPr>
        <w:pStyle w:val="10"/>
        <w:numPr>
          <w:ilvl w:val="0"/>
          <w:numId w:val="37"/>
        </w:numPr>
        <w:tabs>
          <w:tab w:val="clear" w:pos="360"/>
          <w:tab w:val="num" w:pos="1069"/>
        </w:tabs>
        <w:spacing w:line="240" w:lineRule="auto"/>
        <w:ind w:left="1069" w:right="-7"/>
        <w:jc w:val="both"/>
        <w:rPr>
          <w:sz w:val="28"/>
        </w:rPr>
      </w:pPr>
      <w:r>
        <w:rPr>
          <w:sz w:val="28"/>
        </w:rPr>
        <w:t>наиболее простой, когда рынок сбыта снабжается из одного места добычи угля (например, донского угля);</w:t>
      </w:r>
    </w:p>
    <w:p w:rsidR="00E10F50" w:rsidRDefault="00762802">
      <w:pPr>
        <w:pStyle w:val="10"/>
        <w:numPr>
          <w:ilvl w:val="0"/>
          <w:numId w:val="37"/>
        </w:numPr>
        <w:tabs>
          <w:tab w:val="clear" w:pos="360"/>
          <w:tab w:val="num" w:pos="1069"/>
        </w:tabs>
        <w:spacing w:line="240" w:lineRule="auto"/>
        <w:ind w:left="1069" w:right="-7"/>
        <w:jc w:val="both"/>
        <w:rPr>
          <w:sz w:val="28"/>
        </w:rPr>
      </w:pPr>
      <w:r>
        <w:rPr>
          <w:sz w:val="28"/>
        </w:rPr>
        <w:t>когда внутри рынка сбыта одного угля (например, кузнецкого) находятся места добычи местных углей. Рыночная стоимости в местах добычи и реализации продукции местных углей формируется затратами (на добычу и транспорт) основного производителя, т.е. того, который формирует рынок сбыта.</w:t>
      </w:r>
    </w:p>
    <w:p w:rsidR="00E10F50" w:rsidRDefault="00E10F50">
      <w:pPr>
        <w:pStyle w:val="10"/>
        <w:spacing w:line="240" w:lineRule="auto"/>
        <w:ind w:left="709" w:right="-7" w:firstLine="0"/>
        <w:jc w:val="both"/>
        <w:rPr>
          <w:sz w:val="28"/>
        </w:rPr>
      </w:pPr>
    </w:p>
    <w:p w:rsidR="00E10F50" w:rsidRDefault="00762802">
      <w:pPr>
        <w:pStyle w:val="10"/>
        <w:spacing w:line="240" w:lineRule="auto"/>
        <w:ind w:left="0" w:right="-7" w:firstLine="709"/>
        <w:jc w:val="both"/>
        <w:rPr>
          <w:sz w:val="28"/>
          <w:lang w:val="en-US"/>
        </w:rPr>
      </w:pPr>
      <w:r>
        <w:rPr>
          <w:sz w:val="28"/>
        </w:rPr>
        <w:t xml:space="preserve">Во-вторых, территориальной дифференциации рыночной стоимости, характерный для угольной отрасли, состоит в согласовании цен смежных рынков сбыта: </w:t>
      </w:r>
    </w:p>
    <w:p w:rsidR="00E10F50" w:rsidRDefault="00762802">
      <w:pPr>
        <w:pStyle w:val="10"/>
        <w:numPr>
          <w:ilvl w:val="0"/>
          <w:numId w:val="38"/>
        </w:numPr>
        <w:tabs>
          <w:tab w:val="clear" w:pos="360"/>
          <w:tab w:val="num" w:pos="1069"/>
        </w:tabs>
        <w:spacing w:line="240" w:lineRule="auto"/>
        <w:ind w:left="1069" w:right="-7"/>
        <w:jc w:val="both"/>
        <w:rPr>
          <w:sz w:val="28"/>
        </w:rPr>
      </w:pPr>
      <w:r>
        <w:rPr>
          <w:sz w:val="28"/>
        </w:rPr>
        <w:t xml:space="preserve">за счет изменения объемов добычи по смежным рынкам сбыта; </w:t>
      </w:r>
    </w:p>
    <w:p w:rsidR="00E10F50" w:rsidRDefault="00762802">
      <w:pPr>
        <w:pStyle w:val="10"/>
        <w:numPr>
          <w:ilvl w:val="0"/>
          <w:numId w:val="38"/>
        </w:numPr>
        <w:tabs>
          <w:tab w:val="clear" w:pos="360"/>
          <w:tab w:val="num" w:pos="1069"/>
        </w:tabs>
        <w:spacing w:line="240" w:lineRule="auto"/>
        <w:ind w:left="1069" w:right="-7"/>
        <w:jc w:val="both"/>
        <w:rPr>
          <w:sz w:val="28"/>
        </w:rPr>
      </w:pPr>
      <w:r>
        <w:rPr>
          <w:sz w:val="28"/>
        </w:rPr>
        <w:t>за счет формирования ренты при неизменных объемах добычи, а также случаи согласования рыночных стоимостей (точнее цен) в условиях дотационной отрасли.</w:t>
      </w:r>
    </w:p>
    <w:p w:rsidR="00E10F50" w:rsidRDefault="00E10F50">
      <w:pPr>
        <w:pStyle w:val="10"/>
        <w:spacing w:line="240" w:lineRule="auto"/>
        <w:ind w:left="709" w:right="-7" w:firstLine="0"/>
        <w:jc w:val="both"/>
        <w:rPr>
          <w:sz w:val="28"/>
        </w:rPr>
      </w:pPr>
    </w:p>
    <w:p w:rsidR="00E10F50" w:rsidRDefault="00762802">
      <w:pPr>
        <w:pStyle w:val="10"/>
        <w:spacing w:line="240" w:lineRule="auto"/>
        <w:ind w:left="0" w:right="-7" w:firstLine="709"/>
        <w:jc w:val="both"/>
        <w:rPr>
          <w:sz w:val="28"/>
          <w:lang w:val="en-US"/>
        </w:rPr>
      </w:pPr>
      <w:r>
        <w:rPr>
          <w:sz w:val="28"/>
        </w:rPr>
        <w:t xml:space="preserve">Сравнение территориальной дифференциации цен показывает, что цены базисных пунктов являются наиболее совершенным видом, соответствующим управляющему рыночному механизму. Можно выделить два преимущества такой системы цен: </w:t>
      </w:r>
    </w:p>
    <w:p w:rsidR="00E10F50" w:rsidRDefault="00762802">
      <w:pPr>
        <w:pStyle w:val="10"/>
        <w:numPr>
          <w:ilvl w:val="0"/>
          <w:numId w:val="39"/>
        </w:numPr>
        <w:tabs>
          <w:tab w:val="clear" w:pos="360"/>
          <w:tab w:val="num" w:pos="1069"/>
        </w:tabs>
        <w:spacing w:line="240" w:lineRule="auto"/>
        <w:ind w:left="1069" w:right="-7"/>
        <w:jc w:val="both"/>
        <w:rPr>
          <w:sz w:val="28"/>
        </w:rPr>
      </w:pPr>
      <w:r>
        <w:rPr>
          <w:sz w:val="28"/>
        </w:rPr>
        <w:t>постоянство цен на продукт одного качества в одном месте потребления для всех потребителей со всеми вытекающими из этого</w:t>
      </w:r>
      <w:r>
        <w:rPr>
          <w:sz w:val="28"/>
          <w:lang w:val="en-US"/>
        </w:rPr>
        <w:t xml:space="preserve"> </w:t>
      </w:r>
      <w:r>
        <w:rPr>
          <w:sz w:val="28"/>
        </w:rPr>
        <w:t xml:space="preserve">положительными моментами; </w:t>
      </w:r>
    </w:p>
    <w:p w:rsidR="00E10F50" w:rsidRDefault="00762802">
      <w:pPr>
        <w:pStyle w:val="10"/>
        <w:numPr>
          <w:ilvl w:val="0"/>
          <w:numId w:val="39"/>
        </w:numPr>
        <w:tabs>
          <w:tab w:val="clear" w:pos="360"/>
          <w:tab w:val="num" w:pos="1069"/>
        </w:tabs>
        <w:spacing w:line="240" w:lineRule="auto"/>
        <w:ind w:left="1069" w:right="-7"/>
        <w:jc w:val="both"/>
        <w:rPr>
          <w:sz w:val="28"/>
        </w:rPr>
      </w:pPr>
      <w:r>
        <w:rPr>
          <w:sz w:val="28"/>
        </w:rPr>
        <w:t>стимулирование ценами</w:t>
      </w:r>
      <w:r>
        <w:rPr>
          <w:sz w:val="28"/>
          <w:lang w:val="en-US"/>
        </w:rPr>
        <w:t xml:space="preserve"> </w:t>
      </w:r>
      <w:r>
        <w:rPr>
          <w:sz w:val="28"/>
        </w:rPr>
        <w:t>оптимизации</w:t>
      </w:r>
      <w:r>
        <w:rPr>
          <w:sz w:val="28"/>
          <w:lang w:val="en-US"/>
        </w:rPr>
        <w:t xml:space="preserve"> </w:t>
      </w:r>
      <w:r>
        <w:rPr>
          <w:sz w:val="28"/>
        </w:rPr>
        <w:t>грузопотоков, сокращение транспортных затрат</w:t>
      </w:r>
      <w:r>
        <w:rPr>
          <w:sz w:val="28"/>
          <w:lang w:val="en-US"/>
        </w:rPr>
        <w:t xml:space="preserve"> </w:t>
      </w:r>
      <w:r>
        <w:rPr>
          <w:sz w:val="28"/>
        </w:rPr>
        <w:t>путем</w:t>
      </w:r>
      <w:r>
        <w:rPr>
          <w:sz w:val="28"/>
          <w:lang w:val="en-US"/>
        </w:rPr>
        <w:t xml:space="preserve"> </w:t>
      </w:r>
      <w:r>
        <w:rPr>
          <w:sz w:val="28"/>
        </w:rPr>
        <w:t>естественного «отсечения» нерациональных перевозок.</w:t>
      </w:r>
    </w:p>
    <w:p w:rsidR="00E10F50" w:rsidRDefault="00E10F50">
      <w:pPr>
        <w:pStyle w:val="10"/>
        <w:spacing w:line="240" w:lineRule="auto"/>
        <w:ind w:left="709" w:right="-7" w:firstLine="0"/>
        <w:jc w:val="both"/>
        <w:rPr>
          <w:sz w:val="28"/>
        </w:rPr>
      </w:pPr>
    </w:p>
    <w:p w:rsidR="00E10F50" w:rsidRDefault="00762802">
      <w:pPr>
        <w:pStyle w:val="10"/>
        <w:spacing w:line="240" w:lineRule="auto"/>
        <w:ind w:left="0" w:right="-7" w:firstLine="709"/>
        <w:jc w:val="both"/>
        <w:rPr>
          <w:sz w:val="28"/>
          <w:lang w:val="en-US"/>
        </w:rPr>
      </w:pPr>
      <w:r>
        <w:rPr>
          <w:sz w:val="28"/>
        </w:rPr>
        <w:t>Проведенные в 1995 г. в бывшем НИИ цен исследования показали, что практически вся территория России «вписывается» в систему цен базисных пунктов. При этом выявлены конкретные рынки сбыта ресурсов применительно к западному региону и восточному, определены их конфигурации и уровни цен.</w:t>
      </w:r>
    </w:p>
    <w:p w:rsidR="00E10F50" w:rsidRDefault="00E10F50">
      <w:pPr>
        <w:pStyle w:val="10"/>
        <w:spacing w:line="240" w:lineRule="auto"/>
        <w:ind w:left="0" w:right="-7" w:firstLine="709"/>
        <w:jc w:val="both"/>
        <w:rPr>
          <w:sz w:val="28"/>
          <w:lang w:val="en-US"/>
        </w:rPr>
      </w:pPr>
    </w:p>
    <w:p w:rsidR="00E10F50" w:rsidRDefault="00762802">
      <w:pPr>
        <w:pStyle w:val="10"/>
        <w:spacing w:line="240" w:lineRule="auto"/>
        <w:ind w:left="0" w:right="-7" w:firstLine="709"/>
        <w:jc w:val="both"/>
        <w:rPr>
          <w:sz w:val="28"/>
        </w:rPr>
      </w:pPr>
      <w:r>
        <w:rPr>
          <w:sz w:val="28"/>
        </w:rPr>
        <w:t>Однако, многие страны отказались от системы цен базисных пунктов, так как сведение в единую взаимосвязанную систему цен по всей территории страны и регулирование общего уровня цены из одного или нескольких базисных пунктов противоречит антимонопольному законодательству и рассматривается как «сговор о ценах», ликвидирующий конкуренцию. Несмотря на это, такой вид цен продолжает действовать в развитых станах и на мировых рынках в виде «справочных» цен на многие сырьевые и энергетические товары (нефть и нефтепродукты, уголь, металлы).</w:t>
      </w:r>
    </w:p>
    <w:p w:rsidR="00E10F50" w:rsidRDefault="00E10F50">
      <w:pPr>
        <w:pStyle w:val="10"/>
        <w:spacing w:line="240" w:lineRule="auto"/>
        <w:ind w:right="-7"/>
        <w:jc w:val="both"/>
        <w:rPr>
          <w:sz w:val="28"/>
          <w:lang w:val="en-US"/>
        </w:rPr>
      </w:pPr>
    </w:p>
    <w:p w:rsidR="00E10F50" w:rsidRDefault="00762802">
      <w:pPr>
        <w:pStyle w:val="10"/>
        <w:spacing w:line="240" w:lineRule="auto"/>
        <w:ind w:left="0" w:right="-7" w:firstLine="0"/>
        <w:jc w:val="center"/>
        <w:rPr>
          <w:sz w:val="32"/>
        </w:rPr>
      </w:pPr>
      <w:r>
        <w:rPr>
          <w:b/>
          <w:sz w:val="28"/>
        </w:rPr>
        <w:br w:type="page"/>
      </w:r>
      <w:r>
        <w:rPr>
          <w:b/>
          <w:sz w:val="32"/>
        </w:rPr>
        <w:t>ФОРЭМ</w:t>
      </w:r>
    </w:p>
    <w:p w:rsidR="00E10F50" w:rsidRDefault="00E10F50">
      <w:pPr>
        <w:pStyle w:val="10"/>
        <w:spacing w:line="240" w:lineRule="auto"/>
        <w:ind w:left="0" w:right="-7" w:firstLine="709"/>
        <w:jc w:val="both"/>
        <w:rPr>
          <w:b/>
          <w:sz w:val="28"/>
          <w:lang w:val="en-US"/>
        </w:rPr>
      </w:pPr>
    </w:p>
    <w:p w:rsidR="00E10F50" w:rsidRDefault="00762802">
      <w:pPr>
        <w:pStyle w:val="10"/>
        <w:spacing w:line="240" w:lineRule="auto"/>
        <w:ind w:left="0" w:right="-7" w:firstLine="709"/>
        <w:jc w:val="both"/>
        <w:rPr>
          <w:sz w:val="28"/>
        </w:rPr>
      </w:pPr>
      <w:r>
        <w:rPr>
          <w:b/>
          <w:sz w:val="28"/>
        </w:rPr>
        <w:t xml:space="preserve">ФОРЭМ </w:t>
      </w:r>
      <w:r>
        <w:rPr>
          <w:b/>
          <w:sz w:val="28"/>
          <w:lang w:val="en-US"/>
        </w:rPr>
        <w:t>–</w:t>
      </w:r>
      <w:r>
        <w:rPr>
          <w:sz w:val="28"/>
        </w:rPr>
        <w:t xml:space="preserve"> </w:t>
      </w:r>
      <w:r>
        <w:rPr>
          <w:i/>
          <w:sz w:val="28"/>
        </w:rPr>
        <w:t>федеральный</w:t>
      </w:r>
      <w:r>
        <w:rPr>
          <w:sz w:val="28"/>
        </w:rPr>
        <w:t xml:space="preserve"> (общероссийский) </w:t>
      </w:r>
      <w:r>
        <w:rPr>
          <w:i/>
          <w:sz w:val="28"/>
        </w:rPr>
        <w:t>оптовый рынок электрической энергии (мощности)</w:t>
      </w:r>
      <w:r>
        <w:rPr>
          <w:rStyle w:val="a8"/>
          <w:sz w:val="28"/>
        </w:rPr>
        <w:footnoteReference w:id="3"/>
      </w:r>
      <w:r>
        <w:rPr>
          <w:sz w:val="28"/>
        </w:rPr>
        <w:t>, созданный Правительством РФ в 1996 г. Субъектами ФОРЭМа являются: РАО «ЕЭС России», Центральное диспетчерское управление «ЕЭС России», государственное предприятие – концерн «Росэнергоатом», электростанции и другие производители энергии, акционерные общества энергетики и электрификации и другие энергоснабжающие организации, отдельные крупные потребители электрической энергии. Основными целями функционирования ФОРЭМ являются:</w:t>
      </w:r>
    </w:p>
    <w:p w:rsidR="00E10F50" w:rsidRDefault="00762802">
      <w:pPr>
        <w:pStyle w:val="10"/>
        <w:numPr>
          <w:ilvl w:val="0"/>
          <w:numId w:val="40"/>
        </w:numPr>
        <w:tabs>
          <w:tab w:val="clear" w:pos="360"/>
          <w:tab w:val="num" w:pos="1069"/>
        </w:tabs>
        <w:spacing w:line="240" w:lineRule="auto"/>
        <w:ind w:left="1069" w:right="-7"/>
        <w:jc w:val="both"/>
        <w:rPr>
          <w:sz w:val="28"/>
        </w:rPr>
      </w:pPr>
      <w:r>
        <w:rPr>
          <w:sz w:val="28"/>
        </w:rPr>
        <w:t>обеспечение надежного и эффективного энергоснабжения потребителей во всех регионах Российской Федерации;</w:t>
      </w:r>
    </w:p>
    <w:p w:rsidR="00E10F50" w:rsidRDefault="00762802">
      <w:pPr>
        <w:pStyle w:val="10"/>
        <w:numPr>
          <w:ilvl w:val="0"/>
          <w:numId w:val="41"/>
        </w:numPr>
        <w:tabs>
          <w:tab w:val="clear" w:pos="360"/>
          <w:tab w:val="num" w:pos="1069"/>
        </w:tabs>
        <w:spacing w:line="240" w:lineRule="auto"/>
        <w:ind w:left="1069" w:right="-7"/>
        <w:jc w:val="both"/>
        <w:rPr>
          <w:sz w:val="28"/>
        </w:rPr>
      </w:pPr>
      <w:r>
        <w:rPr>
          <w:sz w:val="28"/>
        </w:rPr>
        <w:t>формирование оптимальных экономических отношений производителей, энергоснабжающих организаций и потребителей электрической энергии (мощности) на основе сочетания государственного регулирования и конкуренции, включая поддержание конкурентоспособности продукции энергоемких потребителей    электрической энергии, имеющих общенациональное значение;</w:t>
      </w:r>
    </w:p>
    <w:p w:rsidR="00E10F50" w:rsidRDefault="00762802">
      <w:pPr>
        <w:pStyle w:val="10"/>
        <w:numPr>
          <w:ilvl w:val="0"/>
          <w:numId w:val="42"/>
        </w:numPr>
        <w:tabs>
          <w:tab w:val="clear" w:pos="360"/>
          <w:tab w:val="num" w:pos="1069"/>
        </w:tabs>
        <w:spacing w:line="240" w:lineRule="auto"/>
        <w:ind w:left="1069" w:right="-7"/>
        <w:jc w:val="both"/>
        <w:rPr>
          <w:sz w:val="28"/>
        </w:rPr>
      </w:pPr>
      <w:r>
        <w:rPr>
          <w:sz w:val="28"/>
        </w:rPr>
        <w:t>выравнивание уровня тарифов на электрическую энергию, отпускаемую с ФОРЭМа;</w:t>
      </w:r>
    </w:p>
    <w:p w:rsidR="00E10F50" w:rsidRDefault="00762802">
      <w:pPr>
        <w:pStyle w:val="10"/>
        <w:numPr>
          <w:ilvl w:val="0"/>
          <w:numId w:val="43"/>
        </w:numPr>
        <w:tabs>
          <w:tab w:val="clear" w:pos="360"/>
          <w:tab w:val="num" w:pos="1069"/>
        </w:tabs>
        <w:spacing w:line="240" w:lineRule="auto"/>
        <w:ind w:left="1069" w:right="-7"/>
        <w:jc w:val="both"/>
        <w:rPr>
          <w:sz w:val="28"/>
        </w:rPr>
      </w:pPr>
      <w:r>
        <w:rPr>
          <w:sz w:val="28"/>
        </w:rPr>
        <w:t>обеспечение принципа установления тарифов для потребителей субъектов федерального (общероссийского) оптового рынка электрической энергии (мощности) в зависимости от энергоемкости выпускаемой ими продукции, влияния на совмещенный график электрической нагрузки и уровня работы по энергосбережению.</w:t>
      </w:r>
    </w:p>
    <w:p w:rsidR="00E10F50" w:rsidRDefault="00E10F50">
      <w:pPr>
        <w:pStyle w:val="10"/>
        <w:spacing w:line="240" w:lineRule="auto"/>
        <w:ind w:left="709" w:right="-7" w:firstLine="0"/>
        <w:jc w:val="both"/>
        <w:rPr>
          <w:sz w:val="28"/>
        </w:rPr>
      </w:pPr>
    </w:p>
    <w:p w:rsidR="00E10F50" w:rsidRDefault="00762802">
      <w:pPr>
        <w:pStyle w:val="10"/>
        <w:spacing w:line="240" w:lineRule="auto"/>
        <w:ind w:left="0" w:right="-7" w:firstLine="709"/>
        <w:jc w:val="both"/>
        <w:rPr>
          <w:sz w:val="28"/>
        </w:rPr>
      </w:pPr>
      <w:r>
        <w:rPr>
          <w:sz w:val="28"/>
        </w:rPr>
        <w:t>В постановлении указано, что электрическая энергия вырабатываемая электростанциями Российского акционерного общества «ЕЭС России», акционерных обществ энергетики и электрификации и других региональных энергоснабжающих организаций, атомными электростанциями и иными производителями электрической энергии (мощности) независимо от их</w:t>
      </w:r>
      <w:r>
        <w:rPr>
          <w:sz w:val="28"/>
          <w:lang w:val="en-US"/>
        </w:rPr>
        <w:t xml:space="preserve"> </w:t>
      </w:r>
      <w:r>
        <w:rPr>
          <w:sz w:val="28"/>
        </w:rPr>
        <w:t>организационно-правовых форм, должна поставляться на федеральный (общероссийский) оптовый рынок электрической энергии (мощности) на принципах конкуренции. Действиями ФОРЭМа руководит Федеральная энергетическая комиссия РФ, которая при установлении тарифов на электрическую энергию должна предусматривать полную компенсацию обоснованных затрат производителей электрической энергии и получение ими необходимой прибыли исходя из условий самофинансирования. При образовании ФОРЭМа в 1996 г. ФЭК предписывалось разработать систему двухставочных тарифов на электрическую энергию и тарифов, дифференцированных по времени (сезонных и внутрисуточных), уровням напряжения и объемам электропотребления.</w:t>
      </w:r>
    </w:p>
    <w:p w:rsidR="00E10F50" w:rsidRDefault="00762802">
      <w:pPr>
        <w:pStyle w:val="10"/>
        <w:spacing w:line="240" w:lineRule="auto"/>
        <w:ind w:left="0" w:right="-7" w:firstLine="709"/>
        <w:jc w:val="both"/>
        <w:rPr>
          <w:sz w:val="28"/>
        </w:rPr>
      </w:pPr>
      <w:r>
        <w:rPr>
          <w:sz w:val="28"/>
        </w:rPr>
        <w:t>Организатором функционирования и развития ФОРЭМа является Российское акционерное общество «ЕЭС России», которое выполняет расчеты плановых балансов электрической энергии и мощности, а также балансов стоимости электрической энергии, на основе которых формируются цены</w:t>
      </w:r>
      <w:r>
        <w:rPr>
          <w:sz w:val="28"/>
          <w:lang w:val="en-US"/>
        </w:rPr>
        <w:t xml:space="preserve"> </w:t>
      </w:r>
      <w:r>
        <w:rPr>
          <w:sz w:val="28"/>
        </w:rPr>
        <w:t>ФОРЭМа.</w:t>
      </w:r>
    </w:p>
    <w:p w:rsidR="00E10F50" w:rsidRDefault="00762802">
      <w:pPr>
        <w:pStyle w:val="21"/>
        <w:jc w:val="both"/>
      </w:pPr>
      <w:r>
        <w:tab/>
        <w:t>Для того чтобы повысить уровень сбора денежных средств были утверждены особенности применения тарифов на электрическую энергию, которые заключались в полной 100% оплата текущих платежей, из которых текущие платежи за 50% объема полученной электрической энергии (мощности) оплачивались денежными средствами. С момента организации ФОРЭМа и принятия решения о возможности участия в ФОРЭМ крупных энергоемких потребителей поступило значительное количество заявок отдельных потребителей. В частности, только в металлургической отрасли выразили желание выйти на оптовый рынок более 150 предприятий. Предоставление возможности выхода на ФОРЭМ можно считать явлением, создающим конкурентную среду для производителей потребителей электроэнергии. Тем не менее ситуация перехода многих потребителей с розничного рынка на оптовый говорит о наличии недостатков у первого.</w:t>
      </w:r>
    </w:p>
    <w:p w:rsidR="00E10F50" w:rsidRDefault="00762802">
      <w:pPr>
        <w:pStyle w:val="10"/>
        <w:spacing w:line="240" w:lineRule="auto"/>
        <w:ind w:left="0" w:right="-7" w:firstLine="709"/>
        <w:jc w:val="both"/>
        <w:rPr>
          <w:sz w:val="28"/>
          <w:lang w:val="en-US"/>
        </w:rPr>
      </w:pPr>
      <w:r>
        <w:rPr>
          <w:sz w:val="28"/>
        </w:rPr>
        <w:t xml:space="preserve">До последнего времени тарифы на розничном рынке формировались в соответствии с Положением о государственном регулировании тарифов на электрическую и тепловую энергию в РФ, утвержденным в 1992 г. Этим положением признается наличие нерегулируемых потребителей (тариф им устанавливается вне связи с реальной стоимостью выработки и доставки энергии) и льготных категорий потребителей. По этой причине другие группы и категории потребителей, отнесенные к «регулируемым», принимают на себя потери от пониженных тарифов «нерегулируемым» и льготным потребителям. В результате тарифы, устанавливаемые РЭК на потребительском рынке, существенно отличаются для разных групп потребителей. Отсюда следует, что установленные на потребительском рынке тарифы не соответствуют реальной стоимости производства и передачи электроэнергии потребителю: тарифы для крупных промышленных потребителей значительно превышают таковые для сельскохозяйственных потребителей, населения и покупателей-перепродавцов, хотя стоимость передачи электроэнергии для этих групп потребителей значительно выше, так как их электроснабжение осуществляется на низших классах напряжения. Таким несоответствием объясняется массовое желание крупных потребителей выйти на оптовый рынок, где тарифы, устанавливаемые РЭК, значительно ниже действующих на потребительском рынке (см. табл. 1). </w:t>
      </w:r>
    </w:p>
    <w:p w:rsidR="00E10F50" w:rsidRDefault="00E10F50">
      <w:pPr>
        <w:pStyle w:val="10"/>
        <w:spacing w:line="240" w:lineRule="auto"/>
        <w:ind w:left="0" w:right="-7" w:firstLine="709"/>
        <w:jc w:val="both"/>
        <w:rPr>
          <w:sz w:val="28"/>
          <w:lang w:val="en-US"/>
        </w:rPr>
      </w:pPr>
    </w:p>
    <w:p w:rsidR="00E10F50" w:rsidRDefault="00E10F50">
      <w:pPr>
        <w:pStyle w:val="10"/>
        <w:spacing w:line="240" w:lineRule="auto"/>
        <w:ind w:left="0" w:right="-7" w:firstLine="709"/>
        <w:jc w:val="both"/>
        <w:rPr>
          <w:sz w:val="28"/>
          <w:lang w:val="en-US"/>
        </w:rPr>
      </w:pPr>
    </w:p>
    <w:p w:rsidR="00E10F50" w:rsidRDefault="00762802">
      <w:pPr>
        <w:pStyle w:val="10"/>
        <w:spacing w:line="240" w:lineRule="auto"/>
        <w:ind w:left="0" w:right="-7" w:firstLine="709"/>
        <w:jc w:val="right"/>
        <w:rPr>
          <w:i/>
          <w:sz w:val="24"/>
        </w:rPr>
      </w:pPr>
      <w:r>
        <w:rPr>
          <w:i/>
          <w:sz w:val="24"/>
        </w:rPr>
        <w:t>Таблица 1</w:t>
      </w:r>
    </w:p>
    <w:p w:rsidR="00E10F50" w:rsidRDefault="00762802">
      <w:pPr>
        <w:pStyle w:val="10"/>
        <w:spacing w:line="240" w:lineRule="auto"/>
        <w:ind w:left="0" w:right="-7" w:firstLine="709"/>
        <w:jc w:val="right"/>
        <w:rPr>
          <w:i/>
          <w:sz w:val="24"/>
        </w:rPr>
      </w:pPr>
      <w:r>
        <w:rPr>
          <w:i/>
          <w:sz w:val="24"/>
        </w:rPr>
        <w:t xml:space="preserve">Тарифы на электрическую мощность на оптовом рынке (ФОРЭМ) и </w:t>
      </w:r>
    </w:p>
    <w:p w:rsidR="00E10F50" w:rsidRDefault="00762802">
      <w:pPr>
        <w:pStyle w:val="10"/>
        <w:spacing w:line="240" w:lineRule="auto"/>
        <w:ind w:left="0" w:right="-7" w:firstLine="709"/>
        <w:jc w:val="right"/>
        <w:rPr>
          <w:i/>
          <w:sz w:val="24"/>
        </w:rPr>
      </w:pPr>
      <w:r>
        <w:rPr>
          <w:i/>
          <w:sz w:val="24"/>
        </w:rPr>
        <w:t>на потребительском рынке в 1997 г.</w:t>
      </w:r>
    </w:p>
    <w:tbl>
      <w:tblPr>
        <w:tblW w:w="0" w:type="auto"/>
        <w:tblInd w:w="-15" w:type="dxa"/>
        <w:tblLayout w:type="fixed"/>
        <w:tblCellMar>
          <w:left w:w="40" w:type="dxa"/>
          <w:right w:w="40" w:type="dxa"/>
        </w:tblCellMar>
        <w:tblLook w:val="0000" w:firstRow="0" w:lastRow="0" w:firstColumn="0" w:lastColumn="0" w:noHBand="0" w:noVBand="0"/>
      </w:tblPr>
      <w:tblGrid>
        <w:gridCol w:w="3261"/>
        <w:gridCol w:w="2976"/>
        <w:gridCol w:w="2835"/>
      </w:tblGrid>
      <w:tr w:rsidR="00E10F50">
        <w:trPr>
          <w:trHeight w:hRule="exact" w:val="860"/>
        </w:trPr>
        <w:tc>
          <w:tcPr>
            <w:tcW w:w="3261" w:type="dxa"/>
            <w:tcBorders>
              <w:top w:val="single" w:sz="12" w:space="0" w:color="auto"/>
              <w:left w:val="single" w:sz="12" w:space="0" w:color="auto"/>
              <w:bottom w:val="single" w:sz="12" w:space="0" w:color="auto"/>
              <w:right w:val="single" w:sz="6" w:space="0" w:color="auto"/>
            </w:tcBorders>
            <w:shd w:val="pct40" w:color="000000" w:fill="FFFFFF"/>
            <w:vAlign w:val="center"/>
          </w:tcPr>
          <w:p w:rsidR="00E10F50" w:rsidRDefault="00762802">
            <w:pPr>
              <w:pStyle w:val="10"/>
              <w:spacing w:before="40" w:line="240" w:lineRule="auto"/>
              <w:ind w:left="0" w:right="-7" w:firstLine="0"/>
              <w:jc w:val="center"/>
              <w:rPr>
                <w:b/>
                <w:sz w:val="28"/>
              </w:rPr>
            </w:pPr>
            <w:r>
              <w:rPr>
                <w:b/>
                <w:sz w:val="28"/>
              </w:rPr>
              <w:t>Объединенная</w:t>
            </w:r>
          </w:p>
          <w:p w:rsidR="00E10F50" w:rsidRDefault="00762802">
            <w:pPr>
              <w:pStyle w:val="10"/>
              <w:spacing w:before="40" w:line="240" w:lineRule="auto"/>
              <w:ind w:left="0" w:right="-7" w:firstLine="0"/>
              <w:jc w:val="center"/>
              <w:rPr>
                <w:b/>
                <w:sz w:val="28"/>
              </w:rPr>
            </w:pPr>
            <w:r>
              <w:rPr>
                <w:b/>
                <w:sz w:val="28"/>
              </w:rPr>
              <w:t>энергосистема</w:t>
            </w:r>
          </w:p>
        </w:tc>
        <w:tc>
          <w:tcPr>
            <w:tcW w:w="2976" w:type="dxa"/>
            <w:tcBorders>
              <w:top w:val="single" w:sz="12" w:space="0" w:color="auto"/>
              <w:left w:val="single" w:sz="6" w:space="0" w:color="auto"/>
              <w:bottom w:val="single" w:sz="12" w:space="0" w:color="auto"/>
              <w:right w:val="single" w:sz="6" w:space="0" w:color="auto"/>
            </w:tcBorders>
            <w:shd w:val="pct40" w:color="000000" w:fill="FFFFFF"/>
            <w:vAlign w:val="center"/>
          </w:tcPr>
          <w:p w:rsidR="00E10F50" w:rsidRDefault="00762802">
            <w:pPr>
              <w:pStyle w:val="10"/>
              <w:spacing w:before="40" w:line="240" w:lineRule="auto"/>
              <w:ind w:left="0" w:right="-7" w:firstLine="0"/>
              <w:jc w:val="center"/>
              <w:rPr>
                <w:b/>
                <w:sz w:val="28"/>
              </w:rPr>
            </w:pPr>
            <w:r>
              <w:rPr>
                <w:b/>
                <w:sz w:val="28"/>
              </w:rPr>
              <w:t>Тариф на ФОРЭМ, руб./(кВт*ч)</w:t>
            </w:r>
          </w:p>
        </w:tc>
        <w:tc>
          <w:tcPr>
            <w:tcW w:w="2835" w:type="dxa"/>
            <w:tcBorders>
              <w:top w:val="single" w:sz="12" w:space="0" w:color="auto"/>
              <w:left w:val="single" w:sz="6" w:space="0" w:color="auto"/>
              <w:bottom w:val="single" w:sz="12" w:space="0" w:color="auto"/>
              <w:right w:val="single" w:sz="12" w:space="0" w:color="auto"/>
            </w:tcBorders>
            <w:shd w:val="pct40" w:color="000000" w:fill="FFFFFF"/>
            <w:vAlign w:val="center"/>
          </w:tcPr>
          <w:p w:rsidR="00E10F50" w:rsidRDefault="00762802">
            <w:pPr>
              <w:pStyle w:val="10"/>
              <w:spacing w:before="40" w:line="240" w:lineRule="auto"/>
              <w:ind w:left="0" w:right="-7" w:firstLine="0"/>
              <w:jc w:val="center"/>
              <w:rPr>
                <w:b/>
                <w:sz w:val="28"/>
              </w:rPr>
            </w:pPr>
            <w:r>
              <w:rPr>
                <w:b/>
                <w:sz w:val="28"/>
              </w:rPr>
              <w:t>Тариф на розничном рынке, руб./(кВт*ч)</w:t>
            </w:r>
          </w:p>
        </w:tc>
      </w:tr>
      <w:tr w:rsidR="00E10F50">
        <w:trPr>
          <w:trHeight w:hRule="exact" w:val="440"/>
        </w:trPr>
        <w:tc>
          <w:tcPr>
            <w:tcW w:w="3261" w:type="dxa"/>
            <w:tcBorders>
              <w:top w:val="single" w:sz="12" w:space="0" w:color="auto"/>
              <w:left w:val="single" w:sz="12"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Северо-запада</w:t>
            </w:r>
          </w:p>
        </w:tc>
        <w:tc>
          <w:tcPr>
            <w:tcW w:w="2976" w:type="dxa"/>
            <w:tcBorders>
              <w:top w:val="single" w:sz="12" w:space="0" w:color="auto"/>
              <w:left w:val="single" w:sz="6"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136-143</w:t>
            </w:r>
          </w:p>
        </w:tc>
        <w:tc>
          <w:tcPr>
            <w:tcW w:w="2835" w:type="dxa"/>
            <w:tcBorders>
              <w:top w:val="single" w:sz="12" w:space="0" w:color="auto"/>
              <w:left w:val="single" w:sz="6" w:space="0" w:color="auto"/>
              <w:bottom w:val="single" w:sz="6" w:space="0" w:color="auto"/>
              <w:right w:val="single" w:sz="12" w:space="0" w:color="auto"/>
            </w:tcBorders>
            <w:vAlign w:val="center"/>
          </w:tcPr>
          <w:p w:rsidR="00E10F50" w:rsidRDefault="00762802">
            <w:pPr>
              <w:pStyle w:val="10"/>
              <w:spacing w:before="40" w:line="240" w:lineRule="auto"/>
              <w:ind w:left="0" w:right="-7" w:firstLine="709"/>
              <w:jc w:val="center"/>
              <w:rPr>
                <w:sz w:val="28"/>
              </w:rPr>
            </w:pPr>
            <w:r>
              <w:rPr>
                <w:sz w:val="28"/>
              </w:rPr>
              <w:t>259</w:t>
            </w:r>
          </w:p>
        </w:tc>
      </w:tr>
      <w:tr w:rsidR="00E10F50">
        <w:trPr>
          <w:trHeight w:hRule="exact" w:val="440"/>
        </w:trPr>
        <w:tc>
          <w:tcPr>
            <w:tcW w:w="3261" w:type="dxa"/>
            <w:tcBorders>
              <w:top w:val="single" w:sz="6" w:space="0" w:color="auto"/>
              <w:left w:val="single" w:sz="12"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Центра</w:t>
            </w:r>
          </w:p>
        </w:tc>
        <w:tc>
          <w:tcPr>
            <w:tcW w:w="2976" w:type="dxa"/>
            <w:tcBorders>
              <w:top w:val="single" w:sz="6" w:space="0" w:color="auto"/>
              <w:left w:val="single" w:sz="6"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122-143</w:t>
            </w:r>
          </w:p>
        </w:tc>
        <w:tc>
          <w:tcPr>
            <w:tcW w:w="2835" w:type="dxa"/>
            <w:tcBorders>
              <w:top w:val="single" w:sz="6" w:space="0" w:color="auto"/>
              <w:left w:val="single" w:sz="6" w:space="0" w:color="auto"/>
              <w:bottom w:val="single" w:sz="6" w:space="0" w:color="auto"/>
              <w:right w:val="single" w:sz="12" w:space="0" w:color="auto"/>
            </w:tcBorders>
            <w:vAlign w:val="center"/>
          </w:tcPr>
          <w:p w:rsidR="00E10F50" w:rsidRDefault="00762802">
            <w:pPr>
              <w:pStyle w:val="10"/>
              <w:spacing w:before="40" w:line="240" w:lineRule="auto"/>
              <w:ind w:left="0" w:right="-7" w:firstLine="709"/>
              <w:jc w:val="center"/>
              <w:rPr>
                <w:sz w:val="28"/>
              </w:rPr>
            </w:pPr>
            <w:r>
              <w:rPr>
                <w:sz w:val="28"/>
              </w:rPr>
              <w:t>290</w:t>
            </w:r>
          </w:p>
        </w:tc>
      </w:tr>
      <w:tr w:rsidR="00E10F50">
        <w:trPr>
          <w:trHeight w:hRule="exact" w:val="440"/>
        </w:trPr>
        <w:tc>
          <w:tcPr>
            <w:tcW w:w="3261" w:type="dxa"/>
            <w:tcBorders>
              <w:top w:val="single" w:sz="6" w:space="0" w:color="auto"/>
              <w:left w:val="single" w:sz="12"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Волги</w:t>
            </w:r>
          </w:p>
        </w:tc>
        <w:tc>
          <w:tcPr>
            <w:tcW w:w="2976" w:type="dxa"/>
            <w:tcBorders>
              <w:top w:val="single" w:sz="6" w:space="0" w:color="auto"/>
              <w:left w:val="single" w:sz="6"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132-143</w:t>
            </w:r>
          </w:p>
        </w:tc>
        <w:tc>
          <w:tcPr>
            <w:tcW w:w="2835" w:type="dxa"/>
            <w:tcBorders>
              <w:top w:val="single" w:sz="6" w:space="0" w:color="auto"/>
              <w:left w:val="single" w:sz="6" w:space="0" w:color="auto"/>
              <w:bottom w:val="single" w:sz="6" w:space="0" w:color="auto"/>
              <w:right w:val="single" w:sz="12" w:space="0" w:color="auto"/>
            </w:tcBorders>
            <w:vAlign w:val="center"/>
          </w:tcPr>
          <w:p w:rsidR="00E10F50" w:rsidRDefault="00762802">
            <w:pPr>
              <w:pStyle w:val="10"/>
              <w:spacing w:before="40" w:line="240" w:lineRule="auto"/>
              <w:ind w:left="0" w:right="-7" w:firstLine="709"/>
              <w:jc w:val="center"/>
              <w:rPr>
                <w:sz w:val="28"/>
              </w:rPr>
            </w:pPr>
            <w:r>
              <w:rPr>
                <w:sz w:val="28"/>
              </w:rPr>
              <w:t>305</w:t>
            </w:r>
          </w:p>
        </w:tc>
      </w:tr>
      <w:tr w:rsidR="00E10F50">
        <w:trPr>
          <w:trHeight w:hRule="exact" w:val="420"/>
        </w:trPr>
        <w:tc>
          <w:tcPr>
            <w:tcW w:w="3261" w:type="dxa"/>
            <w:tcBorders>
              <w:top w:val="single" w:sz="6" w:space="0" w:color="auto"/>
              <w:left w:val="single" w:sz="12"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Северного Кавказа</w:t>
            </w:r>
          </w:p>
        </w:tc>
        <w:tc>
          <w:tcPr>
            <w:tcW w:w="2976" w:type="dxa"/>
            <w:tcBorders>
              <w:top w:val="single" w:sz="6" w:space="0" w:color="auto"/>
              <w:left w:val="single" w:sz="6"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143</w:t>
            </w:r>
          </w:p>
        </w:tc>
        <w:tc>
          <w:tcPr>
            <w:tcW w:w="2835" w:type="dxa"/>
            <w:tcBorders>
              <w:top w:val="single" w:sz="6" w:space="0" w:color="auto"/>
              <w:left w:val="single" w:sz="6" w:space="0" w:color="auto"/>
              <w:bottom w:val="single" w:sz="6" w:space="0" w:color="auto"/>
              <w:right w:val="single" w:sz="12" w:space="0" w:color="auto"/>
            </w:tcBorders>
            <w:vAlign w:val="center"/>
          </w:tcPr>
          <w:p w:rsidR="00E10F50" w:rsidRDefault="00762802">
            <w:pPr>
              <w:pStyle w:val="10"/>
              <w:spacing w:before="40" w:line="240" w:lineRule="auto"/>
              <w:ind w:left="0" w:right="-7" w:firstLine="709"/>
              <w:jc w:val="center"/>
              <w:rPr>
                <w:sz w:val="28"/>
              </w:rPr>
            </w:pPr>
            <w:r>
              <w:rPr>
                <w:sz w:val="28"/>
              </w:rPr>
              <w:t>430</w:t>
            </w:r>
          </w:p>
        </w:tc>
      </w:tr>
      <w:tr w:rsidR="00E10F50">
        <w:trPr>
          <w:trHeight w:hRule="exact" w:val="440"/>
        </w:trPr>
        <w:tc>
          <w:tcPr>
            <w:tcW w:w="3261" w:type="dxa"/>
            <w:tcBorders>
              <w:top w:val="single" w:sz="6" w:space="0" w:color="auto"/>
              <w:left w:val="single" w:sz="12"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Урала</w:t>
            </w:r>
          </w:p>
        </w:tc>
        <w:tc>
          <w:tcPr>
            <w:tcW w:w="2976" w:type="dxa"/>
            <w:tcBorders>
              <w:top w:val="single" w:sz="6" w:space="0" w:color="auto"/>
              <w:left w:val="single" w:sz="6"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138-143</w:t>
            </w:r>
          </w:p>
        </w:tc>
        <w:tc>
          <w:tcPr>
            <w:tcW w:w="2835" w:type="dxa"/>
            <w:tcBorders>
              <w:top w:val="single" w:sz="6" w:space="0" w:color="auto"/>
              <w:left w:val="single" w:sz="6" w:space="0" w:color="auto"/>
              <w:bottom w:val="single" w:sz="6" w:space="0" w:color="auto"/>
              <w:right w:val="single" w:sz="12" w:space="0" w:color="auto"/>
            </w:tcBorders>
            <w:vAlign w:val="center"/>
          </w:tcPr>
          <w:p w:rsidR="00E10F50" w:rsidRDefault="00762802">
            <w:pPr>
              <w:pStyle w:val="10"/>
              <w:spacing w:before="40" w:line="240" w:lineRule="auto"/>
              <w:ind w:left="0" w:right="-7" w:firstLine="709"/>
              <w:jc w:val="center"/>
              <w:rPr>
                <w:sz w:val="28"/>
              </w:rPr>
            </w:pPr>
            <w:r>
              <w:rPr>
                <w:sz w:val="28"/>
              </w:rPr>
              <w:t>228</w:t>
            </w:r>
          </w:p>
        </w:tc>
      </w:tr>
      <w:tr w:rsidR="00E10F50">
        <w:trPr>
          <w:trHeight w:hRule="exact" w:val="420"/>
        </w:trPr>
        <w:tc>
          <w:tcPr>
            <w:tcW w:w="3261" w:type="dxa"/>
            <w:tcBorders>
              <w:top w:val="single" w:sz="6" w:space="0" w:color="auto"/>
              <w:left w:val="single" w:sz="12"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Сибири</w:t>
            </w:r>
          </w:p>
        </w:tc>
        <w:tc>
          <w:tcPr>
            <w:tcW w:w="2976" w:type="dxa"/>
            <w:tcBorders>
              <w:top w:val="single" w:sz="6" w:space="0" w:color="auto"/>
              <w:left w:val="single" w:sz="6" w:space="0" w:color="auto"/>
              <w:bottom w:val="single" w:sz="6"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43-105</w:t>
            </w:r>
          </w:p>
        </w:tc>
        <w:tc>
          <w:tcPr>
            <w:tcW w:w="2835" w:type="dxa"/>
            <w:tcBorders>
              <w:top w:val="single" w:sz="6" w:space="0" w:color="auto"/>
              <w:left w:val="single" w:sz="6" w:space="0" w:color="auto"/>
              <w:bottom w:val="single" w:sz="6" w:space="0" w:color="auto"/>
              <w:right w:val="single" w:sz="12" w:space="0" w:color="auto"/>
            </w:tcBorders>
            <w:vAlign w:val="center"/>
          </w:tcPr>
          <w:p w:rsidR="00E10F50" w:rsidRDefault="00762802">
            <w:pPr>
              <w:pStyle w:val="10"/>
              <w:spacing w:before="40" w:line="240" w:lineRule="auto"/>
              <w:ind w:left="0" w:right="-7" w:firstLine="709"/>
              <w:jc w:val="center"/>
              <w:rPr>
                <w:sz w:val="28"/>
              </w:rPr>
            </w:pPr>
            <w:r>
              <w:rPr>
                <w:sz w:val="28"/>
              </w:rPr>
              <w:t>129</w:t>
            </w:r>
          </w:p>
        </w:tc>
      </w:tr>
      <w:tr w:rsidR="00E10F50">
        <w:trPr>
          <w:trHeight w:hRule="exact" w:val="460"/>
        </w:trPr>
        <w:tc>
          <w:tcPr>
            <w:tcW w:w="3261" w:type="dxa"/>
            <w:tcBorders>
              <w:top w:val="single" w:sz="6" w:space="0" w:color="auto"/>
              <w:left w:val="single" w:sz="12" w:space="0" w:color="auto"/>
              <w:bottom w:val="single" w:sz="12"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Востока</w:t>
            </w:r>
          </w:p>
        </w:tc>
        <w:tc>
          <w:tcPr>
            <w:tcW w:w="2976" w:type="dxa"/>
            <w:tcBorders>
              <w:top w:val="single" w:sz="6" w:space="0" w:color="auto"/>
              <w:left w:val="single" w:sz="6" w:space="0" w:color="auto"/>
              <w:bottom w:val="single" w:sz="12" w:space="0" w:color="auto"/>
              <w:right w:val="single" w:sz="6" w:space="0" w:color="auto"/>
            </w:tcBorders>
            <w:vAlign w:val="center"/>
          </w:tcPr>
          <w:p w:rsidR="00E10F50" w:rsidRDefault="00762802">
            <w:pPr>
              <w:pStyle w:val="10"/>
              <w:spacing w:before="40" w:line="240" w:lineRule="auto"/>
              <w:ind w:left="0" w:right="-7" w:firstLine="709"/>
              <w:jc w:val="center"/>
              <w:rPr>
                <w:sz w:val="28"/>
              </w:rPr>
            </w:pPr>
            <w:r>
              <w:rPr>
                <w:sz w:val="28"/>
              </w:rPr>
              <w:t>72-257</w:t>
            </w:r>
          </w:p>
        </w:tc>
        <w:tc>
          <w:tcPr>
            <w:tcW w:w="2835" w:type="dxa"/>
            <w:tcBorders>
              <w:top w:val="single" w:sz="6" w:space="0" w:color="auto"/>
              <w:left w:val="single" w:sz="6" w:space="0" w:color="auto"/>
              <w:bottom w:val="single" w:sz="12" w:space="0" w:color="auto"/>
              <w:right w:val="single" w:sz="12" w:space="0" w:color="auto"/>
            </w:tcBorders>
            <w:vAlign w:val="center"/>
          </w:tcPr>
          <w:p w:rsidR="00E10F50" w:rsidRDefault="00762802">
            <w:pPr>
              <w:pStyle w:val="10"/>
              <w:spacing w:before="40" w:line="240" w:lineRule="auto"/>
              <w:ind w:left="0" w:right="-7" w:firstLine="709"/>
              <w:jc w:val="center"/>
              <w:rPr>
                <w:sz w:val="28"/>
              </w:rPr>
            </w:pPr>
            <w:r>
              <w:rPr>
                <w:sz w:val="28"/>
              </w:rPr>
              <w:t>368</w:t>
            </w:r>
          </w:p>
        </w:tc>
      </w:tr>
    </w:tbl>
    <w:p w:rsidR="00E10F50" w:rsidRDefault="00E10F50">
      <w:pPr>
        <w:pStyle w:val="10"/>
        <w:spacing w:line="240" w:lineRule="auto"/>
        <w:ind w:left="0" w:right="-7" w:firstLine="709"/>
        <w:jc w:val="both"/>
        <w:rPr>
          <w:sz w:val="28"/>
        </w:rPr>
      </w:pPr>
    </w:p>
    <w:p w:rsidR="00E10F50" w:rsidRDefault="00762802">
      <w:pPr>
        <w:pStyle w:val="10"/>
        <w:spacing w:line="240" w:lineRule="auto"/>
        <w:ind w:left="0" w:right="-7" w:firstLine="709"/>
        <w:jc w:val="both"/>
        <w:rPr>
          <w:sz w:val="28"/>
        </w:rPr>
      </w:pPr>
      <w:r>
        <w:rPr>
          <w:sz w:val="28"/>
        </w:rPr>
        <w:t>Очевидно, что решить проблему снижения тарифов таким простым путем, как вывод всех желающих на оптовый рынок и отпуск им электрической энергии по тарифу ФОРЭМ, невозможно, поскольку система так называемого перекрестного финансирования (снижение тарифа одним потребителям за счет повышения другим) в этом случае вызовет еще большее увеличение тарифа оставшимся регулируемым потребителям розничного рынка. Следовательно, принимать решение об участии отдельных энергоемких потребителей в оптовом рынке нельзя в отрыве от упорядочения системы установления тарифов на розничном рынке. Правительственные распоряжения об установлении тарифов на электрическую энергию в соответствии с реальной стоимостью ее производства и передачи носят лишь рекомендательный характер, вследствие чего РЭКи не стремятся принимать непопулярные решения о повышении тарифов для населения и сельскохозяйственных потребителей. С той же позиции будут отвергаться просьбы потребителей о выходе на оптовый рынок, поскольку это приведет к повышению тарифов для потребителей, остающихся на розничном рынке. Сокращение ущерба от повышения тарифов может быть достигнуто адресной помощью малоимущим группам населения и бюджетным финансированием сельскохозяйственных, коммунально-бытовых и социальных учреждений и организаций. Снижение тарифа за этот счет для крупных потребителей в большинстве случаев снимет проблему повышенной себестоимости их продукции из-за высокой стоимости энергоресурсов и сократит число претендентов на выход на оптовый рынок.</w:t>
      </w:r>
    </w:p>
    <w:p w:rsidR="00E10F50" w:rsidRDefault="00762802">
      <w:pPr>
        <w:pStyle w:val="10"/>
        <w:spacing w:line="240" w:lineRule="auto"/>
        <w:ind w:left="0" w:right="-7" w:firstLine="709"/>
        <w:jc w:val="both"/>
        <w:rPr>
          <w:sz w:val="28"/>
          <w:lang w:val="en-US"/>
        </w:rPr>
      </w:pPr>
      <w:r>
        <w:rPr>
          <w:sz w:val="28"/>
        </w:rPr>
        <w:t>Развитию конкурентного рынка электрической энергии должна способствовать также организация действенного соревнования между оптовым (ФОРЭМ) и розничным (АО-энерго) продавцами за крупного потребителя. Существует категория оптовых покупателей-перепродавцов, пользующаяся льготным тарифом, установленным исходя из того, что значительную часть их абонентов составляет население. Данное обстоятельство определяет и основную долю оплаты, получаемую покупателем-перепродавцом от своих абонентов, в виде денежных средств. Однако эти денежные средства для оплаты отпущенной АО-энерго электроэнергии, как правило, не используются, что ставит энергоснабжающие организации в неравноправные условия. Вывод на ФОРЭМ наряду с энергоемкими потребителями оптовых</w:t>
      </w:r>
      <w:r>
        <w:rPr>
          <w:sz w:val="28"/>
          <w:lang w:val="en-US"/>
        </w:rPr>
        <w:t xml:space="preserve"> </w:t>
      </w:r>
      <w:r>
        <w:rPr>
          <w:sz w:val="28"/>
        </w:rPr>
        <w:t>покупателей-перепродавцов</w:t>
      </w:r>
      <w:r>
        <w:rPr>
          <w:sz w:val="28"/>
          <w:lang w:val="en-US"/>
        </w:rPr>
        <w:t xml:space="preserve"> </w:t>
      </w:r>
      <w:r>
        <w:rPr>
          <w:sz w:val="28"/>
        </w:rPr>
        <w:t xml:space="preserve">будет способствовать приведению тарифов для абонентов последних в соответствие с реальной стоимостью производства и передачи электрической энергии и увеличит поступление денежных средств производителям. Оценочные расчеты показывают, что только перевод категории оптовых покупателей-перепродавцов на ФОРЭМ в масштабе ЕЭС России позволит снизить тарифы для промышленных потребителей на 8 – 10%. </w:t>
      </w:r>
    </w:p>
    <w:p w:rsidR="00E10F50" w:rsidRDefault="00E10F50">
      <w:pPr>
        <w:pStyle w:val="10"/>
        <w:spacing w:line="240" w:lineRule="auto"/>
        <w:ind w:left="0" w:right="-7" w:firstLine="709"/>
        <w:jc w:val="both"/>
        <w:rPr>
          <w:sz w:val="28"/>
          <w:lang w:val="en-US"/>
        </w:rPr>
      </w:pPr>
    </w:p>
    <w:p w:rsidR="00E10F50" w:rsidRDefault="00762802">
      <w:pPr>
        <w:pStyle w:val="10"/>
        <w:spacing w:line="240" w:lineRule="auto"/>
        <w:ind w:left="0" w:right="-7" w:firstLine="709"/>
        <w:jc w:val="both"/>
        <w:rPr>
          <w:sz w:val="28"/>
        </w:rPr>
      </w:pPr>
      <w:r>
        <w:rPr>
          <w:i/>
          <w:sz w:val="28"/>
        </w:rPr>
        <w:t>Выводы:</w:t>
      </w:r>
    </w:p>
    <w:p w:rsidR="00E10F50" w:rsidRDefault="00762802">
      <w:pPr>
        <w:pStyle w:val="10"/>
        <w:numPr>
          <w:ilvl w:val="0"/>
          <w:numId w:val="44"/>
        </w:numPr>
        <w:tabs>
          <w:tab w:val="clear" w:pos="360"/>
          <w:tab w:val="num" w:pos="1069"/>
        </w:tabs>
        <w:spacing w:line="240" w:lineRule="auto"/>
        <w:ind w:left="1069" w:right="-7"/>
        <w:jc w:val="both"/>
        <w:rPr>
          <w:sz w:val="28"/>
        </w:rPr>
      </w:pPr>
      <w:r>
        <w:rPr>
          <w:sz w:val="28"/>
        </w:rPr>
        <w:t>Существующая практика установления тарифов на розничном рынке не соответствует реальным затратам на производство, передачу и распределение электрической энергии для конкретных потребителей.</w:t>
      </w:r>
    </w:p>
    <w:p w:rsidR="00E10F50" w:rsidRDefault="00762802">
      <w:pPr>
        <w:pStyle w:val="10"/>
        <w:numPr>
          <w:ilvl w:val="0"/>
          <w:numId w:val="44"/>
        </w:numPr>
        <w:tabs>
          <w:tab w:val="clear" w:pos="360"/>
          <w:tab w:val="num" w:pos="1069"/>
        </w:tabs>
        <w:spacing w:line="240" w:lineRule="auto"/>
        <w:ind w:left="1069" w:right="-7"/>
        <w:jc w:val="both"/>
        <w:rPr>
          <w:sz w:val="28"/>
        </w:rPr>
      </w:pPr>
      <w:r>
        <w:rPr>
          <w:sz w:val="28"/>
        </w:rPr>
        <w:t>Упорядочение тарифов на электроэнергию на розничном рынке будет стимулировать рост электропотребления и повысит конкурентоспособность товаропроизводителей.</w:t>
      </w:r>
    </w:p>
    <w:p w:rsidR="00E10F50" w:rsidRDefault="00762802">
      <w:pPr>
        <w:pStyle w:val="10"/>
        <w:numPr>
          <w:ilvl w:val="0"/>
          <w:numId w:val="44"/>
        </w:numPr>
        <w:tabs>
          <w:tab w:val="clear" w:pos="360"/>
          <w:tab w:val="num" w:pos="1069"/>
        </w:tabs>
        <w:spacing w:line="240" w:lineRule="auto"/>
        <w:ind w:left="1069" w:right="-7"/>
        <w:jc w:val="both"/>
        <w:rPr>
          <w:sz w:val="28"/>
        </w:rPr>
      </w:pPr>
      <w:r>
        <w:rPr>
          <w:sz w:val="28"/>
        </w:rPr>
        <w:t>Расширение оптового рынка электрической энергии за счет крупных энергоемких потребителей создаст благоприятную конкурентную среду, приведет к снижению и более справедливому установлению тарифов для отдельных групп потребителей.</w:t>
      </w:r>
    </w:p>
    <w:p w:rsidR="00E10F50" w:rsidRDefault="00E10F50">
      <w:pPr>
        <w:pStyle w:val="10"/>
        <w:spacing w:line="240" w:lineRule="auto"/>
        <w:ind w:left="280" w:right="-7" w:hanging="280"/>
        <w:jc w:val="both"/>
        <w:rPr>
          <w:sz w:val="28"/>
          <w:lang w:val="en-US"/>
        </w:rPr>
      </w:pPr>
    </w:p>
    <w:p w:rsidR="00E10F50" w:rsidRDefault="00E10F50">
      <w:pPr>
        <w:pStyle w:val="10"/>
        <w:spacing w:line="240" w:lineRule="auto"/>
        <w:ind w:left="280" w:right="-7" w:hanging="280"/>
        <w:jc w:val="both"/>
        <w:rPr>
          <w:sz w:val="28"/>
          <w:lang w:val="en-US"/>
        </w:rPr>
      </w:pPr>
    </w:p>
    <w:p w:rsidR="00E10F50" w:rsidRDefault="00762802">
      <w:pPr>
        <w:jc w:val="center"/>
        <w:rPr>
          <w:b/>
          <w:caps/>
          <w:sz w:val="32"/>
        </w:rPr>
      </w:pPr>
      <w:r>
        <w:br w:type="page"/>
      </w:r>
      <w:r>
        <w:rPr>
          <w:b/>
          <w:caps/>
          <w:sz w:val="32"/>
        </w:rPr>
        <w:t xml:space="preserve">Соотношение российских и </w:t>
      </w:r>
    </w:p>
    <w:p w:rsidR="00E10F50" w:rsidRDefault="00762802">
      <w:pPr>
        <w:jc w:val="center"/>
        <w:rPr>
          <w:b/>
          <w:caps/>
          <w:sz w:val="32"/>
        </w:rPr>
      </w:pPr>
      <w:r>
        <w:rPr>
          <w:b/>
          <w:caps/>
          <w:sz w:val="32"/>
        </w:rPr>
        <w:t>мировых цен на энергоносители</w:t>
      </w:r>
    </w:p>
    <w:p w:rsidR="00E10F50" w:rsidRDefault="00E10F50">
      <w:pPr>
        <w:pStyle w:val="10"/>
        <w:spacing w:line="240" w:lineRule="auto"/>
        <w:ind w:right="-7"/>
        <w:jc w:val="both"/>
        <w:rPr>
          <w:sz w:val="28"/>
        </w:rPr>
      </w:pPr>
    </w:p>
    <w:p w:rsidR="00E10F50" w:rsidRDefault="00762802">
      <w:pPr>
        <w:pStyle w:val="10"/>
        <w:spacing w:line="240" w:lineRule="auto"/>
        <w:ind w:left="0" w:right="-7" w:firstLine="709"/>
        <w:jc w:val="both"/>
        <w:rPr>
          <w:sz w:val="28"/>
        </w:rPr>
      </w:pPr>
      <w:r>
        <w:rPr>
          <w:sz w:val="28"/>
        </w:rPr>
        <w:t>В период планового хозяйства низкая стоимость топливно-сырьевых ресурсов была обусловлена как общей концепцией ценообразования, так и трудностями регулирования инфляционного движения цен на продукцию многономенклатурных отраслей. После 1992 года особенно важным представлялось вывести на мировой уровень цены основных экспортных ресурсов, таких как нефть, газ и нефтепродукты, чтобы «открыть» отечественную экономику, привлечь инвестиции в развитие ТЭКа и получить дополнительный стабилизатор для внутренних цен (ожидалось, что мировые цены будут служить верхним пределом для роста внутренних).</w:t>
      </w:r>
    </w:p>
    <w:p w:rsidR="00E10F50" w:rsidRDefault="00762802">
      <w:pPr>
        <w:pStyle w:val="10"/>
        <w:spacing w:line="240" w:lineRule="auto"/>
        <w:ind w:left="0" w:right="-7" w:firstLine="709"/>
        <w:jc w:val="both"/>
        <w:rPr>
          <w:sz w:val="28"/>
        </w:rPr>
      </w:pPr>
      <w:r>
        <w:rPr>
          <w:sz w:val="28"/>
        </w:rPr>
        <w:t>Понятие выхода на мировые цены можно определить двояко. Во-первых, имеется в виду достижение равенства внутренней цены, пересчитанной в доллары по официальному обменному курсу, и мировой. С практической точки зрения это значит достичь равной выгодной реализации продукции на внутреннем и внешнем рынках с учетом дополнительных затрат на транспортировку, но без таможенных пошлин. Во-вторых, данное понятие связано с удорожанием энергоресурсов по сравнению с другой продукцией. Точнее речь идет об опережающем росте индексов цен на энергоносители. В качестве ориентира нормального уровня относительных цен более корректно использовать не мировые, т.е. цены экспортно-импортных операций, а относительные внутренние в развитых странах, поскольку они, как правило, резко отличаются от мировых (вследствие государственного регулирования, налогообложения и других факторов).</w:t>
      </w:r>
    </w:p>
    <w:p w:rsidR="00E10F50" w:rsidRDefault="00762802">
      <w:pPr>
        <w:pStyle w:val="10"/>
        <w:spacing w:line="240" w:lineRule="auto"/>
        <w:ind w:left="0" w:right="-7" w:firstLine="709"/>
        <w:jc w:val="both"/>
        <w:rPr>
          <w:sz w:val="28"/>
        </w:rPr>
      </w:pPr>
      <w:r>
        <w:rPr>
          <w:sz w:val="28"/>
        </w:rPr>
        <w:t>Также особенностью нашей станы являются тяжелый климат и очень большая территория, а поэтому затраты на единицу продукции как правило выше, чем во многих развитых странах мира.</w:t>
      </w:r>
    </w:p>
    <w:p w:rsidR="00E10F50" w:rsidRDefault="00762802">
      <w:pPr>
        <w:pStyle w:val="10"/>
        <w:spacing w:line="240" w:lineRule="auto"/>
        <w:ind w:left="0" w:right="-7" w:firstLine="709"/>
        <w:jc w:val="both"/>
        <w:rPr>
          <w:sz w:val="28"/>
        </w:rPr>
      </w:pPr>
      <w:r>
        <w:rPr>
          <w:sz w:val="28"/>
        </w:rPr>
        <w:t>В настоящее время задача по выводу цен на энергоносители на мировой уровень выполнена, однако повышение цен недостаточно для структурной перестройки народного хозяйства. Дело в том, что реализация энергосберегающих технологий в промышленности невозможна без значительных инвестиций. Предприятиям необходимо также время для адаптации к новым соотношениям цен и внедрения таких технологий. Однако у них не оказалось ни инвестиций, ни времени для структурной перестройки из-за общего скачка цен в 1992 году, обесценившего все средства. В результате рост цен на энергоносители способствовал не повышению эффективности энергопотребления, а углублению спада производства, инфляции издержек и увеличению неплатежей в экономике.</w:t>
      </w:r>
    </w:p>
    <w:p w:rsidR="00E10F50" w:rsidRDefault="00762802">
      <w:pPr>
        <w:pStyle w:val="10"/>
        <w:spacing w:line="240" w:lineRule="auto"/>
        <w:ind w:left="0" w:right="-7" w:firstLine="709"/>
        <w:jc w:val="both"/>
        <w:rPr>
          <w:sz w:val="28"/>
        </w:rPr>
      </w:pPr>
      <w:r>
        <w:rPr>
          <w:sz w:val="28"/>
        </w:rPr>
        <w:t>Если рассмотреть динамику соотношения внутренних и мировых цен на отдельные энергоносители, их анализ покажет следующее.</w:t>
      </w:r>
    </w:p>
    <w:p w:rsidR="00E10F50" w:rsidRDefault="00762802">
      <w:pPr>
        <w:pStyle w:val="10"/>
        <w:spacing w:line="240" w:lineRule="auto"/>
        <w:ind w:left="0" w:right="-7" w:firstLine="709"/>
        <w:jc w:val="both"/>
        <w:rPr>
          <w:sz w:val="28"/>
        </w:rPr>
      </w:pPr>
      <w:r>
        <w:rPr>
          <w:b/>
          <w:i/>
          <w:sz w:val="28"/>
        </w:rPr>
        <w:t>Нефть.</w:t>
      </w:r>
      <w:r>
        <w:rPr>
          <w:sz w:val="28"/>
        </w:rPr>
        <w:t xml:space="preserve"> Внутренние цены предприятий в долларовом исчислении проявляют устойчивую тенденцию к росту</w:t>
      </w:r>
      <w:r>
        <w:rPr>
          <w:rStyle w:val="a8"/>
          <w:sz w:val="28"/>
        </w:rPr>
        <w:footnoteReference w:id="4"/>
      </w:r>
      <w:r>
        <w:rPr>
          <w:sz w:val="28"/>
        </w:rPr>
        <w:t>, за исключением снижения 1994 года. Хотя в рублях цена тонны нефти удвоилась за данный период, что объясняется резким падением валютного курса рубля к доллару в 1994 г. В 1996 году рост внутренней цены нефти замедлился, что было связано с падением темпов инфляции. Внутренняя цена промышленности на нефть включает транспортные затраты на ее доставку до потребителя, а также налоги. Поскольку мировая цена определяется ее уровнем для Западной Европы и не включает налоги и транспортные расходы на перекачку нефти до потребителя по территории западноевропейских стран, то адекватным является соотношение внутренней цены производителя с мировой. С    1993 г. оно находится в пределах 40-54% (за исключением конца 1994 г., когда временно резко повысился курс доллара к рублю). За лето и осень 1996 г. значительно поднялись мировые цены на нефть, а внутренние росли медленно, соответственно инфляции. Поэтому приведенное выше соотношение понизилось до 41,4%.</w:t>
      </w:r>
    </w:p>
    <w:p w:rsidR="00E10F50" w:rsidRDefault="00762802">
      <w:pPr>
        <w:pStyle w:val="10"/>
        <w:spacing w:line="240" w:lineRule="auto"/>
        <w:ind w:left="0" w:right="-7" w:firstLine="709"/>
        <w:jc w:val="both"/>
        <w:rPr>
          <w:sz w:val="28"/>
        </w:rPr>
      </w:pPr>
      <w:r>
        <w:rPr>
          <w:b/>
          <w:i/>
          <w:sz w:val="28"/>
        </w:rPr>
        <w:t>Газ.</w:t>
      </w:r>
      <w:r>
        <w:rPr>
          <w:sz w:val="28"/>
        </w:rPr>
        <w:t xml:space="preserve"> С 1992 года по декабрь 1995 внутренняя цена промышленности на газ по отношению к мировой выросла с 2,6 до 69,2%, а в октябре 1996 г. снизилась до 66%, что было вызвано мерами правительства по сдерживанию его удорожания. Внутренние цены приобретения по группам потребителей не отвечают принципам равенства реальной стоимости газа для каждой группы. Как и с электрической энергией, промышленность дотирует льготную цену для населения. В развитых странах население платит значительно больше, чем промышленность, поскольку требуются дополнительные затраты на создание и функционирование распределительных газовых сетей. В 1998 году намечено цену газа для населения довести до уровня ее реальных издержек (без акциза), а малоимущим семьям выплачивать компенсацию.</w:t>
      </w:r>
    </w:p>
    <w:p w:rsidR="00E10F50" w:rsidRDefault="00762802">
      <w:pPr>
        <w:pStyle w:val="10"/>
        <w:spacing w:line="240" w:lineRule="auto"/>
        <w:ind w:left="0" w:right="-7" w:firstLine="709"/>
        <w:jc w:val="both"/>
        <w:rPr>
          <w:sz w:val="28"/>
        </w:rPr>
      </w:pPr>
      <w:r>
        <w:rPr>
          <w:b/>
          <w:i/>
          <w:sz w:val="28"/>
        </w:rPr>
        <w:t>Уголь.</w:t>
      </w:r>
      <w:r>
        <w:rPr>
          <w:sz w:val="28"/>
        </w:rPr>
        <w:t xml:space="preserve"> В 1995 г. доля стоимости добычи в цене потребления снизилась до 52%, а в декабре 1996 – повысилась до 75,1%. Стоимость транспортировки росла вплоть до 1996 г., затем в результате усилий правительства по сдерживанию роста тарифов на грузовые железнодорожные перевозки удалось снизить долю транспортных расходов в цене приобретения до уровня 1992 года. Однако, за 1996 год почти в 2 раза возросла стоимость добычи, в то время как стоимость перевозки снизилась на 42%. В результате цена приобретения увеличилась на 34%. Таким образом в этот период цена приобретения энергетического угля в России по сравнению с США была равна 99,1%</w:t>
      </w:r>
      <w:r>
        <w:rPr>
          <w:rStyle w:val="a8"/>
          <w:sz w:val="28"/>
        </w:rPr>
        <w:footnoteReference w:id="5"/>
      </w:r>
      <w:r>
        <w:rPr>
          <w:sz w:val="28"/>
        </w:rPr>
        <w:t>. Это связано в основном с ростом стоимости добычи, но если рассчитывать цены не по валютному курсу рубля, а по паритету покупательной способности, то стоимость нашего угля превысит ее уровень в США на 36%. Отсюда следует, что необходимы серьезные меры по сдерживанию цены добычи.</w:t>
      </w:r>
    </w:p>
    <w:p w:rsidR="00E10F50" w:rsidRDefault="00762802">
      <w:pPr>
        <w:pStyle w:val="10"/>
        <w:spacing w:line="240" w:lineRule="auto"/>
        <w:ind w:left="0" w:right="-7" w:firstLine="709"/>
        <w:jc w:val="both"/>
        <w:rPr>
          <w:sz w:val="28"/>
        </w:rPr>
      </w:pPr>
      <w:r>
        <w:rPr>
          <w:b/>
          <w:i/>
          <w:sz w:val="28"/>
        </w:rPr>
        <w:t>Электроэнергия.</w:t>
      </w:r>
      <w:r>
        <w:rPr>
          <w:sz w:val="28"/>
        </w:rPr>
        <w:t xml:space="preserve"> За годы реформ средний тариф на электроэнергию по сравнению с США вырос с 9% до 80,2%. Тариф для промышленности составляет 90 – 95% уровня США. Промышленные потребители дотируют льготные тарифы на электроэнергию для населения. Необходимо их постепенное социально обоснованное повышение, с тем чтобы снизить чрезмерную нагрузку в тарифах на промышленность, которую она уже не выдерживает.</w:t>
      </w:r>
    </w:p>
    <w:p w:rsidR="00E10F50" w:rsidRDefault="00762802">
      <w:pPr>
        <w:pStyle w:val="10"/>
        <w:spacing w:line="240" w:lineRule="auto"/>
        <w:ind w:left="0" w:right="-7" w:firstLine="709"/>
        <w:jc w:val="both"/>
        <w:rPr>
          <w:sz w:val="28"/>
        </w:rPr>
      </w:pPr>
      <w:r>
        <w:rPr>
          <w:sz w:val="28"/>
        </w:rPr>
        <w:t xml:space="preserve">В 1997 году конъюнктура мирового рынка нефти существенно ухудшилась. Рост добычи в ряде стран, не входящих в ОПЕК (Великобритания, Норвегия, Мексика, Китай), равно как и повышение квот такими членами ОПЕК, как Венесуэла и Нигерия, вкупе с распространением технологий, удешевляющих освоение месторождений, привело к снижению мировых цен на нефть на 2 – 7%. Необычно мягкая зима не оправдала надежды на удорожание нефти в отопительный сезон. В результате в январе цены снизились еще на 10 – 15%, приблизившись к уровню 1994 года. Ряд западных специалистов указывает, что сохранение сложившейся ситуации на рынке нефти сократит валютные поступления России на 3 млрд. </w:t>
      </w:r>
      <w:r>
        <w:rPr>
          <w:sz w:val="28"/>
          <w:lang w:val="en-US"/>
        </w:rPr>
        <w:t>$</w:t>
      </w:r>
      <w:r>
        <w:rPr>
          <w:sz w:val="28"/>
        </w:rPr>
        <w:t>, и выход из сложившейся ситуации можно найти только в эффективном государственном регулировании.</w:t>
      </w:r>
    </w:p>
    <w:p w:rsidR="00E10F50" w:rsidRDefault="00762802">
      <w:pPr>
        <w:jc w:val="center"/>
        <w:rPr>
          <w:b/>
          <w:caps/>
          <w:sz w:val="32"/>
        </w:rPr>
      </w:pPr>
      <w:r>
        <w:br w:type="page"/>
      </w:r>
      <w:r>
        <w:rPr>
          <w:b/>
          <w:caps/>
          <w:sz w:val="32"/>
        </w:rPr>
        <w:t>Заключение</w:t>
      </w:r>
    </w:p>
    <w:p w:rsidR="00E10F50" w:rsidRDefault="00E10F50">
      <w:pPr>
        <w:rPr>
          <w:sz w:val="28"/>
        </w:rPr>
      </w:pPr>
    </w:p>
    <w:p w:rsidR="00E10F50" w:rsidRDefault="00762802">
      <w:pPr>
        <w:pStyle w:val="10"/>
        <w:spacing w:line="240" w:lineRule="auto"/>
        <w:ind w:left="0" w:right="-7" w:firstLine="709"/>
        <w:jc w:val="both"/>
        <w:rPr>
          <w:sz w:val="28"/>
        </w:rPr>
      </w:pPr>
      <w:r>
        <w:rPr>
          <w:sz w:val="28"/>
        </w:rPr>
        <w:t xml:space="preserve">На основе изученных вопросов о топливно-энергетическом комплексе, специфике ценообразования в нем, его роли, функциях, значении в экономике, представляется возможным подвести некоторые итоги. </w:t>
      </w:r>
    </w:p>
    <w:p w:rsidR="00E10F50" w:rsidRDefault="00762802">
      <w:pPr>
        <w:pStyle w:val="10"/>
        <w:numPr>
          <w:ilvl w:val="0"/>
          <w:numId w:val="45"/>
        </w:numPr>
        <w:tabs>
          <w:tab w:val="clear" w:pos="360"/>
          <w:tab w:val="num" w:pos="1069"/>
        </w:tabs>
        <w:spacing w:line="240" w:lineRule="auto"/>
        <w:ind w:left="1069" w:right="-7"/>
        <w:jc w:val="both"/>
        <w:rPr>
          <w:sz w:val="28"/>
        </w:rPr>
      </w:pPr>
      <w:r>
        <w:rPr>
          <w:sz w:val="28"/>
        </w:rPr>
        <w:t xml:space="preserve">Во-первых, введение свободных цен в 1992 году на продукцию ТЭКа (как и на другие товары) осуществлялось без должного учета специфики переходного периода экономики России и недостаточного учета опыта регулирования цен с развитой рыночной экономикой. Это явилось одной из причин негативных последствий как в целом для экономики, так и для ее ключевой отрасли. </w:t>
      </w:r>
    </w:p>
    <w:p w:rsidR="00E10F50" w:rsidRDefault="00762802">
      <w:pPr>
        <w:pStyle w:val="10"/>
        <w:numPr>
          <w:ilvl w:val="0"/>
          <w:numId w:val="45"/>
        </w:numPr>
        <w:tabs>
          <w:tab w:val="clear" w:pos="360"/>
          <w:tab w:val="num" w:pos="1069"/>
        </w:tabs>
        <w:spacing w:line="240" w:lineRule="auto"/>
        <w:ind w:left="1069" w:right="-7"/>
        <w:jc w:val="both"/>
        <w:rPr>
          <w:sz w:val="28"/>
        </w:rPr>
      </w:pPr>
      <w:r>
        <w:rPr>
          <w:sz w:val="28"/>
        </w:rPr>
        <w:t xml:space="preserve">Во-вторых, ТЭК в результате резкого перехода к свободным ценам в условиях децентрализации управления характеризуется сегодня хаосом в рыночных связях, множественностью, несогласованностью цен в местах потребления ресурсов, часто завышенных в результате нерациональных перевозок. </w:t>
      </w:r>
    </w:p>
    <w:p w:rsidR="00E10F50" w:rsidRDefault="00762802">
      <w:pPr>
        <w:pStyle w:val="10"/>
        <w:numPr>
          <w:ilvl w:val="0"/>
          <w:numId w:val="45"/>
        </w:numPr>
        <w:tabs>
          <w:tab w:val="clear" w:pos="360"/>
          <w:tab w:val="num" w:pos="1069"/>
        </w:tabs>
        <w:spacing w:line="240" w:lineRule="auto"/>
        <w:ind w:left="1069" w:right="-7"/>
        <w:jc w:val="both"/>
        <w:rPr>
          <w:sz w:val="28"/>
        </w:rPr>
      </w:pPr>
      <w:r>
        <w:rPr>
          <w:sz w:val="28"/>
        </w:rPr>
        <w:t>В-третьих, остается спорным вопрос о том, считать ли вывод цен энергоносителей на мировой уровень явлением положительным или нет. По ценам на многие ресурсы мы уже обогнали многие развитые страны, такие как США и некоторые европейские, но было ли это необходимо? Как показала практика, зарубежные инвесторы не стремятся вкладывать деньги в наше производство, а для внутренних потребителей цены являются очень высокими.</w:t>
      </w:r>
    </w:p>
    <w:p w:rsidR="00E10F50" w:rsidRDefault="00762802">
      <w:pPr>
        <w:pStyle w:val="10"/>
        <w:spacing w:line="240" w:lineRule="auto"/>
        <w:ind w:left="0" w:right="-7" w:firstLine="709"/>
        <w:jc w:val="both"/>
        <w:rPr>
          <w:sz w:val="28"/>
        </w:rPr>
      </w:pPr>
      <w:r>
        <w:rPr>
          <w:sz w:val="28"/>
        </w:rPr>
        <w:t>Однако нельзя не признать и положительных изменений, о которых мы можем говорить в апреле 1998 года, взглянув на весь переходный период. Хотя данные некоторых информационных агентств расходятся, но можно с уверенностью сказать, что цены на продукцию ТЭКа уже растут не так стремительно, а объем производства, наоборот, набирает темп. Например, рост производства в 1997 году составил 0,6%, причем он был обеспечен в основном за счет экспортных отраслей, к которым относится нефть, газ и уголь. Большое значение имело создание федерального оптового рынка электрической энергии, который является фактором, стимулирующим развитие конкурентной среды как для производителей, так и для потребителей электроэнергии. Надежное энергоснабжение поможет обеспечить и структурная реформа, начавшаяся в 1997 году и захватывающая газовую промышленность и электроэнергетику. Эта реформа в сферах естественных монополий, направлена также и на совершенствование системы государственного регулирования, необходимой для решения проблем в тех отраслях, где конкуренция невозможна или нецелесообразна.</w:t>
      </w:r>
    </w:p>
    <w:p w:rsidR="00E10F50" w:rsidRDefault="00762802">
      <w:pPr>
        <w:pStyle w:val="10"/>
        <w:spacing w:line="240" w:lineRule="auto"/>
        <w:ind w:left="0" w:right="-7" w:firstLine="709"/>
        <w:jc w:val="both"/>
        <w:rPr>
          <w:sz w:val="28"/>
        </w:rPr>
      </w:pPr>
      <w:r>
        <w:rPr>
          <w:sz w:val="28"/>
        </w:rPr>
        <w:t>Государственное регулирование необходимо, но важно решить вопрос в каком объеме и в каких сферах народного хозяйства его следует применять. А для того, чтобы определиться в этом вопросе необходим всесторонний анализ не только исследуемой отрасли (будь то ТЭК или какая-либо другая), но и всех остальных, потому что в экономике существуют сотни и тысячи как невидимых так и зримых нитей, связывающих все элементы хозяйства и неизбежно влияющих друг на друга.</w:t>
      </w:r>
    </w:p>
    <w:p w:rsidR="00E10F50" w:rsidRDefault="00762802">
      <w:pPr>
        <w:pStyle w:val="10"/>
        <w:spacing w:line="240" w:lineRule="auto"/>
        <w:ind w:right="200" w:firstLine="700"/>
        <w:rPr>
          <w:lang w:val="en-US"/>
        </w:rPr>
      </w:pPr>
      <w:r>
        <w:rPr>
          <w:lang w:val="en-US"/>
        </w:rPr>
        <w:t xml:space="preserve"> </w:t>
      </w:r>
    </w:p>
    <w:p w:rsidR="00E10F50" w:rsidRDefault="00762802">
      <w:pPr>
        <w:pStyle w:val="FR1"/>
        <w:spacing w:before="0"/>
        <w:ind w:left="0"/>
        <w:jc w:val="center"/>
        <w:rPr>
          <w:caps/>
          <w:sz w:val="32"/>
        </w:rPr>
      </w:pPr>
      <w:r>
        <w:rPr>
          <w:lang w:val="en-US"/>
        </w:rPr>
        <w:br w:type="page"/>
      </w:r>
      <w:r>
        <w:rPr>
          <w:caps/>
          <w:sz w:val="32"/>
        </w:rPr>
        <w:t>Список литературы</w:t>
      </w:r>
    </w:p>
    <w:p w:rsidR="00E10F50" w:rsidRDefault="00E10F50">
      <w:pPr>
        <w:pStyle w:val="FR1"/>
        <w:tabs>
          <w:tab w:val="num" w:pos="0"/>
        </w:tabs>
        <w:spacing w:before="0"/>
        <w:ind w:left="0" w:firstLine="567"/>
        <w:jc w:val="both"/>
        <w:rPr>
          <w:i/>
        </w:rPr>
      </w:pPr>
    </w:p>
    <w:p w:rsidR="00E10F50" w:rsidRDefault="00E10F50">
      <w:pPr>
        <w:pStyle w:val="FR1"/>
        <w:tabs>
          <w:tab w:val="num" w:pos="0"/>
        </w:tabs>
        <w:spacing w:before="0"/>
        <w:ind w:left="0" w:firstLine="567"/>
        <w:jc w:val="both"/>
        <w:rPr>
          <w:i/>
        </w:rPr>
      </w:pPr>
    </w:p>
    <w:p w:rsidR="00E10F50" w:rsidRDefault="00762802">
      <w:pPr>
        <w:pStyle w:val="FR1"/>
        <w:tabs>
          <w:tab w:val="num" w:pos="0"/>
        </w:tabs>
        <w:spacing w:before="0"/>
        <w:ind w:left="0" w:firstLine="567"/>
        <w:jc w:val="both"/>
        <w:rPr>
          <w:i/>
        </w:rPr>
      </w:pPr>
      <w:r>
        <w:rPr>
          <w:i/>
        </w:rPr>
        <w:t>Законодательные акты</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федеральном (общероссийском) оптовом рынке электрической энергии (мощности)» //Постановление Правительства РФ № 793 от 12.07.1996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 двухставочных тарифах на электрическую энергию (мощность)    на федеральном (общероссийском) оптовом рынке электрической энергии (мощности), вводимых в действие с 1 июля 1997 года» // Протокол заседания Правления ФЭК № 88 от 17.06.1996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«Анализ введенных с 01.07.1997г. двухставочных тарифов на электрическую энергию (мощность) на федеральном (общероссийском) оптовом рынке электрической энергии (мощности)» //Протокол заседания Правления ФЭК № 93 от 09.07.1997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регулировании тарифов на электро- и теплоэнергию» //Письмо Министерства топлива и энергетики РФ и Комитета цен при Минэкономики РФ № 01-17/220-11 от 20.05.1992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государственном регулировании цен на отдельные виды энергоресурсов» //Указ Президента РФ № 1089 от 17.09.1992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 государственном регулировании цен на природный газ и другие виды энергоресурсов» //ПСМ – Правительства РФ № 88 от </w:t>
      </w:r>
      <w:r>
        <w:rPr>
          <w:sz w:val="28"/>
          <w:lang w:val="en-US"/>
        </w:rPr>
        <w:t xml:space="preserve">  </w:t>
      </w:r>
      <w:r>
        <w:rPr>
          <w:sz w:val="28"/>
        </w:rPr>
        <w:t>29.01.1993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НДС на транспортировку нефти на экспорт» //Письмо Минтопэнерго РФ № АФ-5150 от 09.08.1993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порядке расчетов за электрическую и тепловую энергию» //</w:t>
      </w:r>
      <w:r>
        <w:rPr>
          <w:sz w:val="8"/>
        </w:rPr>
        <w:t xml:space="preserve"> </w:t>
      </w:r>
      <w:r>
        <w:rPr>
          <w:sz w:val="28"/>
        </w:rPr>
        <w:t>Инструкция Госкомцен РФ № 01-17/1443-11 и Минтопэнерго РФ ВК-7539 от 30.11.1993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«Об изменении порядка расчетов по возмещению разницы в тарифах за тепловую энергию, отпускаемую населению» //</w:t>
      </w:r>
      <w:r>
        <w:rPr>
          <w:sz w:val="8"/>
        </w:rPr>
        <w:t xml:space="preserve"> </w:t>
      </w:r>
      <w:r>
        <w:rPr>
          <w:sz w:val="28"/>
        </w:rPr>
        <w:t xml:space="preserve">Постановление правительства Москвы № 633 от 02.08.1994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 государственном регулировании тарифов на электрическую и тепловую энергию в Российской Федерации» //Федеральный закон № 41-ФЗ от 14.04.1995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мерах по упорядочению государственного регулирования цен на газ и сырье для его производства» //Постановление Правительства РФ № 332 от 15.04.1995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«Об утверждении Положения о Федеральной энергетической комиссии Российской Федерации» //Постановление Правительства РФ № 960 от 13.08.1996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 порядке расчета тарифов на электрическую и тепловую энергию» //Письмо Минэкономики РФ № 16-586 от 22.08.1996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«Об основах ценообразования и порядке государственного регулирования и применения тарифов на электрическую и тепловую энергию» //Постановление Правительства РФ № 121 от 04.02.1997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ставках акциза на нефть» //Письмо Госналогинспекции по              г. Москве</w:t>
      </w:r>
      <w:r>
        <w:rPr>
          <w:sz w:val="28"/>
          <w:lang w:val="en-US"/>
        </w:rPr>
        <w:t xml:space="preserve"> № 11-13/4611</w:t>
      </w:r>
      <w:r>
        <w:rPr>
          <w:sz w:val="28"/>
        </w:rPr>
        <w:t xml:space="preserve"> от 07.03.1997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«Об основных положениях структурной реформы в сферах естественных монополий» //Указ Президента РФ № 426 от 28.04.1997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«Тарифы на электроэнергию, отпускаемую акционерным обществам энергетики и электрификации   с   федерального   (общероссийского) оптового рынка электрической энергии и мощности (ФОРЭМ), вводимые с 01.10.1997 г. (Расчет с усреднением отпускных тарифов по энергозонам)» //Утв. ФЭК РФ, протокол № 106 от 12.09.1997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ставках акциза на нефть» //Письмо Госналогинспекции по        г. Москве</w:t>
      </w:r>
      <w:r>
        <w:rPr>
          <w:sz w:val="28"/>
          <w:lang w:val="en-US"/>
        </w:rPr>
        <w:t xml:space="preserve"> № 30-</w:t>
      </w:r>
      <w:r>
        <w:rPr>
          <w:sz w:val="28"/>
        </w:rPr>
        <w:t xml:space="preserve">14/1958 от 26.01.1998г.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«Об утверждении методики дифференциации ставок акциза на  нефть, включая газовый конденсат» //Постановление Правительства РФ № 165 от 02.02.1998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 внесении изменений и дополнений в Федеральный закон "Об акцизах"» //Федеральный закон № 29-ФЗ от 14.02.1998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«Об обеспечении доступа независимых организаций к газотранспортной системе Российского акционерного общества "Газпром"» //</w:t>
      </w:r>
      <w:r>
        <w:rPr>
          <w:sz w:val="8"/>
        </w:rPr>
        <w:t xml:space="preserve"> </w:t>
      </w:r>
      <w:r>
        <w:rPr>
          <w:sz w:val="28"/>
        </w:rPr>
        <w:t>Постановление Правительства РФ № 858 от     14.07.1997 г.</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«Об акцизах» //Федеральный закон № 1993-1 от 06.12.1991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 xml:space="preserve">«Об изменениях и дополнениях № 4 инструкции Госналогслужбы РФ от 11.10.1995 г. № 39 "О порядке исчисления и уплаты налога на добавленную стоимость"» //Письмо Госналогслужбы РФ № ВЗ-6-03/268 от 03.04.1997 г. </w:t>
      </w:r>
    </w:p>
    <w:p w:rsidR="00E10F50" w:rsidRDefault="00762802">
      <w:pPr>
        <w:pStyle w:val="10"/>
        <w:numPr>
          <w:ilvl w:val="0"/>
          <w:numId w:val="14"/>
        </w:numPr>
        <w:tabs>
          <w:tab w:val="clear" w:pos="360"/>
          <w:tab w:val="num" w:pos="567"/>
        </w:tabs>
        <w:spacing w:line="240" w:lineRule="auto"/>
        <w:ind w:left="567" w:hanging="567"/>
        <w:jc w:val="both"/>
        <w:rPr>
          <w:sz w:val="28"/>
        </w:rPr>
      </w:pPr>
      <w:r>
        <w:rPr>
          <w:sz w:val="28"/>
        </w:rPr>
        <w:t>«О порядке исчисления и уплаты налога на добавленную стоимость» //Инструкция Госналогслужбы РФ № 39 от 11.10.1995 г.</w:t>
      </w:r>
    </w:p>
    <w:p w:rsidR="00E10F50" w:rsidRDefault="00E10F50">
      <w:pPr>
        <w:pStyle w:val="FR1"/>
        <w:spacing w:before="0"/>
        <w:jc w:val="both"/>
      </w:pPr>
    </w:p>
    <w:p w:rsidR="00E10F50" w:rsidRDefault="00762802">
      <w:pPr>
        <w:pStyle w:val="FR1"/>
        <w:spacing w:before="0"/>
        <w:ind w:left="0" w:firstLine="567"/>
        <w:jc w:val="both"/>
        <w:rPr>
          <w:i/>
        </w:rPr>
      </w:pPr>
      <w:r>
        <w:rPr>
          <w:i/>
        </w:rPr>
        <w:t>Книжные издания</w:t>
      </w:r>
    </w:p>
    <w:p w:rsidR="00E10F50" w:rsidRDefault="00762802">
      <w:pPr>
        <w:pStyle w:val="10"/>
        <w:numPr>
          <w:ilvl w:val="0"/>
          <w:numId w:val="15"/>
        </w:numPr>
        <w:tabs>
          <w:tab w:val="clear" w:pos="360"/>
          <w:tab w:val="num" w:pos="567"/>
        </w:tabs>
        <w:spacing w:before="20" w:line="240" w:lineRule="auto"/>
        <w:ind w:left="567" w:hanging="567"/>
        <w:jc w:val="both"/>
        <w:rPr>
          <w:sz w:val="28"/>
        </w:rPr>
      </w:pPr>
      <w:r>
        <w:rPr>
          <w:sz w:val="28"/>
        </w:rPr>
        <w:t>Горина Г. А. Ценообразование //Москва, 1996 г.</w:t>
      </w:r>
    </w:p>
    <w:p w:rsidR="00E10F50" w:rsidRDefault="00E10F50">
      <w:pPr>
        <w:pStyle w:val="10"/>
        <w:tabs>
          <w:tab w:val="num" w:pos="567"/>
        </w:tabs>
        <w:spacing w:before="20" w:line="240" w:lineRule="auto"/>
        <w:ind w:left="567" w:hanging="567"/>
        <w:jc w:val="both"/>
        <w:rPr>
          <w:b/>
          <w:sz w:val="28"/>
        </w:rPr>
      </w:pPr>
    </w:p>
    <w:p w:rsidR="00E10F50" w:rsidRDefault="00762802">
      <w:pPr>
        <w:pStyle w:val="10"/>
        <w:tabs>
          <w:tab w:val="num" w:pos="0"/>
        </w:tabs>
        <w:spacing w:before="20" w:line="240" w:lineRule="auto"/>
        <w:ind w:left="0" w:firstLine="567"/>
        <w:jc w:val="both"/>
        <w:rPr>
          <w:b/>
          <w:i/>
          <w:sz w:val="28"/>
        </w:rPr>
      </w:pPr>
      <w:r>
        <w:rPr>
          <w:b/>
          <w:i/>
          <w:sz w:val="28"/>
        </w:rPr>
        <w:t>Периодические издания</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Байков Н. «Топливно-энергетический комплекс» //«МЭ и МО», №8, 1998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Делягин М. «Шанс изменить лицо российских реформ» //</w:t>
      </w:r>
      <w:r>
        <w:rPr>
          <w:sz w:val="8"/>
        </w:rPr>
        <w:t xml:space="preserve"> </w:t>
      </w:r>
      <w:r>
        <w:rPr>
          <w:sz w:val="28"/>
        </w:rPr>
        <w:t>«Литературная газета», №17(5698), 29.04.1998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Дроздова О.Н. «Об упорядочении тарифов и развитии конкуренции на рынке электрической энергии» //«Энергетик», №8, 1997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Кириллова Н. «Рынок топливно-энергетической продукции России» // «Внешняя торговля», №10 – 12, 1997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Кудинов Ю. «Соотношение российских и мировых цен на энергоносители» //«Экономист», №6, 1997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Кузовкин А. «Цены на энергоресурсы и инфляция» //«Экономист», №5, 1994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Родионов П. «Экономика и энергетика: взаимозависимость и проблемы роста» //«Вопросы экономики», №4, 1997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Торбин В. «Региональный аспект совершенствования цен на энергетический уголь» //«Экономист», №6, 1996 г.</w:t>
      </w:r>
    </w:p>
    <w:p w:rsidR="00E10F50" w:rsidRDefault="00762802">
      <w:pPr>
        <w:pStyle w:val="10"/>
        <w:numPr>
          <w:ilvl w:val="0"/>
          <w:numId w:val="13"/>
        </w:numPr>
        <w:tabs>
          <w:tab w:val="clear" w:pos="360"/>
          <w:tab w:val="num" w:pos="567"/>
        </w:tabs>
        <w:spacing w:line="240" w:lineRule="auto"/>
        <w:ind w:left="567" w:hanging="567"/>
        <w:jc w:val="both"/>
        <w:rPr>
          <w:sz w:val="28"/>
        </w:rPr>
      </w:pPr>
      <w:r>
        <w:rPr>
          <w:sz w:val="28"/>
        </w:rPr>
        <w:t>«О структурной реформе в электроэнергетике» //«Энергетик»,        №8, 1997 г.</w:t>
      </w:r>
    </w:p>
    <w:p w:rsidR="00E10F50" w:rsidRDefault="00E10F50">
      <w:pPr>
        <w:pStyle w:val="10"/>
        <w:tabs>
          <w:tab w:val="num" w:pos="567"/>
        </w:tabs>
        <w:spacing w:line="240" w:lineRule="auto"/>
        <w:ind w:left="567" w:hanging="567"/>
        <w:jc w:val="both"/>
        <w:rPr>
          <w:sz w:val="28"/>
        </w:rPr>
      </w:pPr>
    </w:p>
    <w:p w:rsidR="00E10F50" w:rsidRDefault="00762802">
      <w:pPr>
        <w:pStyle w:val="10"/>
        <w:spacing w:line="240" w:lineRule="auto"/>
        <w:ind w:left="0" w:right="200" w:firstLine="0"/>
        <w:jc w:val="center"/>
        <w:rPr>
          <w:b/>
          <w:sz w:val="28"/>
        </w:rPr>
      </w:pPr>
      <w:r>
        <w:rPr>
          <w:lang w:val="en-US"/>
        </w:rPr>
        <w:br w:type="page"/>
      </w:r>
      <w:r>
        <w:rPr>
          <w:b/>
          <w:sz w:val="28"/>
        </w:rPr>
        <w:t xml:space="preserve">Для примечаний </w:t>
      </w:r>
    </w:p>
    <w:p w:rsidR="00E10F50" w:rsidRDefault="00E10F50">
      <w:pPr>
        <w:pStyle w:val="FR1"/>
        <w:spacing w:before="0"/>
        <w:ind w:left="0"/>
        <w:jc w:val="center"/>
      </w:pPr>
      <w:bookmarkStart w:id="0" w:name="_GoBack"/>
      <w:bookmarkEnd w:id="0"/>
    </w:p>
    <w:sectPr w:rsidR="00E10F50">
      <w:headerReference w:type="even" r:id="rId7"/>
      <w:headerReference w:type="default" r:id="rId8"/>
      <w:type w:val="oddPage"/>
      <w:pgSz w:w="11906" w:h="16838"/>
      <w:pgMar w:top="1418"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50" w:rsidRDefault="00762802">
      <w:r>
        <w:separator/>
      </w:r>
    </w:p>
  </w:endnote>
  <w:endnote w:type="continuationSeparator" w:id="0">
    <w:p w:rsidR="00E10F50" w:rsidRDefault="0076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50" w:rsidRDefault="00762802">
      <w:r>
        <w:separator/>
      </w:r>
    </w:p>
  </w:footnote>
  <w:footnote w:type="continuationSeparator" w:id="0">
    <w:p w:rsidR="00E10F50" w:rsidRDefault="00762802">
      <w:r>
        <w:continuationSeparator/>
      </w:r>
    </w:p>
  </w:footnote>
  <w:footnote w:id="1">
    <w:p w:rsidR="00E10F50" w:rsidRDefault="00762802">
      <w:pPr>
        <w:pStyle w:val="a7"/>
      </w:pPr>
      <w:r>
        <w:rPr>
          <w:rStyle w:val="a8"/>
        </w:rPr>
        <w:footnoteRef/>
      </w:r>
      <w:r>
        <w:t xml:space="preserve"> «Об основах ценообразования и порядке государственного регулирования и применения тарифов на электрическую и тепловую энергию» //Постановление Правительства РФ № 121 от 04.02.97г. «Основные положения структурной реформы в сферах естественных монополий» //Указ № 426 от 28.04.97г.</w:t>
      </w:r>
    </w:p>
  </w:footnote>
  <w:footnote w:id="2">
    <w:p w:rsidR="00E10F50" w:rsidRDefault="00762802">
      <w:pPr>
        <w:pStyle w:val="a7"/>
      </w:pPr>
      <w:r>
        <w:rPr>
          <w:rStyle w:val="a8"/>
        </w:rPr>
        <w:footnoteRef/>
      </w:r>
      <w:r>
        <w:t xml:space="preserve"> Например, ставки акциза на нефть различных месторождений: ОАО «Роснефть-Пурнефтегаз» –57,042 руб./т, ОА «Татнефть» – 65,340 руб./т, АО «Ухтанефть» - 0,7 руб./т.</w:t>
      </w:r>
    </w:p>
  </w:footnote>
  <w:footnote w:id="3">
    <w:p w:rsidR="00E10F50" w:rsidRDefault="00762802">
      <w:pPr>
        <w:pStyle w:val="10"/>
        <w:spacing w:before="200" w:line="240" w:lineRule="auto"/>
        <w:ind w:left="40"/>
        <w:rPr>
          <w:sz w:val="28"/>
        </w:rPr>
      </w:pPr>
      <w:r>
        <w:rPr>
          <w:rStyle w:val="a8"/>
        </w:rPr>
        <w:footnoteRef/>
      </w:r>
      <w:r>
        <w:t xml:space="preserve"> «</w:t>
      </w:r>
      <w:r>
        <w:rPr>
          <w:sz w:val="20"/>
        </w:rPr>
        <w:t>О федеральном (общероссийском) оптовом рынке электрической энергии (мощности)» //Постановление Правительства РФ № 793 от 12.07.96.</w:t>
      </w:r>
    </w:p>
    <w:p w:rsidR="00E10F50" w:rsidRDefault="00E10F50">
      <w:pPr>
        <w:pStyle w:val="a7"/>
      </w:pPr>
    </w:p>
  </w:footnote>
  <w:footnote w:id="4">
    <w:p w:rsidR="00E10F50" w:rsidRDefault="00762802">
      <w:pPr>
        <w:pStyle w:val="a7"/>
      </w:pPr>
      <w:r>
        <w:rPr>
          <w:rStyle w:val="a8"/>
        </w:rPr>
        <w:footnoteRef/>
      </w:r>
      <w:r>
        <w:t xml:space="preserve"> За период 1991 – 1996 годов</w:t>
      </w:r>
      <w:r>
        <w:tab/>
      </w:r>
    </w:p>
  </w:footnote>
  <w:footnote w:id="5">
    <w:p w:rsidR="00E10F50" w:rsidRDefault="00762802">
      <w:pPr>
        <w:pStyle w:val="a7"/>
      </w:pPr>
      <w:r>
        <w:rPr>
          <w:rStyle w:val="a8"/>
        </w:rPr>
        <w:footnoteRef/>
      </w:r>
      <w:r>
        <w:t xml:space="preserve"> В 1996 году – 75,1%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F50" w:rsidRDefault="007628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10F50" w:rsidRDefault="00E10F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F50" w:rsidRDefault="00762802">
    <w:pPr>
      <w:pStyle w:val="a4"/>
      <w:framePr w:wrap="around" w:vAnchor="text" w:hAnchor="margin" w:xAlign="center" w:y="1"/>
      <w:rPr>
        <w:rStyle w:val="a5"/>
        <w:color w:val="000000"/>
      </w:rPr>
    </w:pPr>
    <w:r>
      <w:rPr>
        <w:rStyle w:val="a5"/>
        <w:color w:val="000000"/>
      </w:rPr>
      <w:fldChar w:fldCharType="begin"/>
    </w:r>
    <w:r>
      <w:rPr>
        <w:rStyle w:val="a5"/>
        <w:color w:val="000000"/>
      </w:rPr>
      <w:instrText xml:space="preserve">PAGE  </w:instrText>
    </w:r>
    <w:r>
      <w:rPr>
        <w:rStyle w:val="a5"/>
        <w:color w:val="000000"/>
      </w:rPr>
      <w:fldChar w:fldCharType="separate"/>
    </w:r>
    <w:r>
      <w:rPr>
        <w:rStyle w:val="a5"/>
        <w:noProof/>
        <w:color w:val="000000"/>
      </w:rPr>
      <w:t>1</w:t>
    </w:r>
    <w:r>
      <w:rPr>
        <w:rStyle w:val="a5"/>
        <w:color w:val="000000"/>
      </w:rPr>
      <w:fldChar w:fldCharType="end"/>
    </w:r>
  </w:p>
  <w:p w:rsidR="00E10F50" w:rsidRDefault="00E10F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62C"/>
    <w:multiLevelType w:val="singleLevel"/>
    <w:tmpl w:val="0419000F"/>
    <w:lvl w:ilvl="0">
      <w:start w:val="1"/>
      <w:numFmt w:val="decimal"/>
      <w:lvlText w:val="%1."/>
      <w:lvlJc w:val="left"/>
      <w:pPr>
        <w:tabs>
          <w:tab w:val="num" w:pos="360"/>
        </w:tabs>
        <w:ind w:left="360" w:hanging="360"/>
      </w:pPr>
    </w:lvl>
  </w:abstractNum>
  <w:abstractNum w:abstractNumId="1">
    <w:nsid w:val="079805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E2F50B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E6E46F8"/>
    <w:multiLevelType w:val="singleLevel"/>
    <w:tmpl w:val="0C09000F"/>
    <w:lvl w:ilvl="0">
      <w:start w:val="1"/>
      <w:numFmt w:val="decimal"/>
      <w:lvlText w:val="%1."/>
      <w:lvlJc w:val="left"/>
      <w:pPr>
        <w:tabs>
          <w:tab w:val="num" w:pos="360"/>
        </w:tabs>
        <w:ind w:left="360" w:hanging="360"/>
      </w:pPr>
    </w:lvl>
  </w:abstractNum>
  <w:abstractNum w:abstractNumId="4">
    <w:nsid w:val="0FC77F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06236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1924F2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1EB0C4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15146590"/>
    <w:multiLevelType w:val="singleLevel"/>
    <w:tmpl w:val="0419000F"/>
    <w:lvl w:ilvl="0">
      <w:start w:val="1"/>
      <w:numFmt w:val="decimal"/>
      <w:lvlText w:val="%1."/>
      <w:lvlJc w:val="left"/>
      <w:pPr>
        <w:tabs>
          <w:tab w:val="num" w:pos="360"/>
        </w:tabs>
        <w:ind w:left="360" w:hanging="360"/>
      </w:pPr>
    </w:lvl>
  </w:abstractNum>
  <w:abstractNum w:abstractNumId="9">
    <w:nsid w:val="17901B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1C0E68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D7B239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1F61005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28C1BD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5810E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FAC13D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31152AA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33284C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3FE543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3B893293"/>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0">
    <w:nsid w:val="3CF8489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3F6703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FBB39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09B31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283561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5">
    <w:nsid w:val="439F64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4C738E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46BE32E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4B000492"/>
    <w:multiLevelType w:val="singleLevel"/>
    <w:tmpl w:val="0419000F"/>
    <w:lvl w:ilvl="0">
      <w:start w:val="1"/>
      <w:numFmt w:val="decimal"/>
      <w:lvlText w:val="%1."/>
      <w:lvlJc w:val="left"/>
      <w:pPr>
        <w:tabs>
          <w:tab w:val="num" w:pos="360"/>
        </w:tabs>
        <w:ind w:left="360" w:hanging="360"/>
      </w:pPr>
    </w:lvl>
  </w:abstractNum>
  <w:abstractNum w:abstractNumId="29">
    <w:nsid w:val="4E0840A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4F3748A5"/>
    <w:multiLevelType w:val="singleLevel"/>
    <w:tmpl w:val="039CF3B2"/>
    <w:lvl w:ilvl="0">
      <w:start w:val="1"/>
      <w:numFmt w:val="bullet"/>
      <w:lvlText w:val=""/>
      <w:lvlJc w:val="left"/>
      <w:pPr>
        <w:tabs>
          <w:tab w:val="num" w:pos="360"/>
        </w:tabs>
        <w:ind w:left="360" w:hanging="360"/>
      </w:pPr>
      <w:rPr>
        <w:rFonts w:ascii="Symbol" w:hAnsi="Symbol" w:hint="default"/>
      </w:rPr>
    </w:lvl>
  </w:abstractNum>
  <w:abstractNum w:abstractNumId="31">
    <w:nsid w:val="4FF76A17"/>
    <w:multiLevelType w:val="singleLevel"/>
    <w:tmpl w:val="04190017"/>
    <w:lvl w:ilvl="0">
      <w:start w:val="1"/>
      <w:numFmt w:val="lowerLetter"/>
      <w:lvlText w:val="%1)"/>
      <w:lvlJc w:val="left"/>
      <w:pPr>
        <w:tabs>
          <w:tab w:val="num" w:pos="360"/>
        </w:tabs>
        <w:ind w:left="360" w:hanging="360"/>
      </w:pPr>
    </w:lvl>
  </w:abstractNum>
  <w:abstractNum w:abstractNumId="32">
    <w:nsid w:val="553355B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nsid w:val="604910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47C2E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FB0B12"/>
    <w:multiLevelType w:val="singleLevel"/>
    <w:tmpl w:val="0419000F"/>
    <w:lvl w:ilvl="0">
      <w:start w:val="1"/>
      <w:numFmt w:val="decimal"/>
      <w:lvlText w:val="%1."/>
      <w:lvlJc w:val="left"/>
      <w:pPr>
        <w:tabs>
          <w:tab w:val="num" w:pos="360"/>
        </w:tabs>
        <w:ind w:left="360" w:hanging="360"/>
      </w:pPr>
    </w:lvl>
  </w:abstractNum>
  <w:abstractNum w:abstractNumId="36">
    <w:nsid w:val="6E224A9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6EA33163"/>
    <w:multiLevelType w:val="singleLevel"/>
    <w:tmpl w:val="0419000F"/>
    <w:lvl w:ilvl="0">
      <w:start w:val="1"/>
      <w:numFmt w:val="decimal"/>
      <w:lvlText w:val="%1."/>
      <w:lvlJc w:val="left"/>
      <w:pPr>
        <w:tabs>
          <w:tab w:val="num" w:pos="360"/>
        </w:tabs>
        <w:ind w:left="360" w:hanging="360"/>
      </w:pPr>
    </w:lvl>
  </w:abstractNum>
  <w:abstractNum w:abstractNumId="38">
    <w:nsid w:val="6F64245C"/>
    <w:multiLevelType w:val="singleLevel"/>
    <w:tmpl w:val="039CF3B2"/>
    <w:lvl w:ilvl="0">
      <w:start w:val="1"/>
      <w:numFmt w:val="bullet"/>
      <w:lvlText w:val=""/>
      <w:lvlJc w:val="left"/>
      <w:pPr>
        <w:tabs>
          <w:tab w:val="num" w:pos="360"/>
        </w:tabs>
        <w:ind w:left="360" w:hanging="360"/>
      </w:pPr>
      <w:rPr>
        <w:rFonts w:ascii="Symbol" w:hAnsi="Symbol" w:hint="default"/>
      </w:rPr>
    </w:lvl>
  </w:abstractNum>
  <w:abstractNum w:abstractNumId="39">
    <w:nsid w:val="74901A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5326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nsid w:val="75964000"/>
    <w:multiLevelType w:val="singleLevel"/>
    <w:tmpl w:val="0C09000F"/>
    <w:lvl w:ilvl="0">
      <w:start w:val="1"/>
      <w:numFmt w:val="decimal"/>
      <w:lvlText w:val="%1."/>
      <w:lvlJc w:val="left"/>
      <w:pPr>
        <w:tabs>
          <w:tab w:val="num" w:pos="360"/>
        </w:tabs>
        <w:ind w:left="360" w:hanging="360"/>
      </w:pPr>
    </w:lvl>
  </w:abstractNum>
  <w:abstractNum w:abstractNumId="42">
    <w:nsid w:val="77CF1D6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97300C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4">
    <w:nsid w:val="7E10746C"/>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41"/>
  </w:num>
  <w:num w:numId="3">
    <w:abstractNumId w:val="1"/>
  </w:num>
  <w:num w:numId="4">
    <w:abstractNumId w:val="14"/>
  </w:num>
  <w:num w:numId="5">
    <w:abstractNumId w:val="21"/>
  </w:num>
  <w:num w:numId="6">
    <w:abstractNumId w:val="5"/>
  </w:num>
  <w:num w:numId="7">
    <w:abstractNumId w:val="40"/>
  </w:num>
  <w:num w:numId="8">
    <w:abstractNumId w:val="43"/>
  </w:num>
  <w:num w:numId="9">
    <w:abstractNumId w:val="19"/>
  </w:num>
  <w:num w:numId="10">
    <w:abstractNumId w:val="30"/>
  </w:num>
  <w:num w:numId="11">
    <w:abstractNumId w:val="38"/>
  </w:num>
  <w:num w:numId="12">
    <w:abstractNumId w:val="3"/>
  </w:num>
  <w:num w:numId="13">
    <w:abstractNumId w:val="37"/>
  </w:num>
  <w:num w:numId="14">
    <w:abstractNumId w:val="35"/>
  </w:num>
  <w:num w:numId="15">
    <w:abstractNumId w:val="28"/>
  </w:num>
  <w:num w:numId="16">
    <w:abstractNumId w:val="0"/>
  </w:num>
  <w:num w:numId="17">
    <w:abstractNumId w:val="39"/>
  </w:num>
  <w:num w:numId="18">
    <w:abstractNumId w:val="4"/>
  </w:num>
  <w:num w:numId="19">
    <w:abstractNumId w:val="44"/>
  </w:num>
  <w:num w:numId="20">
    <w:abstractNumId w:val="6"/>
  </w:num>
  <w:num w:numId="21">
    <w:abstractNumId w:val="10"/>
  </w:num>
  <w:num w:numId="22">
    <w:abstractNumId w:val="13"/>
  </w:num>
  <w:num w:numId="23">
    <w:abstractNumId w:val="42"/>
  </w:num>
  <w:num w:numId="24">
    <w:abstractNumId w:val="29"/>
  </w:num>
  <w:num w:numId="25">
    <w:abstractNumId w:val="31"/>
  </w:num>
  <w:num w:numId="26">
    <w:abstractNumId w:val="24"/>
  </w:num>
  <w:num w:numId="27">
    <w:abstractNumId w:val="7"/>
  </w:num>
  <w:num w:numId="28">
    <w:abstractNumId w:val="27"/>
  </w:num>
  <w:num w:numId="29">
    <w:abstractNumId w:val="18"/>
  </w:num>
  <w:num w:numId="30">
    <w:abstractNumId w:val="20"/>
  </w:num>
  <w:num w:numId="31">
    <w:abstractNumId w:val="16"/>
  </w:num>
  <w:num w:numId="32">
    <w:abstractNumId w:val="11"/>
  </w:num>
  <w:num w:numId="33">
    <w:abstractNumId w:val="15"/>
  </w:num>
  <w:num w:numId="34">
    <w:abstractNumId w:val="32"/>
  </w:num>
  <w:num w:numId="35">
    <w:abstractNumId w:val="26"/>
  </w:num>
  <w:num w:numId="36">
    <w:abstractNumId w:val="9"/>
  </w:num>
  <w:num w:numId="37">
    <w:abstractNumId w:val="17"/>
  </w:num>
  <w:num w:numId="38">
    <w:abstractNumId w:val="12"/>
  </w:num>
  <w:num w:numId="39">
    <w:abstractNumId w:val="36"/>
  </w:num>
  <w:num w:numId="40">
    <w:abstractNumId w:val="25"/>
  </w:num>
  <w:num w:numId="41">
    <w:abstractNumId w:val="34"/>
  </w:num>
  <w:num w:numId="42">
    <w:abstractNumId w:val="33"/>
  </w:num>
  <w:num w:numId="43">
    <w:abstractNumId w:val="23"/>
  </w:num>
  <w:num w:numId="44">
    <w:abstractNumId w:val="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802"/>
    <w:rsid w:val="00762802"/>
    <w:rsid w:val="007D436C"/>
    <w:rsid w:val="00E1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ff9"/>
    </o:shapedefaults>
    <o:shapelayout v:ext="edit">
      <o:idmap v:ext="edit" data="1"/>
    </o:shapelayout>
  </w:shapeDefaults>
  <w:decimalSymbol w:val=","/>
  <w:listSeparator w:val=";"/>
  <w15:chartTrackingRefBased/>
  <w15:docId w15:val="{99A61034-931E-4982-BDF6-4254C0D5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center"/>
      <w:outlineLvl w:val="0"/>
    </w:pPr>
    <w:rPr>
      <w:b/>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caps/>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ind w:right="-710"/>
      <w:jc w:val="right"/>
      <w:outlineLvl w:val="4"/>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09"/>
      <w:jc w:val="both"/>
    </w:pPr>
    <w:rPr>
      <w:sz w:val="28"/>
    </w:rPr>
  </w:style>
  <w:style w:type="paragraph" w:styleId="a7">
    <w:name w:val="footnote text"/>
    <w:basedOn w:val="a"/>
    <w:semiHidden/>
  </w:style>
  <w:style w:type="character" w:styleId="a8">
    <w:name w:val="footnote reference"/>
    <w:basedOn w:val="a0"/>
    <w:semiHidden/>
    <w:rPr>
      <w:vertAlign w:val="superscript"/>
    </w:rPr>
  </w:style>
  <w:style w:type="paragraph" w:styleId="20">
    <w:name w:val="Body Text Indent 2"/>
    <w:basedOn w:val="a"/>
    <w:semiHidden/>
    <w:pPr>
      <w:ind w:firstLine="1080"/>
      <w:jc w:val="both"/>
    </w:pPr>
    <w:rPr>
      <w:sz w:val="28"/>
    </w:rPr>
  </w:style>
  <w:style w:type="paragraph" w:styleId="a9">
    <w:name w:val="endnote text"/>
    <w:basedOn w:val="a"/>
    <w:semiHidden/>
  </w:style>
  <w:style w:type="character" w:styleId="aa">
    <w:name w:val="endnote reference"/>
    <w:basedOn w:val="a0"/>
    <w:semiHidden/>
    <w:rPr>
      <w:vertAlign w:val="superscript"/>
    </w:rPr>
  </w:style>
  <w:style w:type="paragraph" w:customStyle="1" w:styleId="10">
    <w:name w:val="Звичайний1"/>
    <w:pPr>
      <w:widowControl w:val="0"/>
      <w:spacing w:line="300" w:lineRule="auto"/>
      <w:ind w:left="200" w:firstLine="260"/>
    </w:pPr>
    <w:rPr>
      <w:snapToGrid w:val="0"/>
      <w:sz w:val="22"/>
    </w:rPr>
  </w:style>
  <w:style w:type="paragraph" w:customStyle="1" w:styleId="FR1">
    <w:name w:val="FR1"/>
    <w:pPr>
      <w:widowControl w:val="0"/>
      <w:spacing w:before="320"/>
      <w:ind w:left="480"/>
    </w:pPr>
    <w:rPr>
      <w:b/>
      <w:snapToGrid w:val="0"/>
      <w:sz w:val="28"/>
    </w:rPr>
  </w:style>
  <w:style w:type="paragraph" w:styleId="ab">
    <w:name w:val="footer"/>
    <w:basedOn w:val="a"/>
    <w:semiHidden/>
    <w:pPr>
      <w:tabs>
        <w:tab w:val="center" w:pos="4153"/>
        <w:tab w:val="right" w:pos="8306"/>
      </w:tabs>
    </w:pPr>
  </w:style>
  <w:style w:type="character" w:styleId="ac">
    <w:name w:val="annotation reference"/>
    <w:basedOn w:val="a0"/>
    <w:semiHidden/>
    <w:rPr>
      <w:sz w:val="16"/>
    </w:rPr>
  </w:style>
  <w:style w:type="paragraph" w:styleId="ad">
    <w:name w:val="annotation text"/>
    <w:basedOn w:val="a"/>
    <w:semiHidden/>
  </w:style>
  <w:style w:type="paragraph" w:styleId="ae">
    <w:name w:val="Document Map"/>
    <w:basedOn w:val="a"/>
    <w:semiHidden/>
    <w:pPr>
      <w:shd w:val="clear" w:color="auto" w:fill="000080"/>
    </w:pPr>
    <w:rPr>
      <w:rFonts w:ascii="Tahoma" w:hAnsi="Tahoma"/>
    </w:rPr>
  </w:style>
  <w:style w:type="paragraph" w:styleId="af">
    <w:name w:val="Body Text"/>
    <w:basedOn w:val="a"/>
    <w:semiHidden/>
    <w:pPr>
      <w:jc w:val="right"/>
    </w:pPr>
    <w:rPr>
      <w:i/>
      <w:sz w:val="24"/>
    </w:rPr>
  </w:style>
  <w:style w:type="paragraph" w:styleId="21">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7827</Words>
  <Characters>44616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Watson &amp; Co</Company>
  <LinksUpToDate>false</LinksUpToDate>
  <CharactersWithSpaces>52339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Скачко Ю. А.</dc:creator>
  <cp:keywords/>
  <cp:lastModifiedBy>Irina</cp:lastModifiedBy>
  <cp:revision>2</cp:revision>
  <cp:lastPrinted>1999-05-23T22:00:00Z</cp:lastPrinted>
  <dcterms:created xsi:type="dcterms:W3CDTF">2014-11-11T14:59:00Z</dcterms:created>
  <dcterms:modified xsi:type="dcterms:W3CDTF">2014-11-11T14:59:00Z</dcterms:modified>
</cp:coreProperties>
</file>