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B44" w:rsidRDefault="00CC1B44">
      <w:pPr>
        <w:spacing w:line="360" w:lineRule="auto"/>
        <w:ind w:left="-180" w:right="1321"/>
        <w:jc w:val="center"/>
        <w:rPr>
          <w:rFonts w:ascii="Times New Roman" w:hAnsi="Times New Roman"/>
          <w:sz w:val="26"/>
        </w:rPr>
      </w:pPr>
      <w:r>
        <w:rPr>
          <w:rFonts w:ascii="Times New Roman" w:hAnsi="Times New Roman"/>
          <w:sz w:val="26"/>
        </w:rPr>
        <w:t xml:space="preserve">               ВВЕДЕНИЕ</w:t>
      </w:r>
    </w:p>
    <w:p w:rsidR="00CC1B44" w:rsidRDefault="00CC1B44">
      <w:pPr>
        <w:spacing w:line="360" w:lineRule="auto"/>
        <w:ind w:left="86" w:right="-720" w:firstLine="544"/>
        <w:jc w:val="both"/>
        <w:rPr>
          <w:rFonts w:ascii="Times New Roman" w:hAnsi="Times New Roman"/>
          <w:sz w:val="28"/>
        </w:rPr>
      </w:pPr>
      <w:r>
        <w:rPr>
          <w:rFonts w:ascii="Times New Roman" w:hAnsi="Times New Roman"/>
          <w:sz w:val="28"/>
        </w:rPr>
        <w:t xml:space="preserve">Основой развития и надежного, устойчивого функционирования банковской системы является формирования гибкого механизма денежно - кредитного регулирования экономики, позволяющего государству эффективно воздействовать на хозяйственную активность, контролировать деятельность банковских институтов, добиваться стабилизации денежного обращения. </w:t>
      </w:r>
    </w:p>
    <w:p w:rsidR="00CC1B44" w:rsidRDefault="00CC1B44">
      <w:pPr>
        <w:spacing w:line="360" w:lineRule="auto"/>
        <w:ind w:left="86" w:right="-720" w:firstLine="634"/>
        <w:jc w:val="both"/>
        <w:rPr>
          <w:rFonts w:ascii="Times New Roman" w:hAnsi="Times New Roman"/>
          <w:sz w:val="26"/>
        </w:rPr>
      </w:pPr>
      <w:r>
        <w:rPr>
          <w:rFonts w:ascii="Times New Roman" w:hAnsi="Times New Roman"/>
          <w:sz w:val="28"/>
        </w:rPr>
        <w:t>Наделенный государством эмиссионным правом Центральный банк является проводником общегосударственной политики стабилизации экономики, товарно-денежной сбалансированности. Переход к рыночной экономике предполагает повышение эффективности и оперативности осуществления кредитной политики на макроуровне.</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В своей курсовой работе я опишу  основные направления кредитной политики государства: роль и функции Центрального банка, его отношения с коммерческими банками, операции государства на открытом рынке, учетную и резервную политику, а также особенности современного кредитного рынка и направления кредитно-денежной политики Центрального банка на следующий год.</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Денежно-кредитная политика на макроуровне представляет собой целенаправленную деятельность Центрального банка(при содействии Министерства экономики и финансов и при необходимости иных центральных ведомств) по выполнению общегосударственных задач. Основным объектом денежно-кредитного регулирования выступает совокупная наличная и безналичная денежная масса в экономике. Конечная цель данного регулирования со стороны Центрального банка заключается в обеспечении товарно-денежной сбалансированности в хозяйстве, стимулировании экономического роста, достижении стабильности национальной валюты, урегулировании госдолга.</w:t>
      </w:r>
    </w:p>
    <w:p w:rsidR="00CC1B44" w:rsidRDefault="00CC1B44">
      <w:pPr>
        <w:spacing w:line="360" w:lineRule="auto"/>
        <w:ind w:left="1260" w:right="-720" w:hanging="540"/>
        <w:jc w:val="both"/>
        <w:rPr>
          <w:rFonts w:ascii="Times New Roman" w:hAnsi="Times New Roman"/>
          <w:sz w:val="26"/>
        </w:rPr>
      </w:pPr>
      <w:r>
        <w:rPr>
          <w:rFonts w:ascii="Times New Roman" w:hAnsi="Times New Roman"/>
          <w:sz w:val="28"/>
        </w:rPr>
        <w:t>1</w:t>
      </w:r>
      <w:r>
        <w:rPr>
          <w:rFonts w:ascii="Times New Roman" w:hAnsi="Times New Roman"/>
          <w:sz w:val="26"/>
        </w:rPr>
        <w:t>. ЦЕНТРАЛЬНЫЙ БАНК - ПРОВОДНИК КРЕДИТНОЙ                                 ПОЛИТИКИ ГОСУДАРСТВА.</w:t>
      </w:r>
    </w:p>
    <w:p w:rsidR="00CC1B44" w:rsidRDefault="00CC1B44">
      <w:pPr>
        <w:spacing w:line="360" w:lineRule="auto"/>
        <w:ind w:left="720" w:right="-720"/>
        <w:jc w:val="both"/>
        <w:rPr>
          <w:rFonts w:ascii="Times New Roman" w:hAnsi="Times New Roman"/>
          <w:sz w:val="28"/>
        </w:rPr>
      </w:pPr>
      <w:r>
        <w:rPr>
          <w:rFonts w:ascii="Times New Roman" w:hAnsi="Times New Roman"/>
          <w:sz w:val="28"/>
        </w:rPr>
        <w:t>1.1. Центральный банк - центр кредитной системы.</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Возникновение центральных банков исторически связано с централизацией банкнотной эмиссии в руках немногих наиболее надежных, пользовавшихся всеобщим доверием коммерческих банков, чьи банкноты могли успешно выполнять функцию всеобщего кредитного орудия обращения. Такие банки стали называть</w:t>
      </w:r>
      <w:r>
        <w:rPr>
          <w:rFonts w:ascii="Times New Roman" w:hAnsi="Times New Roman"/>
          <w:sz w:val="26"/>
        </w:rPr>
        <w:t xml:space="preserve"> </w:t>
      </w:r>
      <w:r>
        <w:rPr>
          <w:rFonts w:ascii="Times New Roman" w:hAnsi="Times New Roman"/>
          <w:sz w:val="28"/>
        </w:rPr>
        <w:t>эмиссионными. Государство, издавая соответствующие законы, активно способствовало этому процессу, поскольку выпускавшиеся для выдачи ссуд многочисленными мелкими банками банкноты лишались способности к обращению в случае  банкротства эмитентов.</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В конце XIX-начале XX в. в большинстве стран эмиссия всех банкнот была сосредоточена в одном эмиссионном банке, который стал называться центральным эмиссионным, а затем просто центральным банком. Эмиссионный банк располагает такими крупными средствами, какими не может располагать ни один из других банков, т.к. его пассивы- это средства бюджета и наличные деньги в обращении. Эмиссионный банк становится центром по организации банковского дела в стране, вокруг которого группируются все прочие банки и иные кредитные учреждения. Центральный банк служит осью , центром кредитной системы. Государство осуществляет через центральный банк регулирование кредитной системы, то есть совокупность мероприятий, направленных на заданное изменение составляющих рынка ссудных капиталов или отдельных его элементов. Кредитное регулирование экономики - это совокупность мероприятий , осуществляемых государством через денежно-кредитную систему и направленных на стабилизацию экономического развития страны на макроуровне.</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Основными правовыми формами организации деятельности центрального банка в современных условиях являются:</w:t>
      </w:r>
    </w:p>
    <w:p w:rsidR="00CC1B44" w:rsidRDefault="00CC1B44">
      <w:pPr>
        <w:numPr>
          <w:ilvl w:val="0"/>
          <w:numId w:val="1"/>
        </w:numPr>
        <w:spacing w:line="360" w:lineRule="auto"/>
        <w:ind w:right="-720"/>
        <w:jc w:val="both"/>
        <w:rPr>
          <w:rFonts w:ascii="Times New Roman" w:hAnsi="Times New Roman"/>
          <w:sz w:val="28"/>
        </w:rPr>
      </w:pPr>
      <w:r>
        <w:rPr>
          <w:rFonts w:ascii="Times New Roman" w:hAnsi="Times New Roman"/>
          <w:sz w:val="28"/>
        </w:rPr>
        <w:t>унитарный центральный банк со 100%-м участием государства в формировании его капитала (Россия);</w:t>
      </w:r>
    </w:p>
    <w:p w:rsidR="00CC1B44" w:rsidRDefault="00CC1B44">
      <w:pPr>
        <w:numPr>
          <w:ilvl w:val="0"/>
          <w:numId w:val="1"/>
        </w:numPr>
        <w:spacing w:line="360" w:lineRule="auto"/>
        <w:ind w:right="-720"/>
        <w:jc w:val="both"/>
        <w:rPr>
          <w:rFonts w:ascii="Times New Roman" w:hAnsi="Times New Roman"/>
          <w:sz w:val="28"/>
        </w:rPr>
      </w:pPr>
      <w:r>
        <w:rPr>
          <w:rFonts w:ascii="Times New Roman" w:hAnsi="Times New Roman"/>
          <w:sz w:val="28"/>
        </w:rPr>
        <w:t>акционерное общество, часть акций которого принадлежит государству (или без участия государства);</w:t>
      </w:r>
    </w:p>
    <w:p w:rsidR="00CC1B44" w:rsidRDefault="00CC1B44">
      <w:pPr>
        <w:numPr>
          <w:ilvl w:val="0"/>
          <w:numId w:val="1"/>
        </w:numPr>
        <w:spacing w:line="360" w:lineRule="auto"/>
        <w:ind w:right="-720"/>
        <w:jc w:val="both"/>
        <w:rPr>
          <w:rFonts w:ascii="Times New Roman" w:hAnsi="Times New Roman"/>
          <w:sz w:val="28"/>
        </w:rPr>
      </w:pPr>
      <w:r>
        <w:rPr>
          <w:rFonts w:ascii="Times New Roman" w:hAnsi="Times New Roman"/>
          <w:sz w:val="28"/>
        </w:rPr>
        <w:t>объединение ассоциативного типа (с участием или без участия государственных структур);</w:t>
      </w:r>
    </w:p>
    <w:p w:rsidR="00CC1B44" w:rsidRDefault="00CC1B44">
      <w:pPr>
        <w:numPr>
          <w:ilvl w:val="0"/>
          <w:numId w:val="1"/>
        </w:numPr>
        <w:spacing w:line="360" w:lineRule="auto"/>
        <w:ind w:right="-720"/>
        <w:jc w:val="both"/>
        <w:rPr>
          <w:rFonts w:ascii="Times New Roman" w:hAnsi="Times New Roman"/>
          <w:sz w:val="28"/>
        </w:rPr>
      </w:pPr>
      <w:r>
        <w:rPr>
          <w:rFonts w:ascii="Times New Roman" w:hAnsi="Times New Roman"/>
          <w:sz w:val="28"/>
        </w:rPr>
        <w:t>система независимых банков, в совокупности выполняющих функции центрального банка.</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1.2 Банк и государственный орган.</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Но независимо от того, принадлежит или нет капитал центрального банка государству, исторически между банком и правительством сложились   тесные связи, особенно усилившиеся на современном этапе. Правительство заинтересовано в надежности центрального банка в силу особой роли последнего в кредитной системе страны, в проведении экономической политики правительства.</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Однако тесные связи с государством не означают, что оно может безгранично влиять на политику центрального банка. Независимо от принадлежности капитала центральный банк является юридически самостоятельным. Чаще всего он подотчетен либо законодательному органу, либо специальной банковской комиссии, образованной парламентом. Управляющий банка, которого могут назначать парламент, президент, правительство, монарх, не входит в состав правительства. Существенная степень независимости центрального банка является необходимым условием эффективности его деятельности, которая нередко вступает в противоречие с краткосрочными целями правительства, озабоченного, скажем, приближением очередных выборов. Это особенно важно в плане ограничения возможностей правительства использовать ресурсы центрального банка для покрытия бюджетного дефицита.</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 xml:space="preserve">В то же время независимость центрального банка от правительства имеет относительный характер в том смысле, что экономическая политика не может быть успешной без четкого согласования и тесной увязки ее основных элементов: денежно-кредитной и финансовой политики. В долгосрочном плане политика центрального банка прямо определяется приоритетами макроэкономического курса правительства. В конечном счете любой центральный банк в той или иной степени сочетает  черты банка и государственного органа. </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1.3. Функции Центрального банка.</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Традиционно центральный банк выполняет четыре основные функции: осуществляет монопольную эмиссию банкнот, является банком банков, банкиром правительства, проводит денежно-кредитное регулирование и банковский надзор.</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Рассмотрим подробнее функции центральный банка.</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Итак, первая функция - эмиссия и контроль денежного обращения.</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За центральным банком как представителем государства законодательно закреплена эмиссионная монополия только в отношении банкнот, т.е. общенациональных кредитных денег, которые являются общепризнанным окончательным средством погашения долговых обязательств. В некоторых странах центральный банк монопольно осуществляет также эмиссию монет, но их чеканкой обычно занимается министерство финансов (казначейство). Банкноты составляют незначительную часть денежной массы промышленно развитых стран, поэтому функция эмиссионной монополии ЦБ несколько снижена, хотя банкнотная эмиссия по-прежнему необходима для платежей в розничной торговле и обеспечения ликвидности кредитной системы. Чем выше доля наличного обращения в стране, тем важнее значение банкнотной эмиссии.</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 xml:space="preserve">Следует иметь в виду, что монополия на эмиссию банкнот на современном этапе вовсе не означает ее жесткого контроля или увязки с целями денежно-кредитного регулирования. Главная задача денежно-кредитной политики - регулирование безналичной эмиссии, основным источником которой являются коммерческие банки. В то же время эмиссионная монополия превратила центральный банк в эмиссионно-кассовый центр банковской системы, поскольку обязательства центрального банка (в форме как банкнот, так и депозитов коммерческих банков) служат кассовым резервом любого коммерческого банка. </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Центральный банк не имеет дела непосредственно с предпринимателями и населением. Его главной клиентурой являются коммерческие банки, выступающие как бы посредниками между экономикой и центральным банком. Последний хранит свободную денежную наличность коммерческих банков, т.е. их кассовые резервы. Исторически эти резервы помещались коммерческими банками в центральный банк в качестве гарантийного фонда для погашения депозитов.</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В большинстве стран коммерческие банки обязаны хранить часть своих кассовых резервов в центральном банке в соответствии с законом. Такие резервы называют обязательными банковскими резервами. Центральный банк устанавливает минимальное соотношение обязательных резервов с обязательствами банков по депозитам (норму обязательных резервов). Через счета, открываемые коммерческими банками в центральном банке, последний осуществляет урегулирование расчетов между ними. С внедрением электронных расчетных систем существенно снизилось значение традиционной для центрального банка функции расчетного центра банковской системы.</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Принимая на хранение кассовые резервы коммерческих банков, центральный банк оказывает им кредитную поддержку. Он является для коммерческих банков кредитором последней инстанции, т.е. кредитором на крайний случай. Обычно его кредиты предоставляются банкам по ставке более высокой, чем рыночная, и поэтому банки обращаются за поддержкой к центральному банку только в случае отсутствия иной возможности получить кредит.</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Центральный банк является расчетным и резервным центром банков. Он устанавливает экономически обоснованные лимиты и нормы деятельности банков, в том числе официальную ставку ЦБ по кредитам. Также он определяет приоритетные цели денежно-кредитной и валютной политики и их реализацию, проводит научные исследования. Центральный банк определяет правовые основы и принципы функционирования кредитно-финансовых институтов, рынков краткосрочных и долгосрочных кредитных операций, а также виды платежных документов, обращающихся в стране.</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Как указано выше, независимо от принадлежности капитала центральный банк тесно связан с государством. Центральный банк - банкир правительства. В этом качестве центральный банк выступает как его кассир и кредитор, в нем открыты счета правительства и правительственных ведомств. В большинстве стран центральный банк осуществляет кассовое исполнение государственного бюджета. Доходы правительства, поступившие от налогов и займов, зачисляются на беспроцентный счет казначейства (министерства финансов) в центральном банке, с которого покрываются все правительственные расходы. В некоторых странах, например, в США, большая часть бюджетных средств помещается в коммерческие банки.</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В условиях хронического дефицита государственных бюджетов усиливается функция кредитования и управления государственным долгом. Под управлением государственным долгом понимаются операции центрального банка по размещению и погашению займов, организации выплат доходов по ним, по проведению конверсии и консолидации. Центральный банк использует различные методы управления государственным долгом: покупает или продает государственные обязательства с целью воздействия на их курсы и доходность, изменяет условия продажи, различными способами повышает привлекательность государственных обязательств для частных инвесторов.</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От имени правительства центральный банк регулирует резервы иностранной валюты и золота, является традиционным хранителем государственных золотовалютных резервов. Он осуществляет регулирование международных расчетов, платежных балансов, участвует в операциях мирового рынка ссудных капиталов и золота. Центральный банк, как правило, представляет свою страну в международных и региональных валютно-кредитных организациях.</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 xml:space="preserve">Еще одна функция центрального банка - регламентация экономических нормативов для банков. Банк России устанавливает следующие экономические нормативы: </w:t>
      </w:r>
    </w:p>
    <w:p w:rsidR="00CC1B44" w:rsidRDefault="00CC1B44">
      <w:pPr>
        <w:numPr>
          <w:ilvl w:val="0"/>
          <w:numId w:val="1"/>
        </w:numPr>
        <w:spacing w:line="360" w:lineRule="auto"/>
        <w:ind w:right="-720"/>
        <w:jc w:val="both"/>
        <w:rPr>
          <w:rFonts w:ascii="Times New Roman" w:hAnsi="Times New Roman"/>
          <w:sz w:val="28"/>
        </w:rPr>
      </w:pPr>
      <w:r>
        <w:rPr>
          <w:rFonts w:ascii="Times New Roman" w:hAnsi="Times New Roman"/>
          <w:sz w:val="28"/>
        </w:rPr>
        <w:t>минимальный размер уставного капитала - 6 февраля 1994 года ЦБ принял решение о введении минимального уставного капитала для коммерческих банков в размере 1 млн. экю, и валютные лицензии на проведение банковских операций в иностранной валюте выдаются коммерческим банкам при наличии у них собственных средств в размере 1 млн. экю. На четвертый квартал 1995 года ЦБ установил эту сумму в размере 6 млрд. рублей, а для банков с ограниченным кругом операций и иных кредитных операций в размере 1,5 млрд. рублей;</w:t>
      </w:r>
    </w:p>
    <w:p w:rsidR="00CC1B44" w:rsidRDefault="00CC1B44">
      <w:pPr>
        <w:numPr>
          <w:ilvl w:val="0"/>
          <w:numId w:val="1"/>
        </w:numPr>
        <w:spacing w:line="360" w:lineRule="auto"/>
        <w:ind w:right="-720"/>
        <w:jc w:val="both"/>
        <w:rPr>
          <w:rFonts w:ascii="Times New Roman" w:hAnsi="Times New Roman"/>
          <w:sz w:val="28"/>
        </w:rPr>
      </w:pPr>
      <w:r>
        <w:rPr>
          <w:rFonts w:ascii="Times New Roman" w:hAnsi="Times New Roman"/>
          <w:sz w:val="28"/>
        </w:rPr>
        <w:t>предельное соотношение между размерами уставного капитала банка и суммой его активов с учетом оценки риска;</w:t>
      </w:r>
    </w:p>
    <w:p w:rsidR="00CC1B44" w:rsidRDefault="00CC1B44">
      <w:pPr>
        <w:numPr>
          <w:ilvl w:val="0"/>
          <w:numId w:val="1"/>
        </w:numPr>
        <w:spacing w:line="360" w:lineRule="auto"/>
        <w:ind w:right="-720"/>
        <w:jc w:val="both"/>
        <w:rPr>
          <w:rFonts w:ascii="Times New Roman" w:hAnsi="Times New Roman"/>
          <w:sz w:val="28"/>
        </w:rPr>
      </w:pPr>
      <w:r>
        <w:rPr>
          <w:rFonts w:ascii="Times New Roman" w:hAnsi="Times New Roman"/>
          <w:sz w:val="28"/>
        </w:rPr>
        <w:t>минимальный размер обязательных резервов, депонируемый в Банке России, в процентном отношении к обязательствам банков;</w:t>
      </w:r>
    </w:p>
    <w:p w:rsidR="00CC1B44" w:rsidRDefault="00CC1B44">
      <w:pPr>
        <w:numPr>
          <w:ilvl w:val="0"/>
          <w:numId w:val="1"/>
        </w:numPr>
        <w:spacing w:line="360" w:lineRule="auto"/>
        <w:ind w:right="-720"/>
        <w:jc w:val="both"/>
        <w:rPr>
          <w:rFonts w:ascii="Times New Roman" w:hAnsi="Times New Roman"/>
          <w:sz w:val="28"/>
        </w:rPr>
      </w:pPr>
      <w:r>
        <w:rPr>
          <w:rFonts w:ascii="Times New Roman" w:hAnsi="Times New Roman"/>
          <w:sz w:val="28"/>
        </w:rPr>
        <w:t>показатели ликвидности баланса банка в виде нормативного соотношения между активами и обязательствами банка с учетом срока их погашения, возможности реализации активов;</w:t>
      </w:r>
    </w:p>
    <w:p w:rsidR="00CC1B44" w:rsidRDefault="00CC1B44">
      <w:pPr>
        <w:numPr>
          <w:ilvl w:val="0"/>
          <w:numId w:val="1"/>
        </w:numPr>
        <w:spacing w:line="360" w:lineRule="auto"/>
        <w:ind w:right="-720"/>
        <w:jc w:val="both"/>
        <w:rPr>
          <w:rFonts w:ascii="Times New Roman" w:hAnsi="Times New Roman"/>
          <w:sz w:val="28"/>
        </w:rPr>
      </w:pPr>
      <w:r>
        <w:rPr>
          <w:rFonts w:ascii="Times New Roman" w:hAnsi="Times New Roman"/>
          <w:sz w:val="28"/>
        </w:rPr>
        <w:t>максимальный размер риска на одного заемщика в виде определенного процента от общей суммы капитала банка;</w:t>
      </w:r>
    </w:p>
    <w:p w:rsidR="00CC1B44" w:rsidRDefault="00CC1B44">
      <w:pPr>
        <w:numPr>
          <w:ilvl w:val="0"/>
          <w:numId w:val="1"/>
        </w:numPr>
        <w:spacing w:line="360" w:lineRule="auto"/>
        <w:ind w:right="-720"/>
        <w:jc w:val="both"/>
        <w:rPr>
          <w:rFonts w:ascii="Times New Roman" w:hAnsi="Times New Roman"/>
          <w:sz w:val="28"/>
        </w:rPr>
      </w:pPr>
      <w:r>
        <w:rPr>
          <w:rFonts w:ascii="Times New Roman" w:hAnsi="Times New Roman"/>
          <w:sz w:val="28"/>
        </w:rPr>
        <w:t>ограничение использования привлеченных депозитов для приобретения акций юридических лиц;</w:t>
      </w:r>
    </w:p>
    <w:p w:rsidR="00CC1B44" w:rsidRDefault="00CC1B44">
      <w:pPr>
        <w:numPr>
          <w:ilvl w:val="0"/>
          <w:numId w:val="1"/>
        </w:numPr>
        <w:spacing w:line="360" w:lineRule="auto"/>
        <w:ind w:right="-720"/>
        <w:jc w:val="both"/>
        <w:rPr>
          <w:rFonts w:ascii="Times New Roman" w:hAnsi="Times New Roman"/>
          <w:sz w:val="28"/>
        </w:rPr>
      </w:pPr>
      <w:r>
        <w:rPr>
          <w:rFonts w:ascii="Times New Roman" w:hAnsi="Times New Roman"/>
          <w:sz w:val="28"/>
        </w:rPr>
        <w:t>ограничение размеров валютного и курсового рисков.</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Следующее направление деятельности центрального банка - проведение единой валютной политики, определение официального курса иностранных валют к национальной денежной единице.</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 xml:space="preserve">Валютная политика ЦБ на 1996 год предусматривает две цели. Динамику валютного курса требуется привести в соответствие с развитием инфляции и динамикой основных агрегатов денежной массы. Необходимо обеспечить режим валютного курса, соответствующий потребностям денежно-кредитного регулирования и поддержанию сбалансированного платежного баланса, высокого уровня ликвидности Российской Федерации для обеспечения выплат по ее международным обязательствам, а также стабильному функционированию системы внешнеэкономических связей. Центральный банк будет регулировать конъюнктурные колебания номинального курса рубля. Продолжается политика укрепления валютного контроля за экспортно-импортными операциями, полным возвратом экспортной валютной выручки на счета российских уполномоченных банков. </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Названные функции центрального банка создают объективные предпосылки для выполнения им функции регулирования всей денежно-кредитной системы страны и, следовательно, регулирования  экономики. Функция денежно-кредитного регулирования и банковского надзора на современном этапе является важнейшей функцией центрального банка.</w:t>
      </w:r>
    </w:p>
    <w:p w:rsidR="00CC1B44" w:rsidRDefault="00CC1B44">
      <w:pPr>
        <w:spacing w:line="360" w:lineRule="auto"/>
        <w:ind w:left="90" w:right="-720" w:firstLine="630"/>
        <w:jc w:val="both"/>
        <w:rPr>
          <w:rFonts w:ascii="Times New Roman" w:hAnsi="Times New Roman"/>
          <w:sz w:val="28"/>
        </w:rPr>
      </w:pPr>
      <w:r>
        <w:rPr>
          <w:rFonts w:ascii="Times New Roman" w:hAnsi="Times New Roman"/>
          <w:sz w:val="28"/>
        </w:rPr>
        <w:t>Итак, центральный банк - основной проводник денежно-кредитного регулирования экономики, являющейся составной частью экономической политики правительства, главными целями которой служат достижение стабильного экономического роста, снижение безработицы и инфляции, выравнивание платежного баланса. Общее состояние экономики в большой мере зависит от состояния денежно-кредитной сферы. Государственное регулирование денежно-кредитной сферы может быть успешным лишь в том случае, если государство через центральный банк способно воздействовать на масштабы и характер операций коммерческих банков. Методы єтого воздействия разнообразны , наиболее распространенными из них являются:</w:t>
      </w:r>
    </w:p>
    <w:p w:rsidR="00CC1B44" w:rsidRDefault="00CC1B44">
      <w:pPr>
        <w:numPr>
          <w:ilvl w:val="0"/>
          <w:numId w:val="1"/>
        </w:numPr>
        <w:spacing w:line="360" w:lineRule="auto"/>
        <w:ind w:right="-720"/>
        <w:jc w:val="both"/>
        <w:rPr>
          <w:rFonts w:ascii="Times New Roman" w:hAnsi="Times New Roman"/>
          <w:sz w:val="28"/>
        </w:rPr>
      </w:pPr>
      <w:r>
        <w:rPr>
          <w:rFonts w:ascii="Times New Roman" w:hAnsi="Times New Roman"/>
          <w:sz w:val="28"/>
        </w:rPr>
        <w:t>изменение ставки учетного процента или официальной учетной ставки центрального банка (учетная, или дисконтная, политика);</w:t>
      </w:r>
    </w:p>
    <w:p w:rsidR="00CC1B44" w:rsidRDefault="00CC1B44">
      <w:pPr>
        <w:numPr>
          <w:ilvl w:val="0"/>
          <w:numId w:val="1"/>
        </w:numPr>
        <w:spacing w:line="360" w:lineRule="auto"/>
        <w:ind w:right="-720"/>
        <w:jc w:val="both"/>
        <w:rPr>
          <w:rFonts w:ascii="Times New Roman" w:hAnsi="Times New Roman"/>
          <w:sz w:val="28"/>
        </w:rPr>
      </w:pPr>
      <w:r>
        <w:rPr>
          <w:rFonts w:ascii="Times New Roman" w:hAnsi="Times New Roman"/>
          <w:sz w:val="28"/>
        </w:rPr>
        <w:t>изменение нормы обязательных резервов банков;</w:t>
      </w:r>
    </w:p>
    <w:p w:rsidR="00CC1B44" w:rsidRDefault="00CC1B44">
      <w:pPr>
        <w:numPr>
          <w:ilvl w:val="0"/>
          <w:numId w:val="1"/>
        </w:numPr>
        <w:spacing w:line="360" w:lineRule="auto"/>
        <w:ind w:right="-720"/>
        <w:jc w:val="both"/>
        <w:rPr>
          <w:rFonts w:ascii="Times New Roman" w:hAnsi="Times New Roman"/>
          <w:sz w:val="28"/>
        </w:rPr>
      </w:pPr>
      <w:r>
        <w:rPr>
          <w:rFonts w:ascii="Times New Roman" w:hAnsi="Times New Roman"/>
          <w:sz w:val="28"/>
        </w:rPr>
        <w:t>операции на открытом рынке ,то есть операции по купле-продаже векселей, государственных облигаций и других ценных бумаг;</w:t>
      </w:r>
    </w:p>
    <w:p w:rsidR="00CC1B44" w:rsidRDefault="00CC1B44">
      <w:pPr>
        <w:numPr>
          <w:ilvl w:val="0"/>
          <w:numId w:val="1"/>
        </w:numPr>
        <w:spacing w:line="360" w:lineRule="auto"/>
        <w:ind w:right="-720"/>
        <w:jc w:val="both"/>
        <w:rPr>
          <w:rFonts w:ascii="Times New Roman" w:hAnsi="Times New Roman"/>
          <w:sz w:val="28"/>
        </w:rPr>
      </w:pPr>
      <w:r>
        <w:rPr>
          <w:rFonts w:ascii="Times New Roman" w:hAnsi="Times New Roman"/>
          <w:sz w:val="28"/>
        </w:rPr>
        <w:t>регламентация экономических нормативов для банков        ( перечень их указан выше).</w:t>
      </w:r>
    </w:p>
    <w:p w:rsidR="00CC1B44" w:rsidRDefault="00CC1B44">
      <w:pPr>
        <w:spacing w:line="360" w:lineRule="auto"/>
        <w:ind w:left="86" w:right="-720" w:firstLine="634"/>
        <w:jc w:val="both"/>
        <w:rPr>
          <w:rFonts w:ascii="Times New Roman" w:hAnsi="Times New Roman"/>
          <w:sz w:val="26"/>
        </w:rPr>
      </w:pPr>
      <w:r>
        <w:rPr>
          <w:rFonts w:ascii="Times New Roman" w:hAnsi="Times New Roman"/>
          <w:sz w:val="26"/>
        </w:rPr>
        <w:t>2. УЧЕТНАЯ СТАВКА И РЕЗЕРВНАЯ НОРМА.</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Ведущим методом регулирования является учетная политика-изменение ставки учетного процента или официальной учетной ставки центрального банка.</w:t>
      </w:r>
    </w:p>
    <w:p w:rsidR="00CC1B44" w:rsidRDefault="00CC1B44">
      <w:pPr>
        <w:spacing w:line="360" w:lineRule="auto"/>
        <w:ind w:left="86" w:right="-720" w:firstLine="634"/>
        <w:jc w:val="both"/>
        <w:rPr>
          <w:rFonts w:ascii="Times New Roman" w:hAnsi="Times New Roman"/>
          <w:sz w:val="26"/>
        </w:rPr>
      </w:pPr>
      <w:r>
        <w:rPr>
          <w:rFonts w:ascii="Times New Roman" w:hAnsi="Times New Roman"/>
          <w:sz w:val="28"/>
        </w:rPr>
        <w:t xml:space="preserve">Ставка, по которой центральный банк предоставляет ссуды коммерческим банкам и переучитывает их векселя , называется официальной учетной ставкой, или учетной ставкой центрального банка. Операция учета заключается в покупке банком денежных долговых обязательств до срока наступления платежа, при котором происходит перенос на банк прав кредитора. Учетом или дисконтом векселя называется операция, в которой банк , принимая от предъявителя вексель , выдает предъявителю сумму этого векселя до срока платежа, удерживая в свою пользу проценты от суммы векселя за время , оставшееся до срока платежа. </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Коммерческие банки могут переучесть или перезаложить учтенные или прокредитованные ими векселя в Центральном банке. Покупка векселей у коммерческих банков называется переучетом, т.к. при этом происходит вторичный учет , вторичная покупка векселей, которые коммерческие банки купили у своих клиентов. Установление ставки по переучету и ставки ломбардного кредита под залог ценных бумаг называется определением размеров рефинансирования коммерческих банков.</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Центральный банк может ограничивать операции по переучету и перезалогу векселей, регулируя их масштабы по своему усмотрению, повышая или понижая ставку процента, переучитывая или рефинансируя векселя лишь в некоторых случаях, либо наоборот, без ограничений, в зависимости от хозяйственной конъюнктуры.</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Система управления процентными ставками в условиях рынка соответственно базируется на рыночном механизме формирования банковского процента, гибко отражающего динамику спроса и предложения на банковский капитал.</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 xml:space="preserve"> Конкретные частные дисконты и ломбардные проценты определяются исходя из:</w:t>
      </w:r>
    </w:p>
    <w:p w:rsidR="00CC1B44" w:rsidRDefault="00CC1B44">
      <w:pPr>
        <w:numPr>
          <w:ilvl w:val="0"/>
          <w:numId w:val="1"/>
        </w:numPr>
        <w:spacing w:line="360" w:lineRule="auto"/>
        <w:ind w:right="-720"/>
        <w:jc w:val="both"/>
        <w:rPr>
          <w:rFonts w:ascii="Times New Roman" w:hAnsi="Times New Roman"/>
          <w:sz w:val="28"/>
        </w:rPr>
      </w:pPr>
      <w:r>
        <w:rPr>
          <w:rFonts w:ascii="Times New Roman" w:hAnsi="Times New Roman"/>
          <w:sz w:val="28"/>
        </w:rPr>
        <w:t>класса клиентов (для государственного сектора экономики его уровень ниже, чем для кооперативного и частного);</w:t>
      </w:r>
    </w:p>
    <w:p w:rsidR="00CC1B44" w:rsidRDefault="00CC1B44">
      <w:pPr>
        <w:numPr>
          <w:ilvl w:val="0"/>
          <w:numId w:val="1"/>
        </w:numPr>
        <w:spacing w:line="360" w:lineRule="auto"/>
        <w:ind w:right="-720"/>
        <w:jc w:val="both"/>
        <w:rPr>
          <w:rFonts w:ascii="Times New Roman" w:hAnsi="Times New Roman"/>
          <w:sz w:val="28"/>
        </w:rPr>
      </w:pPr>
      <w:r>
        <w:rPr>
          <w:rFonts w:ascii="Times New Roman" w:hAnsi="Times New Roman"/>
          <w:sz w:val="28"/>
        </w:rPr>
        <w:t>сроков векселей (изменение уровня процента должно быть прямо пропорционально сроку векселей; по краткосрочным векселям учетная и ссудная ставка ниже);</w:t>
      </w:r>
    </w:p>
    <w:p w:rsidR="00CC1B44" w:rsidRDefault="00CC1B44">
      <w:pPr>
        <w:numPr>
          <w:ilvl w:val="0"/>
          <w:numId w:val="1"/>
        </w:numPr>
        <w:spacing w:line="360" w:lineRule="auto"/>
        <w:ind w:right="-720"/>
        <w:jc w:val="both"/>
        <w:rPr>
          <w:rFonts w:ascii="Times New Roman" w:hAnsi="Times New Roman"/>
          <w:sz w:val="28"/>
        </w:rPr>
      </w:pPr>
      <w:r>
        <w:rPr>
          <w:rFonts w:ascii="Times New Roman" w:hAnsi="Times New Roman"/>
          <w:sz w:val="28"/>
        </w:rPr>
        <w:t>индивидуальных показателей финансового состояния векселедателей.</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Таким образом, основные направления функционирования и развития рынка векселей определяются Центральным банком и реализуются посредством осуществления определенной учетной политики и политики рефинансирования. Дисконтная политика является основой денежно-кредитного регулирования и управления деятельностью коммерческих банков и включает в себя как прямые ограничения учета и переучета векселей, так и определение пределов процентной ставки по перееучету векселей. Политика рефинансирования, касающаяся операций коммерческих банков с векселями, осуществляется посредством регулирования величины процентной ставки по ссудам под залог векселей, а также количественных и качественных ограничений в отношении размеров и видов веселей, под залог которых Центральный банк может предоставлять кредит коммерческим банкам. В зависимости от приоритетов экономического развития Центральный банк, изменяя условия дисконта и ломбарда, а также уровень учетной и ломбардной ставки, воздействует на спрос и предложение на рынке ценных бумаг, регулирует степень кредитоспособности и ликвидности коммерческих банков, а также объем денежной массы в стране.</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Если Центральный банк считает необходимым проводить жесткую рестрикционную политику, то он увеличивает учетную и ломбардную ставки, ужесточает условия переучета и перезалога векселей. Это может быть выражено в повышении требований к качеству векселей, установлении ограничений в отношении контингента переучета и перезалога, введением лимитов. Например, запрещение учета и ломбарда векселей неперспективных отраслей.</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Стимулирование конъюнктуры достигается мерами, противоположными вышеизложенным. Можно способствовать развитию приоритетных сфер экономики, предоставляя право первоочередного учета векселей этих отраслей и снижения для них учетной ставки. До недавнего времени величина ставки рефинансирования составляла 180% годовых по кредитам рефинансирования любой срочности. В данный момент эта ставка снижена до 170%.</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Существенное воздействие  на кредитные ресурсы коммерческих банков, на их возможности предоставлять ссуды оказывает изменение нормы обязательных резервов. Как было указано выше в соответствии с этой нормой рассчитывается денежная сумма, которую коммерческий банк не имеет права давать взаймы и обязан держать на своем счете в центральном банке. В инфляционной ситуации, когда надо умерить рост денежной массы в обращении, центральный банк повышает норму обязательных резервов. Это повышает проценты по банковским ссудам и сокращает денежную массу в обращении. Снижение нормы банковских резервов ведет к расширению банковских кредитов и денежной массы, к снижению рыночного процента.</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При длительном использовании нормы обязательных резервов денежная эмиссия постепенно утрачивает экономическое значение. Действительно, чем дольше применяется этот способ регулирования, тем выше объемы ресурсов коммерческих банков, зарезервированных в ЦБ, тем меньше смысла в печатании новых денег и выпуске их в обращение. Для того чтобы, скажем, увеличить денежную массу, центральному банку достаточно уменьшить норму резервов. В июле 1995 года Ассоциация российских банков сумела блокировать утверждение Т.Парамоновой в качестве председателя ЦБ, поскольку она ввела более высокие требования по резервам для коммерческих банков. Российские коммерческие банки требовали снизить резервные требования вдвое. Но и.о. председателя Банка России Т.Парамонова заявила, что Банк России не пойдет на такое снижение, т.к. это “увеличит уровень инфляции с существующего ныне примерно 4% до 10%, а то и более”. Она добавила, что при снижении уровня инфляции ЦБ может вернуться к вопросу о пересмотре уровня резервных отчислений. И в данный момент уровень резервных отчислений снижен в два раза.</w:t>
      </w:r>
    </w:p>
    <w:p w:rsidR="00CC1B44" w:rsidRDefault="00CC1B44">
      <w:pPr>
        <w:spacing w:line="360" w:lineRule="auto"/>
        <w:ind w:left="86" w:right="-720" w:firstLine="634"/>
        <w:jc w:val="both"/>
        <w:rPr>
          <w:rFonts w:ascii="Times New Roman" w:hAnsi="Times New Roman"/>
          <w:sz w:val="26"/>
        </w:rPr>
      </w:pPr>
      <w:r>
        <w:rPr>
          <w:rFonts w:ascii="Times New Roman" w:hAnsi="Times New Roman"/>
          <w:sz w:val="28"/>
        </w:rPr>
        <w:t>3</w:t>
      </w:r>
      <w:r>
        <w:rPr>
          <w:rFonts w:ascii="Times New Roman" w:hAnsi="Times New Roman"/>
          <w:sz w:val="26"/>
        </w:rPr>
        <w:t>. ОПЕРАЦИИ ГОСУДАРСТВА НА ОТКРЫТОМ РЫНКЕ.</w:t>
      </w:r>
    </w:p>
    <w:p w:rsidR="00CC1B44" w:rsidRDefault="00CC1B44">
      <w:pPr>
        <w:spacing w:line="360" w:lineRule="auto"/>
        <w:ind w:left="1620" w:right="-720" w:hanging="900"/>
        <w:jc w:val="both"/>
        <w:rPr>
          <w:rFonts w:ascii="Times New Roman" w:hAnsi="Times New Roman"/>
          <w:sz w:val="28"/>
        </w:rPr>
      </w:pPr>
      <w:r>
        <w:rPr>
          <w:rFonts w:ascii="Times New Roman" w:hAnsi="Times New Roman"/>
          <w:sz w:val="28"/>
        </w:rPr>
        <w:t>3.1 Операции</w:t>
      </w:r>
      <w:r>
        <w:rPr>
          <w:rFonts w:ascii="Times New Roman" w:hAnsi="Times New Roman"/>
          <w:sz w:val="26"/>
        </w:rPr>
        <w:t xml:space="preserve"> </w:t>
      </w:r>
      <w:r>
        <w:rPr>
          <w:rFonts w:ascii="Times New Roman" w:hAnsi="Times New Roman"/>
          <w:sz w:val="28"/>
        </w:rPr>
        <w:t>с государственными краткосрочными облигациями.</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Еще один метод денежно-кредитного регулирования - операции на открытом рынке, т.е. операции по купле-продаже векселей, государственных облигаций и других ценных бумаг.</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Центральный банк постоянно находится в контакте с правительством, время от времени давая ему взаймы, поэтому он всегда располагает объемным портфелем государственных облигаций и вправе распоряжаться ими по своему усмотрению. В частности пойти на куплю-продажу государственных облигаций,  превратив такие операции в метод регулирования денежной массы.</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Предположим, что ЦБ надо увеличить количество денег в обращении. Тогда он появляясь на рынке ценных бумаг, начинает скупать государственные краткосрочные облигации. Коммерческие банки, имея в своих активах ценные бумаги правительства, продают их на выгодных для себя условиях. Через некоторое время деньги, полученные от продажи облигаций, поступают в коммерческие банки в виде депозитов. При этом часть средств, пропорциональная установленной норме резервов, в обязательном порядке пополнит резервы банка, а остальные могут быть использованы для активных операций, например предоставления кредитов.</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Таким образом, любые изменения активов банка, связанные с куплей-продажей облигаций, неизбежно затрагивают резервы банка, увеличивая или уменьшая их пропорционально норме резервов. Регулируя резервы коммерческих банков, центральный банк контролирует сумму текущих вкладов или банковских денег, которые они могут создавать.</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Увеличение предложения денег при том же спросе снижает норму процента, а более дешевый кредит повышает инвестиционный спрос, способствует расширению производства и занятости.</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Итак, центральный банк, покупая государственные краткосрочные облигации, увеличивает предложение денег в обращении.</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Иначе происходит, когда центральный банк, противодействуя инфляции, старается умерить рост денежной массы. В этом случае он прибегает к продаже имеющихся в его распоряжении государственных обязательств. Коммерческие банки покупают на выгодных для себя условиях государственные краткосрочные облигации, расплачиваясь чеками на свой банк. Через некоторое время чеки будут предъявлены к оплате в данном банке. Выполняя свои финансовые обязательства, банк погасит долг, что равносильно уменьшению чековых вкладов и соответственно резервов (на сумму долга, умноженную на норму резерва). В результате уменьшения предложения деньги станут дорогими, повывсится норма процента, снизится инвестиционный спрос, сократится производство и занятость.</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Итак, продавая государственные краткосрочные облигации, центральный банк уменьшает предложение денег.</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Деньги, вырученные центральным банком при продаже облигаций, извлекаются из обращения. Здесь опять срабатывает фактор времени. Деньги, позаимствованные правительством в центральном банке, возвращались бы назад довольно медленно, в зависимости от заранее установленных сроков погашения государственных облигаций. Зато постоянное вмешательство на рынке ценных бумаг дает возможность центральному банку сравнительно быстро изымать деньги из обращения и тем самым оказывать действенное влияние на течение инфляционного процесса.</w:t>
      </w:r>
    </w:p>
    <w:p w:rsidR="00CC1B44" w:rsidRDefault="00CC1B44">
      <w:pPr>
        <w:spacing w:line="360" w:lineRule="auto"/>
        <w:ind w:left="1620" w:right="-720" w:hanging="900"/>
        <w:jc w:val="both"/>
        <w:rPr>
          <w:rFonts w:ascii="Times New Roman" w:hAnsi="Times New Roman"/>
          <w:sz w:val="28"/>
        </w:rPr>
      </w:pPr>
      <w:r>
        <w:rPr>
          <w:rFonts w:ascii="Times New Roman" w:hAnsi="Times New Roman"/>
          <w:sz w:val="28"/>
        </w:rPr>
        <w:t>3.2.Регулирование долгосрочных процентных ставок.</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Традиционным средством регулирования долгосрочных процентных ставок служат операции центрального банка с долгосрочными государственными обязательствами. Покупка таких обязательств центральным банком вызывает повышение их рыночного курса ( в результате  расширения спроса на них). Увеличение цены облигаций означает снижение их фактической доходности, которая определяется отношением суммы купонного дохода по облигации к ее рыночному курсу. Уменьшение фактической доходности долгосрочных облигаций приводит к снижению долгосрочных процентных ставок на рынке. Продажа облигаций центральным банком на открытом рынке вызывает падение их курса и повышение доходности облигаций, а значит и долгосрочных процентных ставок. Кроме того, купля-продажа ценных бумаг оказывает влияние на процентные ставки через расширение или ограничение банковской наличности.</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3.3. Форма проведения операций на открытом рынке.</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Операции на открытом рынке проводятся в форме аукционных торгов, в процессе которых ЦБ предлагает коммерческим банкам продать ему ценные бумаги на условиях, определяемых на основе аукционных торгов, с обязательством их обратной продажи ( например через 4 -12 недель). Предметом торгов служит ставка процента, уплачиваемая коммерческими банками за “ пользование” денежными средствами, полученными от продажи ценных бумаг на срок.</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При этом могут использоваться два варианта организации торгов: так называемый голландский вариант проведения аукционов по установленной процентной ставке, когда все заявки коммерческих банков, в которых указывается ставка процента, равная или выше минимальной ставки процента, установленной центральным банком, удовлетворяются по минимальной ставке процента; и “ американский” вариант проведения аукционов , в соотоветствии с которым все заявки коммерческих банков на продажу ценных бумаг удовлетворяются по ставке процента, предложенной в заявках ( в случае, если величина процентной ставки не ниже минимальной ставки процента, установленной центральным банком). При этом заявки , в которых указывается ставка процента , равная минимальной, могут быть удовлетворены лишь частично ( в определенной пропорции к общей стоимости предложенных к продаже ценных бумаг).</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 xml:space="preserve">Отказ от “голландского” и переход к “американскому” варианту проведения аукционов во многих странах объясняется стремлением центральных банков повысить ответственность коммерческих банков за предлагаемые в заявках условия продажи ценных бумаг. Многие крупные коммерческие банки, пользуясь тем, что все заявки удовлетворяются по единой минимальной ставке процента, в целях расширения объема продаж ценных бумаг присылают заявки, в которых указываются несколбко процентных ставок ( по которым они были готовы продать соответствующее количество уенных бумаг). Часть ставок для обеспечения гарантированного объема продаж сознательно устанавливается при этом на таком уровне, который существенно превышает минимальную ставку процента, устанавливаемую централюным банком по результатам проведения аукциона.   </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Начальник управления ценных бумаг центрального банка Андрей Козлов заявил о намерении ЦБ более активно привлекпть на рынок ГКО/ОФЗ средства иностранных инвесторов. По его словам торговля российскими бумагами будет проводиться не только в Москве, но и в Париже, Лондоне, Франкфурте-на-Майне.</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 xml:space="preserve">По замыслу центрального банка и Министерства финансов расширение участия иностранных дилеров в торговле ГКО и ОФЗ должно повысить платежеспособный спрос на эти бумаги, а значит, привести к снижению процентных ставок. Теоретически это возможно. Но на практике российские банки ( которым достанется 80% рынка ) врядли позволят доходности упасть ниже определенного критического уровня, диктуемого инфляционными ожиданиями. Поэтому надежда на то , что ставки гособлигаций снизятся с сегодняшних 100% годовых до 15 - 20 весьма призрачны. </w:t>
      </w:r>
    </w:p>
    <w:p w:rsidR="00CC1B44" w:rsidRDefault="00CC1B44">
      <w:pPr>
        <w:spacing w:line="360" w:lineRule="auto"/>
        <w:ind w:left="1170" w:right="-720" w:hanging="450"/>
        <w:jc w:val="both"/>
        <w:rPr>
          <w:rFonts w:ascii="Times New Roman" w:hAnsi="Times New Roman"/>
          <w:sz w:val="28"/>
        </w:rPr>
      </w:pPr>
    </w:p>
    <w:p w:rsidR="00CC1B44" w:rsidRDefault="00CC1B44">
      <w:pPr>
        <w:spacing w:line="360" w:lineRule="auto"/>
        <w:ind w:left="1170" w:right="-720" w:hanging="450"/>
        <w:jc w:val="both"/>
        <w:rPr>
          <w:rFonts w:ascii="Times New Roman" w:hAnsi="Times New Roman"/>
          <w:sz w:val="28"/>
        </w:rPr>
      </w:pPr>
    </w:p>
    <w:p w:rsidR="00CC1B44" w:rsidRDefault="00CC1B44">
      <w:pPr>
        <w:spacing w:line="360" w:lineRule="auto"/>
        <w:ind w:left="1170" w:right="-720" w:hanging="450"/>
        <w:jc w:val="both"/>
        <w:rPr>
          <w:rFonts w:ascii="Times New Roman" w:hAnsi="Times New Roman"/>
          <w:sz w:val="26"/>
        </w:rPr>
      </w:pPr>
      <w:r>
        <w:rPr>
          <w:rFonts w:ascii="Times New Roman" w:hAnsi="Times New Roman"/>
          <w:sz w:val="28"/>
        </w:rPr>
        <w:t xml:space="preserve">4. </w:t>
      </w:r>
      <w:r>
        <w:rPr>
          <w:rFonts w:ascii="Times New Roman" w:hAnsi="Times New Roman"/>
          <w:sz w:val="26"/>
        </w:rPr>
        <w:t>ПРОБЛЕМЫ КРЕДИТНОЙ ПОЛИТИКИ ГОСУДАРСТВА НА СОВРЕМЕННОМ ЭТАПЕ.</w:t>
      </w:r>
    </w:p>
    <w:p w:rsidR="00CC1B44" w:rsidRDefault="00CC1B44">
      <w:pPr>
        <w:spacing w:line="360" w:lineRule="auto"/>
        <w:ind w:left="1170" w:right="-720" w:hanging="450"/>
        <w:jc w:val="both"/>
        <w:rPr>
          <w:rFonts w:ascii="Times New Roman" w:hAnsi="Times New Roman"/>
          <w:sz w:val="28"/>
        </w:rPr>
      </w:pPr>
      <w:r>
        <w:rPr>
          <w:rFonts w:ascii="Times New Roman" w:hAnsi="Times New Roman"/>
          <w:sz w:val="26"/>
        </w:rPr>
        <w:t xml:space="preserve">4.1 </w:t>
      </w:r>
      <w:r>
        <w:rPr>
          <w:rFonts w:ascii="Times New Roman" w:hAnsi="Times New Roman"/>
          <w:sz w:val="28"/>
        </w:rPr>
        <w:t>Недостатки в</w:t>
      </w:r>
      <w:r>
        <w:rPr>
          <w:rFonts w:ascii="Times New Roman" w:hAnsi="Times New Roman"/>
          <w:sz w:val="26"/>
        </w:rPr>
        <w:t xml:space="preserve"> </w:t>
      </w:r>
      <w:r>
        <w:rPr>
          <w:rFonts w:ascii="Times New Roman" w:hAnsi="Times New Roman"/>
          <w:sz w:val="28"/>
        </w:rPr>
        <w:t xml:space="preserve">деятельности Центрального банка. </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В августе этого года на межбанковском рынке произошел кризис неплатежей. Руководитель Ассоциации российских банков С.Егоров считает, что одними из причин утраты ликвидности стали чрезмерное изъятие Центробанком средств в фонд обязательных отчислений, использование ресурсов коммерческих банков для финансирования дефицита федерального бюджета, отсутствие механизма реальной поддержки кредитных институтов, временно оказавшихся в затруднении, высокие налоги на прибыль банков. Ассоциация добивается, чтобы был создан эффективный механизм рефинансирования банков с предоставлением им краткосрочных кредитов для сохранения текущей ликвидности. Центробанк должен активнее участвовать в поддержке кредитного рынка, операциях с ценными бумагами, создании клирингового центра для зачета взаимозадолженности.</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Межбанковский кредитный рынок на 60% восстановлен после резкого спада операций в конце августа, но правительство и Центробанк отдают отчет в том, что кризисные тенденции на межбанковском рынке не преодолены. В качестве основных причин кризиса также называют неудачное налогообложение, непрофессионализм банкиров и расплывчатую политику Центробанка. Драконовское налогообложение не позволило банкам сформировать необходимые фонды и резервы. Банк России критикуют за то, что нужное решение об увеличении уставных капиталов коммерческих банков было принято слишком поздно.</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 xml:space="preserve">Более всего банкиров удручает тот факт, что Центробанк не предпринимает мер по оздоровлению ситуации. Тонущие крупные банки тянут за собой другие. Например, только Всероссийский биржевой банк должен 38 контрагентам. </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 xml:space="preserve">В сентябре этого года была создана рабочая группа правительства по совершенствованию банковской деятельности. В нее вошли руководители Центробанка, Минфина, Минэкономики, Минюста, Высшего арбитражного суда, Госналогслужбы, ФСБ, думского Комитета по банкам, Ассоциация российских банков, Межбанковского финансового дома, ряда крупных кредитных институтов. Главными задачами объявлены: принять срочные меры для ликвидации последствий кризиса 24 августа, санировать банковскую систему, стимулировать ее взаимодействие с реальным сектором. </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Банк России остается объектом критики практически для всех банкиров. Многие ожидали в ноябре-декабре повторение августовского кризиса. Обязательства банков остаются на  прежнем уровне, а рынок не позволяет эффективно размещать средства. С другой стороны по оценке экспертов, политика Центробанка, направленная на увеличение резервирования, привела к изъятию из хозяйственного оборота 6 миллиардов долларов и 6 триллионов рублей. Как сказал один банкир: “Складывется впечатление, что власти просто не вкурсе того, что происходит”. Есть и другие симптомы приближения второй волны банковского кризиса. По информации ряда аналитических центров,остатки на корреспондентских счетах коммерческих банков в ЦБ существенно сократились. Нестабильность рынка проявляется также в ситуации с ГКО. Цена этих бумаг в сентябре упала. Министерство финансов не имеет достаточно сил для того, чтобы рынок поднять. По всей вероятности в случае обострения ситуации в банковском секторе ЦБ и правительство опять будут вынуждены прибегнуть к экстренным мерам. Хотя, по мению многих банкиров, прямым кредитованием, тем более по нынешней высокой ставке, мало чего можно достигнуть в перспективе.</w:t>
      </w:r>
    </w:p>
    <w:p w:rsidR="00CC1B44" w:rsidRDefault="00CC1B44">
      <w:pPr>
        <w:spacing w:line="360" w:lineRule="auto"/>
        <w:ind w:left="86" w:right="-720" w:firstLine="634"/>
        <w:jc w:val="both"/>
        <w:rPr>
          <w:rFonts w:ascii="Times New Roman" w:hAnsi="Times New Roman"/>
          <w:sz w:val="28"/>
        </w:rPr>
      </w:pP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4.1. Проект денежно-кредитной политики на 1996 год.</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Центральный банк разработал проект основных направлений денежно-кредитной политики на 1996 год. При их формировании ЦБ исходил из необходимости дальнейшего снижения инфляции. Замедление инфляции приведет к снижению инфляционных ожиданий и позволит реальным процентным ставкам по депозитам достичь положительных значений.</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 xml:space="preserve"> Центральный банк отказывается от прямого кредитования дефицита федерального бюджета и от предоставления централизованных кредитов отраслям экономики. Предусматриваемый бюджетный дефицит должен быть профинансирован за счет неинфляционных источников - путем заимствования на рынке. </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Одна из основных задач ЦБ в следующем году - сдерживание роста налично-денежной массы в обращении. Для этого необходимо повысить надежность банковской системы, повысить доверие к ней со стороны граждан.</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При определении денежных ориентиров на конец 1996 года  ЦБ исходил из того, что при существенном снижении инфляции сохранится тенденция к замедлению производственного спада или этот спад удастся остановить. Поэтому должны сохраниться ограниченные принципы денежной политики. Операционная процедура денежно-кредитной политики ЦБ будет основываться на контроле целевых показателей по денежной базе в широком определении (наличные деньги в обращении и в кассах коммерческих банков, средства в фонде обязательных резервов и остатки на корреспондентских счетах банков).</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Банк России будет поддерживать стабильность процентных ставок в экономике.</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В следующем году, так же, как и в прошлом, ЦБ не будет предоставлять новые прямые централизованные кредиты коммерческим банкам и переоформлять имеющиеся задолженности по централизованным кредитам и процентам по ним. Наряду с размещением кредитных ресурсов через кредитные аукционы, которые проводятся ежемесячно с января 1994 года, ЦБ намерен ввести такие методы рефинансирования коммерческих банков, как предоставление ломбардных кредитов и переучет векселей. Предполагается ввести и новый инструмент рефинансирования коммерческих банков - операции на открытом рынке типа РЕПО (договор с обратным выкупом) с использованием государственных ценных бумаг, выпущенных на рыночных условиях. Сейчас Центральнывй банк рассматривает вопрос о предоставлении централизованных кредитов надежным коммерческим банкам, искытывающим временные финансовые затруднения. Для регулирования объемов денежой массы в обращении ЦБ намечает расширить инструменты денежно-кредитной политики за счет проведения операций по привлечению средств коммерческих банков в депозиты на договорной, платной основе по ставке ниже межбанковской депозитной ставки. В то же время ЦБ обеспечивает стопроцентную гарантию своевременного возврата депозитов и начисленных по ним процентов. Банк России намерен установить единый для всех привлеченных средств(в национальной валюте) размер обязательных резервов в процентном отношении к обязательствам кредитной организации(норматив обязательных резервов) . Это упростит технику расчетов и позволит более объективно определить величину суммы обязательных резервов. Для установления единой методологии обязательных резервов учреждения Сберегательного банка запланировано перевести на общий порядок депонирования средств в фонде обязательных резервов. При этом предполагается расширение базы обязательного резервирования учреждений Сбербанка за счет перхода к резервированию всех привлеченных средств , а не только прироста вкладов населения.</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 xml:space="preserve">В следующем году Банк России при осуществлении денежно-кредитной политики намерен и дальше использовать мехапизм регулирования - процентные ставки по своим операциям. Ставку рефинанасирования коммерческих банков и ставки по переучету векселей и ломбардному кредиту намечено поддерживать на уровне действующих справочных межбанковских ставок, рсчитанных для кредитов с сопоставимыми сроками погашения, или на уровне, превышающем эти ставки. При установлении ставки рефинансирования ЦБ намерен также учитывать влияние процентной политики на формирование затрат на призводство и, следовательно, на инфляцию издержек.  </w:t>
      </w:r>
    </w:p>
    <w:p w:rsidR="00CC1B44" w:rsidRDefault="00CC1B44">
      <w:pPr>
        <w:spacing w:line="360" w:lineRule="auto"/>
        <w:ind w:left="86" w:right="-720" w:firstLine="634"/>
        <w:jc w:val="both"/>
        <w:rPr>
          <w:rFonts w:ascii="Times New Roman" w:hAnsi="Times New Roman"/>
          <w:sz w:val="28"/>
        </w:rPr>
      </w:pPr>
    </w:p>
    <w:p w:rsidR="00CC1B44" w:rsidRDefault="00CC1B44">
      <w:pPr>
        <w:spacing w:line="360" w:lineRule="auto"/>
        <w:ind w:left="86" w:right="-720" w:firstLine="634"/>
        <w:jc w:val="both"/>
        <w:rPr>
          <w:rFonts w:ascii="Times New Roman" w:hAnsi="Times New Roman"/>
          <w:sz w:val="28"/>
        </w:rPr>
      </w:pPr>
    </w:p>
    <w:p w:rsidR="00CC1B44" w:rsidRDefault="00CC1B44">
      <w:pPr>
        <w:spacing w:line="360" w:lineRule="auto"/>
        <w:ind w:left="86" w:right="-720" w:firstLine="634"/>
        <w:jc w:val="both"/>
        <w:rPr>
          <w:rFonts w:ascii="Times New Roman" w:hAnsi="Times New Roman"/>
          <w:sz w:val="28"/>
        </w:rPr>
      </w:pPr>
    </w:p>
    <w:p w:rsidR="00CC1B44" w:rsidRDefault="00CC1B44">
      <w:pPr>
        <w:spacing w:line="360" w:lineRule="auto"/>
        <w:ind w:left="86" w:right="-720" w:firstLine="634"/>
        <w:jc w:val="both"/>
        <w:rPr>
          <w:rFonts w:ascii="Times New Roman" w:hAnsi="Times New Roman"/>
          <w:sz w:val="28"/>
        </w:rPr>
      </w:pPr>
    </w:p>
    <w:p w:rsidR="00CC1B44" w:rsidRDefault="00CC1B44">
      <w:pPr>
        <w:spacing w:line="360" w:lineRule="auto"/>
        <w:ind w:left="86" w:right="-720" w:firstLine="634"/>
        <w:jc w:val="both"/>
        <w:rPr>
          <w:rFonts w:ascii="Times New Roman" w:hAnsi="Times New Roman"/>
          <w:sz w:val="28"/>
        </w:rPr>
      </w:pPr>
    </w:p>
    <w:p w:rsidR="00CC1B44" w:rsidRDefault="00CC1B44">
      <w:pPr>
        <w:spacing w:line="360" w:lineRule="auto"/>
        <w:ind w:left="86" w:right="-720" w:firstLine="634"/>
        <w:jc w:val="both"/>
        <w:rPr>
          <w:rFonts w:ascii="Times New Roman" w:hAnsi="Times New Roman"/>
          <w:sz w:val="28"/>
        </w:rPr>
      </w:pPr>
    </w:p>
    <w:p w:rsidR="00CC1B44" w:rsidRDefault="00CC1B44">
      <w:pPr>
        <w:spacing w:line="360" w:lineRule="auto"/>
        <w:ind w:left="86" w:right="-720" w:firstLine="634"/>
        <w:jc w:val="both"/>
        <w:rPr>
          <w:rFonts w:ascii="Times New Roman" w:hAnsi="Times New Roman"/>
          <w:sz w:val="28"/>
        </w:rPr>
      </w:pPr>
    </w:p>
    <w:p w:rsidR="00CC1B44" w:rsidRDefault="00CC1B44">
      <w:pPr>
        <w:spacing w:line="360" w:lineRule="auto"/>
        <w:ind w:left="86" w:right="-720" w:firstLine="634"/>
        <w:jc w:val="both"/>
        <w:rPr>
          <w:rFonts w:ascii="Times New Roman" w:hAnsi="Times New Roman"/>
          <w:sz w:val="28"/>
        </w:rPr>
      </w:pPr>
    </w:p>
    <w:p w:rsidR="00CC1B44" w:rsidRDefault="00CC1B44">
      <w:pPr>
        <w:spacing w:line="360" w:lineRule="auto"/>
        <w:ind w:left="86" w:right="-720" w:firstLine="634"/>
        <w:jc w:val="both"/>
        <w:rPr>
          <w:rFonts w:ascii="Times New Roman" w:hAnsi="Times New Roman"/>
          <w:sz w:val="28"/>
        </w:rPr>
      </w:pPr>
    </w:p>
    <w:p w:rsidR="00CC1B44" w:rsidRDefault="00CC1B44">
      <w:pPr>
        <w:spacing w:line="360" w:lineRule="auto"/>
        <w:ind w:left="86" w:right="-720" w:firstLine="634"/>
        <w:jc w:val="both"/>
        <w:rPr>
          <w:rFonts w:ascii="Times New Roman" w:hAnsi="Times New Roman"/>
          <w:sz w:val="28"/>
        </w:rPr>
      </w:pPr>
    </w:p>
    <w:p w:rsidR="00CC1B44" w:rsidRDefault="00CC1B44">
      <w:pPr>
        <w:spacing w:line="360" w:lineRule="auto"/>
        <w:ind w:left="86" w:right="-720" w:firstLine="634"/>
        <w:jc w:val="both"/>
        <w:rPr>
          <w:rFonts w:ascii="Times New Roman" w:hAnsi="Times New Roman"/>
          <w:sz w:val="28"/>
        </w:rPr>
      </w:pPr>
    </w:p>
    <w:p w:rsidR="00CC1B44" w:rsidRDefault="00CC1B44">
      <w:pPr>
        <w:spacing w:line="360" w:lineRule="auto"/>
        <w:ind w:left="86" w:right="-720" w:firstLine="634"/>
        <w:jc w:val="both"/>
        <w:rPr>
          <w:rFonts w:ascii="Times New Roman" w:hAnsi="Times New Roman"/>
          <w:sz w:val="28"/>
        </w:rPr>
      </w:pPr>
    </w:p>
    <w:p w:rsidR="00CC1B44" w:rsidRDefault="00CC1B44">
      <w:pPr>
        <w:spacing w:line="360" w:lineRule="auto"/>
        <w:ind w:left="86" w:right="-720" w:firstLine="634"/>
        <w:jc w:val="both"/>
        <w:rPr>
          <w:rFonts w:ascii="Times New Roman" w:hAnsi="Times New Roman"/>
          <w:sz w:val="28"/>
        </w:rPr>
      </w:pPr>
    </w:p>
    <w:p w:rsidR="00CC1B44" w:rsidRDefault="00CC1B44">
      <w:pPr>
        <w:spacing w:line="360" w:lineRule="auto"/>
        <w:ind w:left="86" w:right="-720" w:firstLine="634"/>
        <w:jc w:val="both"/>
        <w:rPr>
          <w:rFonts w:ascii="Times New Roman" w:hAnsi="Times New Roman"/>
          <w:sz w:val="28"/>
        </w:rPr>
      </w:pPr>
    </w:p>
    <w:p w:rsidR="00CC1B44" w:rsidRDefault="00CC1B44">
      <w:pPr>
        <w:spacing w:line="360" w:lineRule="auto"/>
        <w:ind w:left="86" w:right="-720" w:firstLine="634"/>
        <w:jc w:val="both"/>
        <w:rPr>
          <w:rFonts w:ascii="Times New Roman" w:hAnsi="Times New Roman"/>
          <w:sz w:val="28"/>
        </w:rPr>
      </w:pPr>
    </w:p>
    <w:p w:rsidR="00CC1B44" w:rsidRDefault="00CC1B44">
      <w:pPr>
        <w:spacing w:line="360" w:lineRule="auto"/>
        <w:ind w:left="86" w:right="-720" w:firstLine="634"/>
        <w:jc w:val="both"/>
        <w:rPr>
          <w:rFonts w:ascii="Times New Roman" w:hAnsi="Times New Roman"/>
          <w:sz w:val="28"/>
        </w:rPr>
      </w:pPr>
    </w:p>
    <w:p w:rsidR="00CC1B44" w:rsidRDefault="00CC1B44">
      <w:pPr>
        <w:spacing w:line="360" w:lineRule="auto"/>
        <w:ind w:left="86" w:right="-720" w:firstLine="634"/>
        <w:jc w:val="both"/>
        <w:rPr>
          <w:rFonts w:ascii="Times New Roman" w:hAnsi="Times New Roman"/>
          <w:sz w:val="28"/>
        </w:rPr>
      </w:pPr>
    </w:p>
    <w:p w:rsidR="00CC1B44" w:rsidRDefault="00CC1B44">
      <w:pPr>
        <w:spacing w:line="360" w:lineRule="auto"/>
        <w:ind w:left="86" w:right="-720" w:firstLine="634"/>
        <w:jc w:val="both"/>
        <w:rPr>
          <w:rFonts w:ascii="Times New Roman" w:hAnsi="Times New Roman"/>
          <w:sz w:val="28"/>
        </w:rPr>
      </w:pPr>
    </w:p>
    <w:p w:rsidR="00CC1B44" w:rsidRDefault="00CC1B44">
      <w:pPr>
        <w:spacing w:line="360" w:lineRule="auto"/>
        <w:ind w:left="86" w:right="-720" w:firstLine="634"/>
        <w:rPr>
          <w:rFonts w:ascii="Times New Roman" w:hAnsi="Times New Roman"/>
          <w:sz w:val="26"/>
        </w:rPr>
      </w:pPr>
      <w:r>
        <w:rPr>
          <w:rFonts w:ascii="Times New Roman" w:hAnsi="Times New Roman"/>
          <w:sz w:val="26"/>
        </w:rPr>
        <w:t xml:space="preserve">                             ЗАКЛЮЧЕНИЕ</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Центральный банк является проводником кредитной политики государства. Правительство заинтересовано в надежности Центрального банка, который играет особую, очень важную роль в кредитной системе страны. Необходимым условием эффективности деятельности Центрального банка является существенная степень его независимости, но в конечном счете любой центральный банк является и банком и государсвенным органом.</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Центральный банк выполняет следующие основные функции:осуществляет монопольную эмиссию банкнот, является банком банков, банкиром правительства, проводит денежно-кредитное регулирование и банковский надзор.</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Денежно-кредитное регулирование экономики , проводимое Центральный банком , является составной частью экономической политики правительства. Основные методы воздействия государства через Центральный банк на масштабы и характер операций коммерческих банков: учетная политика Центрального банка, изменение нормы обязательных резервов банков, операции на открытом рынке, регламентация экономических нормативов для банков.</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Я думаю основными целями кредитной политики государства на современном этапе развития кредитного рынка в нашей стране являются: снижение инфляции, обеспечение стабильного курса национальной валюты и безкризисного развития межбанковского рынка , стабилизация экономики, экономический рост и урегулирование государственного долга.</w:t>
      </w:r>
    </w:p>
    <w:p w:rsidR="00CC1B44" w:rsidRDefault="00CC1B44">
      <w:pPr>
        <w:spacing w:line="360" w:lineRule="auto"/>
        <w:ind w:left="86" w:right="-720" w:firstLine="634"/>
        <w:rPr>
          <w:rFonts w:ascii="Times New Roman" w:hAnsi="Times New Roman"/>
          <w:sz w:val="26"/>
        </w:rPr>
      </w:pPr>
    </w:p>
    <w:p w:rsidR="00CC1B44" w:rsidRDefault="00CC1B44">
      <w:pPr>
        <w:spacing w:line="360" w:lineRule="auto"/>
        <w:ind w:left="86" w:right="-720" w:firstLine="634"/>
        <w:jc w:val="both"/>
        <w:rPr>
          <w:rFonts w:ascii="Times New Roman" w:hAnsi="Times New Roman"/>
          <w:sz w:val="28"/>
        </w:rPr>
      </w:pPr>
    </w:p>
    <w:p w:rsidR="00CC1B44" w:rsidRDefault="00CC1B44">
      <w:pPr>
        <w:spacing w:line="360" w:lineRule="auto"/>
        <w:ind w:left="86" w:right="-720" w:firstLine="634"/>
        <w:jc w:val="both"/>
        <w:rPr>
          <w:rFonts w:ascii="Times New Roman" w:hAnsi="Times New Roman"/>
          <w:sz w:val="28"/>
        </w:rPr>
      </w:pPr>
    </w:p>
    <w:p w:rsidR="00CC1B44" w:rsidRDefault="00CC1B44">
      <w:pPr>
        <w:spacing w:line="360" w:lineRule="auto"/>
        <w:ind w:left="86" w:right="-720" w:firstLine="634"/>
        <w:jc w:val="both"/>
        <w:rPr>
          <w:rFonts w:ascii="Times New Roman" w:hAnsi="Times New Roman"/>
          <w:sz w:val="28"/>
        </w:rPr>
      </w:pPr>
    </w:p>
    <w:p w:rsidR="00CC1B44" w:rsidRDefault="00CC1B44">
      <w:pPr>
        <w:spacing w:line="360" w:lineRule="auto"/>
        <w:ind w:left="86" w:right="-720" w:firstLine="4"/>
        <w:rPr>
          <w:rFonts w:ascii="Times New Roman" w:hAnsi="Times New Roman"/>
          <w:sz w:val="26"/>
        </w:rPr>
      </w:pPr>
      <w:r>
        <w:rPr>
          <w:rFonts w:ascii="Times New Roman" w:hAnsi="Times New Roman"/>
          <w:sz w:val="26"/>
        </w:rPr>
        <w:t xml:space="preserve">                              СПИСОК ЛИТЕРАТУРЫ</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1. Э.Дж.Долан и др. Деньги, банки и денежно-кредитная политика. Пер. с анг. С.- П., 1994.</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2. Гринспэн А. Роль Центрального банка в рыночной экономике. / Известия, 1990. 31 июля.</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3. Введение в рыночную экономику: Учебное пособие / А.Я. Лившиц, И.Н. Никулина, О.А. Груздева и др. Под ред. А.Я. Лившица, И.Н. Никулиной. - М.: Высш. шк., 1994.</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4. Общая теория денег и кредита : Учебник/ Под ред. проф. Е.Ф.Жукова. - М.: Банки и биржи, ЮНИТИ, 1995.</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 xml:space="preserve">5. Банковское дело: справочное пособие/ под ред. канд. экон. наук Ю.А. Бабичевой. </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6. Липсиц И.В., Любимов Л.Л., Антонов Л.В. Раскрывая тайны экономики. М.: Изд-во “Вита-Прес”, 1994.</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7. Ирина Ясина . Финансисты опасаются повторения “черного четверга” - Финансовые известия №71, 1995.</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8. Евгения Письменная. Банк России обещает бороться с инфляцией, не забывая об интересах экономики в целом - Финансовые известия №75, 1995.</w:t>
      </w:r>
    </w:p>
    <w:p w:rsidR="00CC1B44" w:rsidRDefault="00CC1B44">
      <w:pPr>
        <w:spacing w:line="360" w:lineRule="auto"/>
        <w:ind w:left="86" w:right="-720" w:firstLine="634"/>
        <w:jc w:val="both"/>
        <w:rPr>
          <w:rFonts w:ascii="Times New Roman" w:hAnsi="Times New Roman"/>
          <w:sz w:val="28"/>
        </w:rPr>
      </w:pPr>
      <w:r>
        <w:rPr>
          <w:rFonts w:ascii="Times New Roman" w:hAnsi="Times New Roman"/>
          <w:sz w:val="28"/>
        </w:rPr>
        <w:t>9. Лев Макаревич. Власти и банки вместе ищут выход из кризиса - Финансовые известия №69, 1995.</w:t>
      </w:r>
    </w:p>
    <w:p w:rsidR="00CC1B44" w:rsidRDefault="00CC1B44">
      <w:pPr>
        <w:pStyle w:val="a6"/>
      </w:pPr>
      <w:r>
        <w:t>10. Сергей Митин. Межбанковский рынок до сих пор не оправился от кризиса- Финансовые известия №73, 1995.</w:t>
      </w:r>
    </w:p>
    <w:p w:rsidR="00CC1B44" w:rsidRDefault="00CC1B44">
      <w:pPr>
        <w:spacing w:line="360" w:lineRule="auto"/>
        <w:ind w:left="86" w:right="-720" w:firstLine="634"/>
        <w:jc w:val="both"/>
        <w:rPr>
          <w:rFonts w:ascii="Times New Roman" w:hAnsi="Times New Roman"/>
          <w:sz w:val="26"/>
        </w:rPr>
      </w:pPr>
    </w:p>
    <w:p w:rsidR="00CC1B44" w:rsidRDefault="00CC1B44">
      <w:pPr>
        <w:spacing w:line="360" w:lineRule="auto"/>
        <w:ind w:left="86" w:right="-720" w:firstLine="634"/>
        <w:rPr>
          <w:rFonts w:ascii="Times New Roman" w:hAnsi="Times New Roman"/>
          <w:sz w:val="26"/>
        </w:rPr>
      </w:pPr>
      <w:bookmarkStart w:id="0" w:name="_GoBack"/>
      <w:bookmarkEnd w:id="0"/>
    </w:p>
    <w:sectPr w:rsidR="00CC1B44">
      <w:headerReference w:type="even" r:id="rId7"/>
      <w:headerReference w:type="default" r:id="rId8"/>
      <w:pgSz w:w="12240" w:h="15840" w:code="1"/>
      <w:pgMar w:top="1166" w:right="1800" w:bottom="274" w:left="1829"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B44" w:rsidRDefault="00CC1B44">
      <w:r>
        <w:separator/>
      </w:r>
    </w:p>
  </w:endnote>
  <w:endnote w:type="continuationSeparator" w:id="0">
    <w:p w:rsidR="00CC1B44" w:rsidRDefault="00CC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choolBookCTT">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B44" w:rsidRDefault="00CC1B44">
      <w:r>
        <w:separator/>
      </w:r>
    </w:p>
  </w:footnote>
  <w:footnote w:type="continuationSeparator" w:id="0">
    <w:p w:rsidR="00CC1B44" w:rsidRDefault="00CC1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B44" w:rsidRDefault="00CC1B44">
    <w:pPr>
      <w:pStyle w:val="a3"/>
      <w:framePr w:wrap="around" w:vAnchor="text" w:hAnchor="margin" w:xAlign="center" w:y="1"/>
      <w:rPr>
        <w:rStyle w:val="a4"/>
      </w:rPr>
    </w:pPr>
  </w:p>
  <w:p w:rsidR="00CC1B44" w:rsidRDefault="00CC1B4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B44" w:rsidRDefault="004F5DC2">
    <w:pPr>
      <w:pStyle w:val="a3"/>
      <w:framePr w:wrap="around" w:vAnchor="text" w:hAnchor="margin" w:xAlign="center" w:y="1"/>
      <w:rPr>
        <w:rStyle w:val="a4"/>
      </w:rPr>
    </w:pPr>
    <w:r>
      <w:rPr>
        <w:rStyle w:val="a4"/>
        <w:noProof/>
      </w:rPr>
      <w:t>6</w:t>
    </w:r>
  </w:p>
  <w:p w:rsidR="00CC1B44" w:rsidRDefault="00CC1B4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DC2"/>
    <w:rsid w:val="004F5DC2"/>
    <w:rsid w:val="00A258E1"/>
    <w:rsid w:val="00C507C0"/>
    <w:rsid w:val="00CC1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8652BD-BCE0-46D2-9F67-F14BE22E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SchoolBookCTT" w:hAnsi="SchoolBookCT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320"/>
        <w:tab w:val="right" w:pos="8640"/>
      </w:tabs>
    </w:pPr>
  </w:style>
  <w:style w:type="character" w:styleId="a4">
    <w:name w:val="page number"/>
    <w:basedOn w:val="a0"/>
    <w:semiHidden/>
  </w:style>
  <w:style w:type="paragraph" w:styleId="a5">
    <w:name w:val="footer"/>
    <w:basedOn w:val="a"/>
    <w:semiHidden/>
    <w:pPr>
      <w:tabs>
        <w:tab w:val="center" w:pos="4320"/>
        <w:tab w:val="right" w:pos="8640"/>
      </w:tabs>
    </w:pPr>
  </w:style>
  <w:style w:type="paragraph" w:styleId="a6">
    <w:name w:val="Block Text"/>
    <w:basedOn w:val="a"/>
    <w:semiHidden/>
    <w:pPr>
      <w:spacing w:line="360" w:lineRule="auto"/>
      <w:ind w:left="86" w:right="-720" w:firstLine="634"/>
      <w:jc w:val="both"/>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5602</Words>
  <Characters>31934</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Возникновение центральных банков исторически связано с централизацией банкнотной эмиссии в руках немногих наиболее надежных, пользовавшихся всеобщим доверием коммерческих банков, чьи банкноты могли успешно выполнять функцию всеобщего кредитного орудия обр</vt:lpstr>
    </vt:vector>
  </TitlesOfParts>
  <Company> </Company>
  <LinksUpToDate>false</LinksUpToDate>
  <CharactersWithSpaces>37462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Возникновение центральных банков исторически связано с централизацией банкнотной эмиссии в руках немногих наиболее надежных, пользовавшихся всеобщим доверием коммерческих банков, чьи банкноты могли успешно выполнять функцию всеобщего кредитного орудия обр</dc:title>
  <dc:subject/>
  <dc:creator>Nastia</dc:creator>
  <cp:keywords/>
  <cp:lastModifiedBy>Irina</cp:lastModifiedBy>
  <cp:revision>2</cp:revision>
  <cp:lastPrinted>1995-12-18T16:50:00Z</cp:lastPrinted>
  <dcterms:created xsi:type="dcterms:W3CDTF">2014-08-03T16:14:00Z</dcterms:created>
  <dcterms:modified xsi:type="dcterms:W3CDTF">2014-08-03T16:14:00Z</dcterms:modified>
</cp:coreProperties>
</file>