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Декларация о государственном суверенитете Украины и ее историческое значение</w:t>
      </w:r>
    </w:p>
    <w:p w:rsidR="00187863" w:rsidRDefault="0018786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история Украины выполнил Королёв И. В.</w:t>
      </w:r>
    </w:p>
    <w:p w:rsidR="00187863" w:rsidRDefault="0018786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Крымская академия природоохранного и курортного строительства (КАПКС)</w:t>
      </w:r>
    </w:p>
    <w:p w:rsidR="00187863" w:rsidRDefault="0018786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АРК Крым, г. Симферополь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Верховный Совет УССР 16 июля 1990 г. принял исторический документ. — Декларацию о государственном суверенитете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Декларация - объявление, провозглашение, официальное заявление; обычно в форме Декларации провозглашаются основные принципы внешней или внутренней политики государства, программные положения политических партий, основные положения деятельности международных организаций в конкретной области международных, отношений.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Содержание Декларации о государственном суверенитете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Декларация состоит из преамбулы и 10 разделов.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преамбуле подчеркивается, что Верховный Совет УССР провозглашает суверенитет Украины как «верховенство, самостоятельность, полноту и нераздельность власти республики в пределах ее территории, независимость и равноправие во внешних сношениях».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Одним из важных положений Декларации является положение о гражданстве. Украина имеет свое гражданство, где все равны перед законом, независимо от происхождения, социального и имущественного положения, расовой и национальной принадлежности, пола, образования, политических взглядов, религиозных убеждений, рода и характера занятий. Граждане всех национальностей составляют народ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Декларация провозглашала самостоятельность Украины. В документе подчеркивалось намерение создать банковскую, ценовую, финансовую, таможенную и налоговую системы, формировать государственный бюджет, а при необходимости ввести собственную денежную единицу.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 Декларации признана самостоятельность республики в решении вопросов науки, образования, культурного и духовного развития украинской нации.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Украина провозглашала свое намерение стать в будущем постоянно нейтральным государством, которое не будет принимать участия в военных блоках и обязывалась придерживаться трех неядерных принципов не применять, не производить и не приобретать ядерное оружие.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Декларация провозглашала право Украины непосредственно осуществлять отношения с другими государствами, заключать с ними договоры, обмениваться дипломатическими; консульскими, торговыми представительствами.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Историческое значение Декларации.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Историческое значение Декларации о государственном суверенитете Украины заключается в том, что она определила основные направления внутренней и внешней политики, экономического развития и государственного строительства. Этот документ представляет собой правовой фундамент для Конституции, законов Украины, определения позиции республики при заключении международных соглашений. В основе Декларации лежат демократические традиции украинского народа, которые развивались на протяжении веков.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Попытка государственного переворота в августе 1991 г. и реакция на нее в Украине.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Предпосылки попытки государственного переворота.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90-х гг. идея национального суверенитета охватила широкие общественные слои, в том числе и в Украине. Стараясь предотвратить распад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советской империи, президент СССР М. Горбачев назначил на 20 августа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1991 г. процедуру подписания нового Союзного договора. Причем, если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консерваторы в политбюро ЦК КПСС откровенно заявляли о необходимости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сохранения унитарного по своей сути государства, то М. Горбачев старался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сберечь СССР в виде «настоящей федерации".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В этой ситуации Эстония, Латвия, Литва, Грузия и Молдова категорически отказались от любых переговоров об «обновлении Союза». Верховный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Совет Украины, возглавляемый Л, Кравчуком, отклонил федеративную концепцию договора, выдвинув план трансформации Союза в конфедерацию.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Начало попытки переворота.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августа 1991 г., когда М. Горбачев пребывал на отдыхе на крымском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курорте Форос, из Кремля на весь мир сообщили о его «болезни и невозможности дальнейшего выполнения обязанностей президента СССР».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Полномочия главы государства переходили к вице-президенту Г. Янаеву.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Власть брал на себя так называемый Государственный Комитет по Чрезвычайному Положению в СССР (ГКЧП). В его состав, кроме Г. Янаева, вошли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также премьер-министр СССР В. Павлов, председатель КГБ В. Крючков, министр обороны Д. Язов и ряд других высших государственных лиц. Своей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главной целью мятежники провозгласили «спасение единого государства».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События в Украине 19-21 августа 1991 г.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Украина, которая стала камнем преткновения на пути к замаскированному сохранению империи, была одним из важнейших объектов деятельности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«гэкачепистов». В Киев срочно был командирован представитель заговорщиков генерал армии В. Варенников, который, заручившись поддержкой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первого секретаря Компартии Украины С. Гуренко. старался склонить Л.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Кравчука к признанию легитимности (законности) ГКЧП. Эти усилия оказались напрасными - хотя и не совсем последовательно и решительно, но все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же Председатель Верховного Совета Украины осудил переворот и не признал правомочность распоряжений ГКЧП на территории Украины.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Военные части, дислоцированные в Украине, а также милиция и другие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силовые структуры не поддержали мятежников. Союз офицеров Украины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предложил организовать отряды добровольцев для защиты украинского парламента, а также призвал военнослужащих - граждан Украины - не исполнять распоряжений ГКЧП.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Ряд местных Советов, особенно в западных областях Украины, решительно и недвусмысленно выступили против узурпации власти кучкой мятежников и призвали население не признавать их.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Фракция Народной Рады в украинском парламенте призвала народ к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гражданскому неповиновению и к всеукраинской забастовке против наступления диктатуры. В обращении Львовского областного Совета к населению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области содержался призыв «при попытке насильственного устранения демократически избранной народом власти ответить массовыми актами гражданского неповиновения». Харьковский горсовет квалифицировал деятельность ГКЧП как тягчайшее преступление.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Из всех политических сил Украины только руководство Компартии стало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на сторону мятежников. Уже 19 августа ЦК Компартии направил низовым организациям тайные шифротелеграмы, в которых призвал «принять меры к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участию коммунистов в содействии Государственному Комитету по Чрезвычайному Положению в СССР».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Между тем попытка штурма «Белого дома» в Москве в ночь с 20 на 21 августа, предпринятая ГКЧП, закончилась неудачей. Стало ясно, что путч потерпел поражение.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22 августа Президиум Верховного Совета УССР принял решение о созыве внеочередной сессии Верховного Совета. 24 августа Верховный Совет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собрался и принял исторический документ - Акт провозглашения независимости Украины. Компартия Украины была запрещена.</w:t>
      </w:r>
    </w:p>
    <w:p w:rsidR="00187863" w:rsidRDefault="001878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Всеукраинский референдум и выборы Президента Украины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декабря 1991 г.; результаты и историческое значение.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События 1 декабря 1991 г. стали важнейшим этаком в государственном строительстве Украине, « корне изменил» ее внутреннее и международное положение.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Референдум - форма принятия законов или решение важнейших вопросов общественной или государственной жизни путем всенародного волеизъявления - голосования или опроса.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Референдум 1991 г.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списки было занесено 37 млн. 886 тыс. граждан. В бюллетень по референдуму были включены текст Акта провозглашения независимости Украины, принятого Верховной Советом 24 августа 1991 г., и вопрос: «Подтверждаете ли вы Акт провозглашения независимости Украины?». В голосовании приняли участие 31 млн. 891,7 тыс. граждан, то есть 84,2% от общего количества включенных в списки. Из них на вопросы бюллетеня ответили «Да. подтверждаю» 28 млн. 804.1 тыс. граждан, или 90,3%. Положительный ответ дало население всех областей Украины, независимо от национальной принадлежности. Следовательно, за независимость проголосовали не только украинцы, но и представители других народов, которые проживают на территории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Выборы Президента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один день с референдумом прошли и выборы Президента Украины. В голосовании по выборам Президента Украины приняли участие 31 млн. 892,4 тыс. человек. В избирательный бюллетень были включены: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Председатель Верховного Совета Украины Л. Кравчук,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председатель Львовского облсовета В. Чорновил;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председатель Украинской Республиканской партии Л. Лукьяненко,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заместитель председателя Верховного Совета Украины В. Гринев;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председатель Украинской Народной партии Л. Табурянский;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председатель Народной Рады в парламенте Украины И. Юхновский;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существенные различия в программах, все кандидаты поддерживали идею независимости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Президентом Украины стал Леонид Макарович Кравчук, за которого проголосовало 19 млн. 643,6 тыс. граждан (61,56% принявших участие в голосовании). Следовательно, Председателя Верховного Совета Украины поддержали более половины украинских избирателей. Его предвыборной программой была программа пяти «Д»: Государственность, Демократия, Благосостояние, Духовность, Доверие.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декабря 1991 г. на заседании Верховного Совета Украины Л. Кравчук принял присягу Президента Украины, изложил программные ориентиры своей политики в новом качестве. «Президент, - подчеркнул он, - получив власть от народа, должен служить ему и обеспечивать благосостояние, права и свободы каждого человека».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Значение референдума и выборов Президента Украины 1991 г.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Референдум 1 декабря 1991 г. подтвердил Акт провозглашения независимости Украины, провозглашенный Верховным Советом. Если решение Верховного Совета мог отменить Верховный Совет второго созыва, то решение референдума отменить никто не мог.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Решения референдума позволили Украине утвердиться на международной арене как независимому государству. До 1 декабря 1991 г. формально независимую Украину не признало ни одно государство. В течение декабря 1991 г. она была признана более 40 странами.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Декабрьский референдум перечеркнул решение мартовского референдума о сохранении Союза ССР. его итоги создали правовую основу для преобразования декларированной независимости в реальную.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референдум 1991 г., и президентские выборы подтвердили желание подавляющего большинства граждан Украины жить в независимом демократическом государстве, самостоятельно решать внутренние политические и экономические проблемы. Вековая мечта украинского народа о независимости обрела политическое оформление.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Молодое государство стало строить международные отношения на основе взаимного уважения суверенитета, независимости и территориальной целостности, невмешательства во внутренние дела, развития всесторонних политических, экономических и культурных связей.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Приоритеты внешней политики Украины на рубеже ХХ-ХХ</w:t>
      </w:r>
      <w:r>
        <w:rPr>
          <w:color w:val="000000"/>
          <w:sz w:val="24"/>
          <w:szCs w:val="24"/>
        </w:rPr>
        <w:sym w:font="Symbol" w:char="F049"/>
      </w:r>
      <w:r>
        <w:rPr>
          <w:color w:val="000000"/>
          <w:sz w:val="24"/>
          <w:szCs w:val="24"/>
        </w:rPr>
        <w:t xml:space="preserve"> вв.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Конституция Украины о внешней политике государства.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10 лет Украина является полноправным субъектом международных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отношений.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Конституцией Украины определен общий подход к внешней политике государства (Статья 18). Предусмотрено, что внешнеполитическая деятельность Украины направлена на обеспечение ее национальных интересов и безопасности путем поддержки мирного и взаимовыгодного сотрудничества с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членами международного сообщества на основе общепризнанных принципов международного права. Соотношение между международным и национальным законодательством предусмотрено Статьей'9 таким образом, что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существующие международные договоры, согласие на обязательность которых дала Верховная Рада Украины, являются частью национального законодательства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Национальные интересы Украины в сфере международных отношений.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«Основные направления внешней политики Украины», одобренные Верховной Радой 2 июля 1993 г., зафиксировали содержание национальных интересов Украины и задач ее внешней политики.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Национальные интересы Украины в сфере международных отношений составляют три основные группы: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стратегические и геополитические интересы, связанные с обеспечением национальной безопасности Украины и защитой ее политической независимости;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экономические интересы, связанные с интеграцией Украины в мировое хозяйство;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региональные, субрегиональные, локальные интересы, связанные с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обеспечением разнообразных специфических потребностей внутреннего развития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Основные задачи внешней политики Украины. С целью обеспечения национальных интересов Украины ее внешняя политика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постоянно направляется на решение важнейших задач.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Утверждение и развитие Украины как независимого демократического государства.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Обеспечение стабильности международного положения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Сохранение территориальной целостности государства и неприкосновенности его границ.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Включение национального хозяйства в мировую экономическую систему для его полноценного экономического развития, обеспечения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потребностей граждан и повышения благосостояния народа.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Защита прав и интересов граждан Украины, ее юридических лиц за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границей, создание условий для поддержки контактов с зарубежными украинцами и выходцами из Украины, оказание им помощи в соответствии с международным правом.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Распространение в мире образа Украины как надежного и предсказуемого партнера.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Принципы внешней политики Украины.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Украинское государство реализует внешнюю политику на таких принципах: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Украина осуществляет открытую внешнюю политику и стремится к сотрудничеству со всеми заинтересованными партнерами, избегая зависимости от отдельных государств или групп государств;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Украина развивает свои двухсторонние и многосторонние отношения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 другими государствами и международными организациями на основе принципов добровольности, взаимоуважения, равноправия, взаимной выгоды, невмешательства во внутренние дела: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Украина не является врагом ни одного государства;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Украина осуждает войну как средство национальной политики, придерживается принципа неприменения силы или угрозы силой и стремится к решению любых международных споров исключительно мирными средствами;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Украина не выдвигает территориальных претензий к соседним государствам и не признает территориальных претензий к себе;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Украина неуклонно придерживается международных стандартов прав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человека, обеспечивает права национальных меньшинств, которые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проживают на ее территории;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Украина исходит из того, что в современных условиях соблюдение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прав человека не является только внутренним делом отдельных государств;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Украина руководствуется приматом права во внешней политике, признавая приоритет общепризнанных норм международного права перед нормами внутригосударственного права;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Украина в своей внешней политике опирается на фундаментальные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общечеловеческие ценн</w:t>
      </w:r>
      <w:r>
        <w:rPr>
          <w:color w:val="000000"/>
          <w:sz w:val="24"/>
          <w:szCs w:val="24"/>
          <w:lang w:val="uk-UA"/>
        </w:rPr>
        <w:t>о</w:t>
      </w:r>
      <w:r>
        <w:rPr>
          <w:color w:val="000000"/>
          <w:sz w:val="24"/>
          <w:szCs w:val="24"/>
        </w:rPr>
        <w:t>сти и осуждает практику двойных стандартов в международных отношениях;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Украина считает себя, наравне со всеми другими бывшими советскими республиками, правопреемницей Союза ССР и не признает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любых преимуществ и исключений из этого принципа для любого государства-правопреемника без оформления согласия всех этих государств.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Стратегия внешней политики Украины на современном этапе.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Украины Л. Кучма в своей инаугурационной речи 30 ноября 1999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так определил стратегию внешней политики государства; «Международный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авторитет и имидж Украины будут определять два основных фактора.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- как мы решаем внутренние проблемы.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- насколько активно и осмысленно, с учетом национальных интересов мы будем адаптироваться к реалиям современного мира. Мира, который, интегрируясь, продолжает жить по законам конкуренции.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Ключевыми ориентирами в нашей внешней политике являются ее: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многовекторность;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прогнозируемоесть и стабильность;</w:t>
      </w:r>
    </w:p>
    <w:p w:rsidR="00187863" w:rsidRDefault="001878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внеблокового статуса Украины».</w:t>
      </w:r>
      <w:bookmarkStart w:id="0" w:name="_GoBack"/>
      <w:bookmarkEnd w:id="0"/>
    </w:p>
    <w:sectPr w:rsidR="00187863">
      <w:pgSz w:w="11906" w:h="16838"/>
      <w:pgMar w:top="1134" w:right="1134" w:bottom="1134" w:left="1134" w:header="1440" w:footer="1440" w:gutter="0"/>
      <w:cols w:space="708" w:equalWidth="0">
        <w:col w:w="9638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E62"/>
    <w:multiLevelType w:val="hybridMultilevel"/>
    <w:tmpl w:val="2692FE4E"/>
    <w:lvl w:ilvl="0" w:tplc="0C4ADF88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0D3"/>
    <w:rsid w:val="00187863"/>
    <w:rsid w:val="005510D3"/>
    <w:rsid w:val="007928B9"/>
    <w:rsid w:val="00C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9AAA68-D386-4F03-A4B6-FCE9756F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9730</Words>
  <Characters>5547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 о государственном суверенитете Украины и ее историческое значение</vt:lpstr>
    </vt:vector>
  </TitlesOfParts>
  <Company>PERSONAL COMPUTERS</Company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о государственном суверенитете Украины и ее историческое значение</dc:title>
  <dc:subject/>
  <dc:creator>USER</dc:creator>
  <cp:keywords/>
  <dc:description/>
  <cp:lastModifiedBy>admin</cp:lastModifiedBy>
  <cp:revision>2</cp:revision>
  <dcterms:created xsi:type="dcterms:W3CDTF">2014-01-26T13:51:00Z</dcterms:created>
  <dcterms:modified xsi:type="dcterms:W3CDTF">2014-01-26T13:51:00Z</dcterms:modified>
</cp:coreProperties>
</file>