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6E2480" w:rsidRPr="002B73AC" w:rsidRDefault="00661044" w:rsidP="002B73A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2B73AC">
        <w:rPr>
          <w:b/>
          <w:bCs/>
          <w:noProof/>
          <w:color w:val="000000"/>
          <w:sz w:val="28"/>
          <w:szCs w:val="28"/>
        </w:rPr>
        <w:t>Дендритные потенциалы действия</w:t>
      </w:r>
    </w:p>
    <w:p w:rsidR="00C51E95" w:rsidRPr="002B73AC" w:rsidRDefault="002B73AC" w:rsidP="002B73A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br w:type="page"/>
      </w:r>
      <w:r w:rsidRPr="002B73AC">
        <w:rPr>
          <w:b/>
          <w:bCs/>
          <w:noProof/>
          <w:color w:val="000000"/>
          <w:sz w:val="28"/>
          <w:szCs w:val="28"/>
        </w:rPr>
        <w:t>План работы</w:t>
      </w:r>
    </w:p>
    <w:p w:rsidR="002B73AC" w:rsidRPr="002B73AC" w:rsidRDefault="002B73AC" w:rsidP="002B73A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B73AC" w:rsidRPr="002B73AC" w:rsidRDefault="002B73AC" w:rsidP="002B73A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Введение</w:t>
      </w:r>
    </w:p>
    <w:p w:rsidR="00C51E95" w:rsidRPr="002B73AC" w:rsidRDefault="00C51E95" w:rsidP="002B73AC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Проведение в дендритах</w:t>
      </w:r>
    </w:p>
    <w:p w:rsidR="00C51E95" w:rsidRPr="002B73AC" w:rsidRDefault="00C51E95" w:rsidP="002B73AC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Токи, протекающие между клетками</w:t>
      </w:r>
    </w:p>
    <w:p w:rsidR="00C51E95" w:rsidRPr="002B73AC" w:rsidRDefault="00C51E95" w:rsidP="002B73AC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Мембранный потенциал в аксоне кальмара</w:t>
      </w:r>
    </w:p>
    <w:p w:rsidR="00C51E95" w:rsidRPr="002B73AC" w:rsidRDefault="00C51E95" w:rsidP="002B73AC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Выводы</w:t>
      </w:r>
    </w:p>
    <w:p w:rsidR="00C51E95" w:rsidRPr="002B73AC" w:rsidRDefault="00C51E95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1044" w:rsidRPr="002B73AC" w:rsidRDefault="00C51E95" w:rsidP="002B73AC">
      <w:pPr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br w:type="page"/>
      </w:r>
      <w:r w:rsidR="002B73AC" w:rsidRPr="002B73AC">
        <w:rPr>
          <w:b/>
          <w:bCs/>
          <w:noProof/>
          <w:color w:val="000000"/>
          <w:sz w:val="28"/>
          <w:szCs w:val="28"/>
        </w:rPr>
        <w:t>Введение</w:t>
      </w:r>
    </w:p>
    <w:p w:rsidR="00661044" w:rsidRPr="002B73AC" w:rsidRDefault="00661044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339D" w:rsidRPr="002B73AC" w:rsidRDefault="00265775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Независимо от геометрического строения, порог возбуждения некоторых участков мембраны нейрона ниже, чем у других. Впервые это было отмечено Экклсом и коллегами. Они обнаружили, что при деполяризации потенциал действия сначала зарождается в области аксона, расположенной между телом клетки и первым межперехватным участком, а затем распространяется по аксону, а также назад в тело клетки и в дендриты. Примерно в то же время Куффлер и Айзагир показали, что деполяризация мембраны дендритов рецепторов растяжения рака вызывает потенциал действия не в самих дендритах, а в теле клетки или около него. Подобные наблюдения привели ученых к мысли о том, что дендриты не способны к возбуждению и служат лишь для пассивного проведения сигналов от дендритных синапсов до начального сегмента аксона. Гипотеза эта возникла вопреки большому количеству данных, противоречащих ей. Например, ранние опыты с внеклеточной регистрацией в моторной коре млекопитающих, проделанные Ли и Джаспером, убедительно продемонстрировали, что потенциал действия способен распространяться по ден</w:t>
      </w:r>
      <w:r w:rsidR="003C339D" w:rsidRPr="002B73AC">
        <w:rPr>
          <w:noProof/>
          <w:color w:val="000000"/>
          <w:sz w:val="28"/>
          <w:szCs w:val="28"/>
        </w:rPr>
        <w:t>дритам пирамидальных клеток, от тела клетки к поверхности коры со скоростью проведения около 3 м/с</w:t>
      </w:r>
      <w:r w:rsidR="002B73AC" w:rsidRPr="002B73AC">
        <w:rPr>
          <w:noProof/>
          <w:color w:val="000000"/>
          <w:sz w:val="28"/>
          <w:szCs w:val="28"/>
        </w:rPr>
        <w:t>.</w:t>
      </w:r>
    </w:p>
    <w:p w:rsidR="00661044" w:rsidRPr="002B73AC" w:rsidRDefault="00661044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1044" w:rsidRPr="002B73AC" w:rsidRDefault="002B73AC" w:rsidP="002B73AC">
      <w:pPr>
        <w:pStyle w:val="4"/>
        <w:spacing w:before="0" w:after="0" w:line="360" w:lineRule="auto"/>
        <w:ind w:firstLine="709"/>
        <w:jc w:val="both"/>
        <w:rPr>
          <w:noProof/>
          <w:color w:val="000000"/>
        </w:rPr>
      </w:pPr>
      <w:r w:rsidRPr="002B73AC">
        <w:rPr>
          <w:noProof/>
          <w:color w:val="000000"/>
        </w:rPr>
        <w:br w:type="page"/>
      </w:r>
      <w:r w:rsidR="00661044" w:rsidRPr="002B73AC">
        <w:rPr>
          <w:noProof/>
          <w:color w:val="000000"/>
        </w:rPr>
        <w:t>Проведение в дендритах</w:t>
      </w:r>
    </w:p>
    <w:p w:rsidR="00661044" w:rsidRPr="002B73AC" w:rsidRDefault="00661044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339D" w:rsidRPr="002B73AC" w:rsidRDefault="003C339D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 xml:space="preserve">Дендритные потенциалы действия, обусловленные регенеративными натриевыми и кальциевыми токами, обнаружены во многих типах нервных клеток. В мозжечке клетки Пуркинье способны генерировать не только натриевые потенциалы действия в области сомы, но и кальциевые потенциалы действия в дендритах. </w:t>
      </w:r>
      <w:r w:rsidR="00661044" w:rsidRPr="002B73AC">
        <w:rPr>
          <w:noProof/>
          <w:color w:val="000000"/>
          <w:sz w:val="28"/>
          <w:szCs w:val="28"/>
        </w:rPr>
        <w:t>Д</w:t>
      </w:r>
      <w:r w:rsidRPr="002B73AC">
        <w:rPr>
          <w:noProof/>
          <w:color w:val="000000"/>
          <w:sz w:val="28"/>
          <w:szCs w:val="28"/>
        </w:rPr>
        <w:t>ендритный кальциевый потенциал действия успешно достигает тела клетки. Соматический потенциал действия, напротив, не распространяется по всему дендритному дереву, но пассивно проникает в него лишь на короткие дистанции.</w:t>
      </w:r>
    </w:p>
    <w:p w:rsidR="003C339D" w:rsidRPr="002B73AC" w:rsidRDefault="003C339D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Как и в клетках Пуркинье, в пирамидальных клетках коры наблюдаются натриевые потенциалы действия, обычно возникающие в начальных участках аксона. В удаленных дендритах этих клеток было показано наличие кальциевых потенциалов действия. Ответ пирамидальной клетки на деполяризацию, вызванную активацией возбуждающих синапсов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на удаленных дендритах. Небольшая синаптическая активация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вызывает деполяризацию дендритов, которая пассивно распространяется к соме. Эта деполяризация вызывает в соме потенциал действия, который распространяется обратно в дендрит. Более сильная синаптическая активация приводит к генерации собственного потенциала действия в дендрите, возникающего раньше соматического.</w:t>
      </w:r>
    </w:p>
    <w:p w:rsidR="003C339D" w:rsidRPr="002B73AC" w:rsidRDefault="003C339D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Несмотря на обширные данные о регенеративной активности в дендритах, общее представление об аксонном холмике как о наиболее возбудимой части клетки по--прежнему сохраняется.</w:t>
      </w:r>
    </w:p>
    <w:p w:rsidR="0044490C" w:rsidRPr="002B73AC" w:rsidRDefault="003C339D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Очевидно, что распространение потенциала действия в дендрите представляет собой гораздо более сложный процесс, чем в</w:t>
      </w:r>
      <w:r w:rsidR="0044490C" w:rsidRPr="002B73AC">
        <w:rPr>
          <w:noProof/>
          <w:color w:val="000000"/>
          <w:sz w:val="28"/>
          <w:szCs w:val="28"/>
        </w:rPr>
        <w:t xml:space="preserve"> аксоне. Во-первых, в аксоне справедливо допущение, что подпороговые изменения потенциала не влияют на пассивные свойства мембраны. В дендритах, напротив, это допущение невозможно благодаря наличию целого ряда потенциалзависимых проводимостей, кроме тех, что обычно участвуют в генерации потенциала действия. Положение еше более усложняется тем, что в дендритном дереве потенциалы действия соседствуют с синаптическими потенциалами. Например, фактор надежности обратного распространения потенциала действия из сомы зависит от входного сопротивления различных ветвей; входное сопротивление, в свою очередь, зависит от степени активности возбуждающих и тормозных синапсов. Таким образом, обратное распространение возбуждения в дендриты зависит от синаптической активности. В то же время поведение потенциалзависимых синаптических токов будет меняться в зависимости от обратного распространения возбуждения</w:t>
      </w:r>
      <w:r w:rsidR="002B73AC" w:rsidRPr="002B73AC">
        <w:rPr>
          <w:noProof/>
          <w:color w:val="000000"/>
          <w:sz w:val="28"/>
          <w:szCs w:val="28"/>
        </w:rPr>
        <w:t>.</w:t>
      </w:r>
      <w:r w:rsidR="0044490C" w:rsidRPr="002B73AC">
        <w:rPr>
          <w:noProof/>
          <w:color w:val="000000"/>
          <w:sz w:val="28"/>
          <w:szCs w:val="28"/>
        </w:rPr>
        <w:t xml:space="preserve"> Процесс понимания этих сложных процессов синаптической интеграции и обработки сигналов находится е</w:t>
      </w:r>
      <w:r w:rsidR="00C21902" w:rsidRPr="002B73AC">
        <w:rPr>
          <w:noProof/>
          <w:color w:val="000000"/>
          <w:sz w:val="28"/>
          <w:szCs w:val="28"/>
        </w:rPr>
        <w:t>щ</w:t>
      </w:r>
      <w:r w:rsidR="0044490C" w:rsidRPr="002B73AC">
        <w:rPr>
          <w:noProof/>
          <w:color w:val="000000"/>
          <w:sz w:val="28"/>
          <w:szCs w:val="28"/>
        </w:rPr>
        <w:t>е в самом начале.</w:t>
      </w:r>
    </w:p>
    <w:p w:rsidR="00661044" w:rsidRPr="002B73AC" w:rsidRDefault="00661044" w:rsidP="002B73AC">
      <w:pPr>
        <w:pStyle w:val="4"/>
        <w:spacing w:before="0" w:after="0" w:line="360" w:lineRule="auto"/>
        <w:ind w:firstLine="709"/>
        <w:jc w:val="both"/>
        <w:rPr>
          <w:noProof/>
          <w:color w:val="000000"/>
        </w:rPr>
      </w:pPr>
      <w:bookmarkStart w:id="0" w:name="_Toc79953925"/>
    </w:p>
    <w:p w:rsidR="0044490C" w:rsidRPr="002B73AC" w:rsidRDefault="0044490C" w:rsidP="002B73AC">
      <w:pPr>
        <w:pStyle w:val="4"/>
        <w:spacing w:before="0" w:after="0" w:line="360" w:lineRule="auto"/>
        <w:ind w:firstLine="709"/>
        <w:jc w:val="both"/>
        <w:rPr>
          <w:noProof/>
          <w:color w:val="000000"/>
        </w:rPr>
      </w:pPr>
      <w:r w:rsidRPr="002B73AC">
        <w:rPr>
          <w:noProof/>
          <w:color w:val="000000"/>
        </w:rPr>
        <w:t>Токи, протекающие между клетками</w:t>
      </w:r>
      <w:bookmarkEnd w:id="0"/>
    </w:p>
    <w:p w:rsidR="00661044" w:rsidRPr="002B73AC" w:rsidRDefault="00661044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en-US"/>
        </w:rPr>
      </w:pPr>
    </w:p>
    <w:p w:rsidR="0044490C" w:rsidRPr="002B73AC" w:rsidRDefault="0044490C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 xml:space="preserve">В большинстве случаев электрический ток не может течь напрямую с одной клетки на другую. Существуют, однако, </w:t>
      </w:r>
      <w:r w:rsidRPr="002B73AC">
        <w:rPr>
          <w:b/>
          <w:bCs/>
          <w:noProof/>
          <w:color w:val="000000"/>
          <w:sz w:val="28"/>
          <w:szCs w:val="28"/>
        </w:rPr>
        <w:t xml:space="preserve">электрически сопряженные </w:t>
      </w:r>
      <w:r w:rsidRPr="002B73AC">
        <w:rPr>
          <w:noProof/>
          <w:color w:val="000000"/>
          <w:sz w:val="28"/>
          <w:szCs w:val="28"/>
        </w:rPr>
        <w:t>клетки. Здесь речь пойдет об особых межклеточных структурах, обеспечивающих электрическую непрерывность между ними.</w:t>
      </w:r>
    </w:p>
    <w:p w:rsidR="0044490C" w:rsidRPr="002B73AC" w:rsidRDefault="0044490C" w:rsidP="002B73AC">
      <w:pPr>
        <w:pStyle w:val="5"/>
        <w:spacing w:before="0" w:after="0" w:line="360" w:lineRule="auto"/>
        <w:ind w:firstLine="709"/>
        <w:jc w:val="both"/>
        <w:rPr>
          <w:i w:val="0"/>
          <w:iCs w:val="0"/>
          <w:noProof/>
          <w:color w:val="000000"/>
          <w:sz w:val="28"/>
          <w:szCs w:val="28"/>
        </w:rPr>
      </w:pPr>
      <w:bookmarkStart w:id="1" w:name="_Toc79953926"/>
      <w:r w:rsidRPr="002B73AC">
        <w:rPr>
          <w:i w:val="0"/>
          <w:iCs w:val="0"/>
          <w:noProof/>
          <w:color w:val="000000"/>
          <w:sz w:val="28"/>
          <w:szCs w:val="28"/>
        </w:rPr>
        <w:t>Структуры, обеспечивающие электрическое сопряжение: щелевые соединения</w:t>
      </w:r>
      <w:bookmarkEnd w:id="1"/>
    </w:p>
    <w:p w:rsidR="0044490C" w:rsidRPr="002B73AC" w:rsidRDefault="0044490C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В местах электрического сопряжения межклеточный ток протекает через щелевые соединения</w:t>
      </w:r>
      <w:r w:rsidR="002B73AC" w:rsidRPr="002B73AC">
        <w:rPr>
          <w:noProof/>
          <w:color w:val="000000"/>
          <w:sz w:val="28"/>
          <w:szCs w:val="28"/>
        </w:rPr>
        <w:t>.</w:t>
      </w:r>
      <w:r w:rsidRPr="002B73AC">
        <w:rPr>
          <w:noProof/>
          <w:color w:val="000000"/>
          <w:sz w:val="28"/>
          <w:szCs w:val="28"/>
        </w:rPr>
        <w:t xml:space="preserve"> Щелевым соединением называется участок тесного контакта мембран двух клеток, в каждой из которых имеется скопление особых частиц, собранных в гексагональные структуры</w:t>
      </w:r>
      <w:r w:rsidR="002B73AC" w:rsidRPr="002B73AC">
        <w:rPr>
          <w:noProof/>
          <w:color w:val="000000"/>
          <w:sz w:val="28"/>
          <w:szCs w:val="28"/>
        </w:rPr>
        <w:t>.</w:t>
      </w:r>
      <w:r w:rsidRPr="002B73AC">
        <w:rPr>
          <w:noProof/>
          <w:color w:val="000000"/>
          <w:sz w:val="28"/>
          <w:szCs w:val="28"/>
        </w:rPr>
        <w:t xml:space="preserve"> Каждая частица, именуемая </w:t>
      </w:r>
      <w:r w:rsidRPr="002B73AC">
        <w:rPr>
          <w:b/>
          <w:bCs/>
          <w:noProof/>
          <w:color w:val="000000"/>
          <w:sz w:val="28"/>
          <w:szCs w:val="28"/>
        </w:rPr>
        <w:t xml:space="preserve">коннексоном, </w:t>
      </w:r>
      <w:r w:rsidRPr="002B73AC">
        <w:rPr>
          <w:noProof/>
          <w:color w:val="000000"/>
          <w:sz w:val="28"/>
          <w:szCs w:val="28"/>
        </w:rPr>
        <w:t>состоит из шести белковых субъединиц, образующих круг с внешним диаметром около 10 нм и внутренним диаметром 2 нм. На сопряженной клетке находится точно такая же структура. Совместно они пронизывают зазор между мембранами (2-3 нм). Полость в сердцевине соединенных коннексонов способствует перемещению ионов и мелких молекул между клетками. Проводимость одиночного канала, образованного двумя сопряженными молекулами коннексона, составляет около 100 пСм.</w:t>
      </w:r>
    </w:p>
    <w:p w:rsidR="0044490C" w:rsidRPr="002B73AC" w:rsidRDefault="0044490C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Целый ряд белковых субъединиц коннексона (коннексонов) массой 26-56 кД был изолирован и клонирован. Названия соответствуют массе: например, коннексон-32 (32 кД) найден в печени крысы, коннексон-43 — в сердечной мышце, и т.д. Гидропатический анализ указывает на то, что коннексоны состоят из четырех спиральных сегментов, пронизывающих мембрану. Исследования с применением антител подтвердили, что N-конец и С-конец коннексонов расположены в цитоплазме. В каждом типе ткани в формировании коннексона участвует один или, возможно, всего несколько типов коннексонов, однако функциональное сопряжение возможно: например, когда иРНК для коннексона-32 инъецирована в одну из клеток, а для коннексона-42 — в другую, сопряженную с первой Сформировать щелевое соединение можно искусственно, инъецировав иРНК в два соприкасающихся ооцита Xenopus**). Важнейшим неразрешенным вопросом остается то, каким образом коннексоны на двух сопряженных клетках находят друг друга, а затем подстраивают свое положение друг под друга, не формируя при этом поры между цитоплазмой и внеклеточной средой.</w:t>
      </w:r>
    </w:p>
    <w:p w:rsidR="00661044" w:rsidRPr="002B73AC" w:rsidRDefault="00661044" w:rsidP="002B73AC">
      <w:pPr>
        <w:pStyle w:val="4"/>
        <w:spacing w:before="0" w:after="0" w:line="360" w:lineRule="auto"/>
        <w:ind w:firstLine="709"/>
        <w:jc w:val="both"/>
        <w:rPr>
          <w:noProof/>
          <w:color w:val="000000"/>
        </w:rPr>
      </w:pPr>
    </w:p>
    <w:p w:rsidR="00661044" w:rsidRPr="002B73AC" w:rsidRDefault="00661044" w:rsidP="002B73AC">
      <w:pPr>
        <w:pStyle w:val="4"/>
        <w:spacing w:before="0" w:after="0" w:line="360" w:lineRule="auto"/>
        <w:ind w:firstLine="709"/>
        <w:jc w:val="both"/>
        <w:rPr>
          <w:noProof/>
          <w:color w:val="000000"/>
        </w:rPr>
      </w:pPr>
      <w:r w:rsidRPr="002B73AC">
        <w:rPr>
          <w:noProof/>
          <w:color w:val="000000"/>
        </w:rPr>
        <w:t>Мембранный потенциал в аксоне кальмара</w:t>
      </w:r>
    </w:p>
    <w:p w:rsidR="00661044" w:rsidRPr="002B73AC" w:rsidRDefault="00661044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en-US"/>
        </w:rPr>
      </w:pPr>
    </w:p>
    <w:p w:rsidR="00661044" w:rsidRPr="002B73AC" w:rsidRDefault="00661044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Гипотеза о том, что в основе мембранного потенциала лежит различие между внеклеточной и внутриклеточной концентрациями калия, была впервые высказана Бернштейном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в 1902 г. Ему не удалось проверить свое предположение экспериментально, поскольку в то время не существовало способа измерения мембранного потенциала. В наши дни можно с высокой точностью измерить мембранный потенциал, а также убедиться в том, что изменения концентрации калия внутри и снаружи клетки приводят к изменениям мембранного потенциала в соответствии с предсказаниями уравнения Нернста.</w:t>
      </w:r>
    </w:p>
    <w:p w:rsidR="00661044" w:rsidRPr="002B73AC" w:rsidRDefault="00661044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Впервые такие измерения были проведены на гигантском аксоне кальмара. Аксон этот достигает 1 ммоль в диаметре, что позволяет вводить в него электроды с целью прямого измерения мембранного потенциала. Более того, аксон кальмара удивительно живуч и продолжает функционировать, даже если из него выдавить цитоплазму с помощью резинового валика и заменить ее на перфузионный раствор. У исследователя есть возможность контролировать ионный состав как внеклеточного, так и</w:t>
      </w:r>
      <w:r w:rsidR="002B73AC" w:rsidRPr="002B73AC">
        <w:rPr>
          <w:noProof/>
          <w:color w:val="000000"/>
          <w:sz w:val="28"/>
          <w:szCs w:val="28"/>
        </w:rPr>
        <w:t xml:space="preserve"> внутриклеточного растворов. А.Л. Ходжкин, вместе с А.</w:t>
      </w:r>
      <w:r w:rsidRPr="002B73AC">
        <w:rPr>
          <w:noProof/>
          <w:color w:val="000000"/>
          <w:sz w:val="28"/>
          <w:szCs w:val="28"/>
        </w:rPr>
        <w:t>Ф. Хаксли впервые поставивший многие эксперименты на аксоне кальмара (за которые они позже были удостоены Нобелевской премии), однажды сказал :</w:t>
      </w:r>
    </w:p>
    <w:p w:rsidR="00661044" w:rsidRPr="002B73AC" w:rsidRDefault="00661044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Можно утверждать, что введение Юнгом в 1936 году препарата аксона кальмара имело для науки об аксоне большее значение, чем какое-либо другое открытие, сделанное за последние 40 лет. Один выдающийся нейрофизиолог заметил недавно во время ужина на одном из конгрессов (не самым тактичным образом, должен признать): «Если честно. Нобелевскую премию нужно было присвоить кальмару».</w:t>
      </w:r>
    </w:p>
    <w:p w:rsidR="00661044" w:rsidRPr="002B73AC" w:rsidRDefault="00661044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Концентрации основных ионов в крови кальмара, а также в цитоплазме его аксона (такие ионы, как магний и внутриклеточные анионы, опущены). Эксперименты на изолированном аксоне обычно проводятся в морской воде, соотношение концентраций калия во внутриклеточной и внеклеточной средах составляет при этом 40 : 1. Если бы мембранный потенциал был равен равновесному потенциалу для калия, его значение было бы –93 мВ. В действительности мембранный потенциал гораздо менее отрицателен (от –65 до –70 мВ). С другой стороны, это значение более отрицательно, чем равновесный потенциал для хлора (+55 мВ). Гипотеза Бернштейна была проверена путем измерения потенциала покоя и сравнения его с калиевым равновесным потенциалом при различных значениях внеклеточной концентрации калия. Заметим, что, как и в случае модели идеальной клетки, изменения уровня калия снаружи не влекут за собой значительных изменений его внутриклеточной концентрации. Из уравнения Нернста следует, что изменение концентрационного градиента в 10 раз при комнатной температуре приведет к изменению мембранного потенциала на 58 мВ. Результат эксперимента по варьированию внеклеточного уровня калия показан на рис. 5.4. На оси абсцисс представлен логарифм внеклеточной концентрации калия, а на оси ординат — мембранный потенциал.</w:t>
      </w:r>
    </w:p>
    <w:p w:rsidR="0044490C" w:rsidRPr="002B73AC" w:rsidRDefault="002B73AC" w:rsidP="002B73AC">
      <w:pPr>
        <w:pStyle w:val="6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2" w:name="_Toc79953927"/>
      <w:r w:rsidRPr="002B73AC">
        <w:rPr>
          <w:noProof/>
          <w:color w:val="000000"/>
          <w:sz w:val="28"/>
          <w:szCs w:val="28"/>
        </w:rPr>
        <w:br w:type="page"/>
      </w:r>
      <w:r w:rsidR="0044490C" w:rsidRPr="002B73AC">
        <w:rPr>
          <w:noProof/>
          <w:color w:val="000000"/>
          <w:sz w:val="28"/>
          <w:szCs w:val="28"/>
        </w:rPr>
        <w:t>Выводы</w:t>
      </w:r>
      <w:bookmarkEnd w:id="2"/>
    </w:p>
    <w:p w:rsidR="002B73AC" w:rsidRPr="002B73AC" w:rsidRDefault="002B73AC" w:rsidP="002B73AC">
      <w:pPr>
        <w:rPr>
          <w:noProof/>
        </w:rPr>
      </w:pPr>
    </w:p>
    <w:p w:rsidR="0044490C" w:rsidRPr="002B73AC" w:rsidRDefault="0044490C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∙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Распространение местных подпороговых потенциалов в нейронах, а также продвижение потенциала действия вдоль нервного волокна, зависит от электрических свойств цитоплазмы и мембраны клетки.</w:t>
      </w:r>
    </w:p>
    <w:p w:rsidR="006911B6" w:rsidRPr="002B73AC" w:rsidRDefault="0044490C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∙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При инъекции постоянного тока в цилиндрическое волокно величина местного потенциала определяется входным сопротивлением волокна (r</w:t>
      </w:r>
      <w:r w:rsidRPr="002B73AC">
        <w:rPr>
          <w:noProof/>
          <w:color w:val="000000"/>
          <w:sz w:val="28"/>
          <w:szCs w:val="28"/>
          <w:vertAlign w:val="subscript"/>
        </w:rPr>
        <w:t>inрut</w:t>
      </w:r>
      <w:r w:rsidRPr="002B73AC">
        <w:rPr>
          <w:noProof/>
          <w:color w:val="000000"/>
          <w:sz w:val="28"/>
          <w:szCs w:val="28"/>
        </w:rPr>
        <w:t>), а также расстоянием, на которое он может распространиться, определяемым постоянной длины.</w:t>
      </w:r>
    </w:p>
    <w:p w:rsidR="006911B6" w:rsidRPr="002B73AC" w:rsidRDefault="006911B6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∙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Входное сопротивление и постоянная длины зависят, в свою очередь, от удельного сопротивления мембраны (R</w:t>
      </w:r>
      <w:r w:rsidRPr="002B73AC">
        <w:rPr>
          <w:noProof/>
          <w:color w:val="000000"/>
          <w:sz w:val="28"/>
          <w:szCs w:val="28"/>
          <w:vertAlign w:val="subscript"/>
        </w:rPr>
        <w:t>m</w:t>
      </w:r>
      <w:r w:rsidRPr="002B73AC">
        <w:rPr>
          <w:noProof/>
          <w:color w:val="000000"/>
          <w:sz w:val="28"/>
          <w:szCs w:val="28"/>
        </w:rPr>
        <w:t>)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и аксоплазмы (R</w:t>
      </w:r>
      <w:r w:rsidRPr="002B73AC">
        <w:rPr>
          <w:noProof/>
          <w:color w:val="000000"/>
          <w:sz w:val="28"/>
          <w:szCs w:val="28"/>
          <w:vertAlign w:val="subscript"/>
        </w:rPr>
        <w:t>i</w:t>
      </w:r>
      <w:r w:rsidRPr="002B73AC">
        <w:rPr>
          <w:noProof/>
          <w:color w:val="000000"/>
          <w:sz w:val="28"/>
          <w:szCs w:val="28"/>
        </w:rPr>
        <w:t>), а также диаметра волокна.</w:t>
      </w:r>
    </w:p>
    <w:p w:rsidR="006911B6" w:rsidRPr="002B73AC" w:rsidRDefault="006911B6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∙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Кроме резисторных,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мембрана обл</w:t>
      </w:r>
      <w:r w:rsidR="002B73AC" w:rsidRPr="002B73AC">
        <w:rPr>
          <w:noProof/>
          <w:color w:val="000000"/>
          <w:sz w:val="28"/>
          <w:szCs w:val="28"/>
        </w:rPr>
        <w:t>а</w:t>
      </w:r>
      <w:r w:rsidRPr="002B73AC">
        <w:rPr>
          <w:noProof/>
          <w:color w:val="000000"/>
          <w:sz w:val="28"/>
          <w:szCs w:val="28"/>
        </w:rPr>
        <w:t>дает емкостными свойствами. Емкость мембраны (С</w:t>
      </w:r>
      <w:r w:rsidRPr="002B73AC">
        <w:rPr>
          <w:noProof/>
          <w:color w:val="000000"/>
          <w:sz w:val="28"/>
          <w:szCs w:val="28"/>
          <w:vertAlign w:val="subscript"/>
        </w:rPr>
        <w:t>т</w:t>
      </w:r>
      <w:r w:rsidRPr="002B73AC">
        <w:rPr>
          <w:noProof/>
          <w:color w:val="000000"/>
          <w:sz w:val="28"/>
          <w:szCs w:val="28"/>
        </w:rPr>
        <w:t>)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 xml:space="preserve">проявляется в замедлении фаз роста и спада электрических сигналов. Величина этого эффекта определяется </w:t>
      </w:r>
      <w:r w:rsidR="00661044" w:rsidRPr="002B73AC">
        <w:rPr>
          <w:noProof/>
          <w:color w:val="000000"/>
          <w:sz w:val="28"/>
          <w:szCs w:val="28"/>
        </w:rPr>
        <w:t>выражением</w:t>
      </w:r>
      <w:r w:rsidRPr="002B73AC">
        <w:rPr>
          <w:noProof/>
          <w:color w:val="000000"/>
          <w:sz w:val="28"/>
          <w:szCs w:val="28"/>
        </w:rPr>
        <w:t>.</w:t>
      </w:r>
    </w:p>
    <w:p w:rsidR="006911B6" w:rsidRPr="002B73AC" w:rsidRDefault="006911B6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∙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Распространение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потенциала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действия вдоль волокна зависит от пассивного перемещения тока от активного участка мембраны к соседнему. Скорость проведения зависит от постоянной времени и постоянной длины мембраны.</w:t>
      </w:r>
    </w:p>
    <w:p w:rsidR="006911B6" w:rsidRPr="002B73AC" w:rsidRDefault="006911B6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∙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Крупные нервные волокна позвоночных завернуты в миелиновую оболочку, выработанную шванновскими клетками. Оболочка прерывается через равные промежутки, образуя перехваты Ранвье. Во время прохождения возбуждения потенциал</w:t>
      </w:r>
    </w:p>
    <w:p w:rsidR="006911B6" w:rsidRPr="002B73AC" w:rsidRDefault="006911B6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действия «перескакивает» с одного перехвата на другой (явление сальтаторного проведения).</w:t>
      </w:r>
    </w:p>
    <w:p w:rsidR="006911B6" w:rsidRPr="002B73AC" w:rsidRDefault="006911B6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∙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Распространение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потенциала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действия сильно зависит от геометрических факторов, связанных с изменением площади поверхности мембраны. Распространение может быть прерванным в точках ветвления нервного окончания, и перемещение возбуждения в разветвленных дендритах может иметь предпочтительные направления.</w:t>
      </w:r>
    </w:p>
    <w:p w:rsidR="006911B6" w:rsidRPr="002B73AC" w:rsidRDefault="006911B6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∙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Перенос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электрического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заряда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с</w:t>
      </w:r>
      <w:r w:rsidR="002B73AC" w:rsidRPr="002B73AC">
        <w:rPr>
          <w:noProof/>
          <w:color w:val="000000"/>
          <w:sz w:val="28"/>
          <w:szCs w:val="28"/>
        </w:rPr>
        <w:t xml:space="preserve"> </w:t>
      </w:r>
      <w:r w:rsidRPr="002B73AC">
        <w:rPr>
          <w:noProof/>
          <w:color w:val="000000"/>
          <w:sz w:val="28"/>
          <w:szCs w:val="28"/>
        </w:rPr>
        <w:t>одной клетки на другую происходит в местах межклеточных контактов, обладающих низким сопротивлением и называемых щелевыми соединениями. Эти соединения образованы скоплениями коннексонов, белковых молекул, способных формировать водные поры между цитоплазмами смежных клеток.</w:t>
      </w:r>
    </w:p>
    <w:p w:rsidR="006E2480" w:rsidRPr="002B73AC" w:rsidRDefault="002B73AC" w:rsidP="002B73A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br w:type="page"/>
      </w:r>
      <w:r w:rsidRPr="002B73AC">
        <w:rPr>
          <w:b/>
          <w:bCs/>
          <w:noProof/>
          <w:color w:val="000000"/>
          <w:sz w:val="28"/>
          <w:szCs w:val="28"/>
        </w:rPr>
        <w:t>Литература</w:t>
      </w:r>
    </w:p>
    <w:p w:rsidR="006E2480" w:rsidRPr="002B73AC" w:rsidRDefault="006E2480" w:rsidP="002B73A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2480" w:rsidRPr="002B73AC" w:rsidRDefault="006E2480" w:rsidP="002B73AC">
      <w:pPr>
        <w:numPr>
          <w:ilvl w:val="0"/>
          <w:numId w:val="4"/>
        </w:numPr>
        <w:tabs>
          <w:tab w:val="clear" w:pos="1769"/>
          <w:tab w:val="num" w:pos="-204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Пенроуз Р. НОВЫЙ УМ КОРОЛЯ. О компьютерах, мышлении и законах физики.</w:t>
      </w:r>
    </w:p>
    <w:p w:rsidR="006E2480" w:rsidRPr="002B73AC" w:rsidRDefault="006E2480" w:rsidP="002B73AC">
      <w:pPr>
        <w:numPr>
          <w:ilvl w:val="0"/>
          <w:numId w:val="4"/>
        </w:numPr>
        <w:tabs>
          <w:tab w:val="clear" w:pos="1769"/>
          <w:tab w:val="num" w:pos="-204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Грегори Р. Л. Разумный глаз.</w:t>
      </w:r>
    </w:p>
    <w:p w:rsidR="006E2480" w:rsidRPr="002B73AC" w:rsidRDefault="006E2480" w:rsidP="002B73AC">
      <w:pPr>
        <w:numPr>
          <w:ilvl w:val="0"/>
          <w:numId w:val="4"/>
        </w:numPr>
        <w:tabs>
          <w:tab w:val="clear" w:pos="1769"/>
          <w:tab w:val="num" w:pos="-204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Леках В. А. Ключ к пониманию физиологии.</w:t>
      </w:r>
    </w:p>
    <w:p w:rsidR="006E2480" w:rsidRPr="002B73AC" w:rsidRDefault="006E2480" w:rsidP="002B73AC">
      <w:pPr>
        <w:numPr>
          <w:ilvl w:val="0"/>
          <w:numId w:val="4"/>
        </w:numPr>
        <w:tabs>
          <w:tab w:val="clear" w:pos="1769"/>
          <w:tab w:val="num" w:pos="-204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B73AC">
        <w:rPr>
          <w:noProof/>
          <w:color w:val="000000"/>
          <w:sz w:val="28"/>
          <w:szCs w:val="28"/>
        </w:rPr>
        <w:t>Гамов Г., Ичас М. Мистер Томпкинс внутри самого себя: Приключения в новой биологии.</w:t>
      </w:r>
      <w:bookmarkStart w:id="3" w:name="_GoBack"/>
      <w:bookmarkEnd w:id="3"/>
    </w:p>
    <w:sectPr w:rsidR="006E2480" w:rsidRPr="002B73AC" w:rsidSect="002B73A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44" w:rsidRDefault="003A7244">
      <w:r>
        <w:separator/>
      </w:r>
    </w:p>
  </w:endnote>
  <w:endnote w:type="continuationSeparator" w:id="0">
    <w:p w:rsidR="003A7244" w:rsidRDefault="003A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AC" w:rsidRDefault="00A222FE" w:rsidP="00CD26F0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B73AC" w:rsidRDefault="002B73AC" w:rsidP="002B73A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AC" w:rsidRDefault="002B73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44" w:rsidRDefault="003A7244">
      <w:r>
        <w:separator/>
      </w:r>
    </w:p>
  </w:footnote>
  <w:footnote w:type="continuationSeparator" w:id="0">
    <w:p w:rsidR="003A7244" w:rsidRDefault="003A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AC" w:rsidRDefault="002B73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AC" w:rsidRDefault="002B73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D2B6A"/>
    <w:multiLevelType w:val="hybridMultilevel"/>
    <w:tmpl w:val="7A6C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560CF"/>
    <w:multiLevelType w:val="multilevel"/>
    <w:tmpl w:val="7A6C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76E8E"/>
    <w:multiLevelType w:val="hybridMultilevel"/>
    <w:tmpl w:val="2E3883B0"/>
    <w:lvl w:ilvl="0" w:tplc="1DC8FBBA">
      <w:start w:val="1"/>
      <w:numFmt w:val="decimal"/>
      <w:lvlText w:val="%1."/>
      <w:lvlJc w:val="left"/>
      <w:pPr>
        <w:tabs>
          <w:tab w:val="num" w:pos="1769"/>
        </w:tabs>
        <w:ind w:left="17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DD30853"/>
    <w:multiLevelType w:val="hybridMultilevel"/>
    <w:tmpl w:val="30022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480"/>
    <w:rsid w:val="00265775"/>
    <w:rsid w:val="002B73AC"/>
    <w:rsid w:val="003A7244"/>
    <w:rsid w:val="003C339D"/>
    <w:rsid w:val="0044490C"/>
    <w:rsid w:val="005C6AF8"/>
    <w:rsid w:val="00661044"/>
    <w:rsid w:val="006911B6"/>
    <w:rsid w:val="006E2480"/>
    <w:rsid w:val="009D5EBD"/>
    <w:rsid w:val="00A222FE"/>
    <w:rsid w:val="00AC49FB"/>
    <w:rsid w:val="00C21902"/>
    <w:rsid w:val="00C51E95"/>
    <w:rsid w:val="00CD26F0"/>
    <w:rsid w:val="00D50A94"/>
    <w:rsid w:val="00D86EFB"/>
    <w:rsid w:val="00F7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722706-AF70-4D7D-BB2B-9B39F893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80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65775"/>
    <w:pPr>
      <w:keepNext/>
      <w:autoSpaceDE w:val="0"/>
      <w:autoSpaceDN w:val="0"/>
      <w:spacing w:before="120" w:after="60"/>
      <w:outlineLvl w:val="3"/>
    </w:pPr>
    <w:rPr>
      <w:b/>
      <w:bCs/>
      <w:color w:val="333399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449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449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2B7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B7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B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Литература:</vt:lpstr>
    </vt:vector>
  </TitlesOfParts>
  <Company>home</Company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Литература:</dc:title>
  <dc:subject/>
  <dc:creator>DJ_Diesel</dc:creator>
  <cp:keywords/>
  <dc:description/>
  <cp:lastModifiedBy>admin</cp:lastModifiedBy>
  <cp:revision>2</cp:revision>
  <dcterms:created xsi:type="dcterms:W3CDTF">2014-03-13T18:26:00Z</dcterms:created>
  <dcterms:modified xsi:type="dcterms:W3CDTF">2014-03-13T18:26:00Z</dcterms:modified>
</cp:coreProperties>
</file>