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38E" w:rsidRPr="009B7AF0" w:rsidRDefault="0095638E" w:rsidP="009B7AF0">
      <w:pPr>
        <w:pStyle w:val="1"/>
        <w:spacing w:line="360" w:lineRule="auto"/>
        <w:ind w:firstLine="709"/>
        <w:jc w:val="center"/>
        <w:rPr>
          <w:rFonts w:ascii="Times New Roman" w:hAnsi="Times New Roman" w:cs="Times New Roman"/>
          <w:color w:val="auto"/>
          <w:sz w:val="28"/>
          <w:szCs w:val="28"/>
        </w:rPr>
      </w:pPr>
      <w:r w:rsidRPr="009B7AF0">
        <w:rPr>
          <w:rFonts w:ascii="Times New Roman" w:hAnsi="Times New Roman" w:cs="Times New Roman"/>
          <w:color w:val="auto"/>
          <w:sz w:val="28"/>
          <w:szCs w:val="28"/>
        </w:rPr>
        <w:t>Денежная масса и ее роль в денежно-кредитной политике</w:t>
      </w:r>
    </w:p>
    <w:p w:rsidR="009B7AF0" w:rsidRPr="009B7AF0" w:rsidRDefault="009B7AF0" w:rsidP="009B7AF0">
      <w:pPr>
        <w:pStyle w:val="1"/>
        <w:spacing w:line="360" w:lineRule="auto"/>
        <w:ind w:firstLine="709"/>
        <w:jc w:val="both"/>
        <w:rPr>
          <w:rFonts w:ascii="Times New Roman" w:hAnsi="Times New Roman" w:cs="Times New Roman"/>
          <w:b w:val="0"/>
          <w:color w:val="auto"/>
          <w:sz w:val="28"/>
          <w:szCs w:val="28"/>
        </w:rPr>
      </w:pP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Денежное обращение – это движение денег во внутреннем экономическом обороте страны, в системе внешнеэкономических связей в наличной и безналичной форме, обслуживающее реализацию товаров и услуг, а также нетоварные платежи в хозяйстве. Базовыми категориями денежного обращения являются денежная единица, денежная масса, денежная система и денежно-кредитная политика.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Денежная единица – это исторически сложившаяся законодательно закрепленная национальная единица измерения количества денег, цен, товара и услуг. Законом о Центральном банке РФ установлено, что одной из основных целей деятельности банка является защита и обеспечение устойчивости рубля, в том числе его покупательной способности и курса по отношению к иностранным валютам.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Денежная масса – это сумма наличных и безналичных денежных средств, а также других средств платежа.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Денежно-кредитная политика представляет собой совокупность денежно-кредитных инструментов (параметры денежной массы, нормы резервов, уровень процента, сроки кредита, ставки рефинансирования и т.д.) и институтов денежно-кредитного регулирования (центральный банк, министерство финансов и т.д.).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Денежная система представляет собой форму организации денежного обращения, которая имеет исторический характер и изменяется в соответствии с сущностью экономической системы и основами денежно-кредитной политики.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Денежное обращение – достаточно сложная конструкция, соединяющая как основные сущностные характеристики денег, так и механизмы, и способы использования денег для содействия экономическому и социальному развитию страны.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Роль денежного обращения. Его правильная организация проявляются в следующих моментах: во-первых, отлаженность хозяйственного оборота и платежно-расчетной системы. Если нет этой отлаженности, то на пути движения денег возникают тромбы, замедляется хозяйственный и денежный оборот, растут неплатежи; во-вторых, способность обеспечить сбалансированность спроса и предложения на товарном рынке, не допускать дефицита товара. В решении этой задачи исключительное значение имеет правильное определение количества денег в обращении; в-третьих, характер и степень влияния денежной массы на рост цен и инфляцию.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Избыточное насыщение деньгами хозяйственного оборота делает легкодоступным извлечение прибыли за счет роста цен, ослабляет конкуренцию. Недостаток денежной массы не только порождает натурализацию товарного обмена (бартер, взаимозачеты), нарушает ценовые пропорции, но и подрывает действенность налоговой системы, поскольку платежи в бюджет совершаются не «живыми» деньгами, а в натуральном эквиваленте; в-четвертых, хронический недостаток денежных средств у субъектов рынка для выплаты заработной платы, финансирования оборотных средств. Этот недостаток можно считать относительным, поскольку значительная часть денег циркулирует в теневой экономике, уходит от налогоблажения и вывозится за рубеж.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Одним из основных ориентиров денежно-кредитной политики являются денежная масса. Именно этот параметр денежного обращения оказывает влияние на экономический рост, динамику цен, занятость, бесперебойное функционирование платежно-расчетной системы. Исходной основой определения количества денег является сумма цен товара. Учитывая, что одна денежная единица совершает несколько оборотов в год, количество денег в обращении прямо пропорционально сумме цен и обратно пропорционально скорости оборота денежной единицы. С развитием кредита, системы взаимных расчетов и погашения взаимоплатежей совокупная стоимость товаров и услуг уменьшается на сумму цен товаров и услуг, проданных ранее, срок оплаты которых наступает в текущем году.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Длительное время денежные системы многих стран опирались на жесткую привязку денежной массы к золоту. Денежной единице соответствовало определенное количество золота, и, самое главное, держатели бумажных денег могли обменять их на золото. Динамика цен на золото играла исключительную роль в общей ценовой конъюктуре и тем самым воздействовала на денежную массу. С отходом от этого золотого правила денежного обращения в качестве обеспечения денег выступает товарная масса и финансово-экономические активы, включая, конечно, и золото , и другие драгоценные металлы.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Эти фундаментальные факторы формирования денежной массы продолжают действовать и в современной экономике, хотя общее факторное поле денежного обращения усложнилось. Структура денежной массы достаточно сложна и не совпадает со стереотипом, который сложился в сознании рядового потребителя, считающего деньгами, прежде всего наличные средства – бумажные деньги и мелкую разменочную монету. На деле, доля бумажных денег в денежной массе весьма низка (менее 25%), а основная часть сделок между предпринимателями и организациями, даже в розничной торговле, совершается в развитой рыночной экономике путем использования банковских счетов. Вместе с тем в структуру денежной массы включаются такие компоненты, которые нельзя непосредственно использовать как покупательное или платежное средство. Речь идет о денежных средствах на срочных счетах, сберегательных вкладах в коммерческих банках, других кредитно-финансовых учреждениях, депозитных сертификатах, акциях инвестиционных фондов, которые вкладывают средства только в краткосрочные денежные обязательства и т.п. Перечисленные компоненты денежного обращения получили общее название «квази-деньги». Квази-деньги представляют собой наиболее весомою и быстро растущую часть в структуре денежного обращения. Экономисты называют квази-деньги ликвидными активами. Под ликвидностью какого-либо имущества или активов понимается их легкореализуемость, возможность их обращения в денежную форму без потери стоимости. Следовательно, самым ликвидным видом активов являются деньги. К высоколиквидным видам имущества относятся золото, драгоценные металлы, драгоценные камни, нефть, произведения искусства. Меньшей ликвидностью обладают здания, оборудования.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С учетом опыта стран с рыночной экономикой Центральный банк РФ ведет расчеты следующих денежных агрегатов: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М0 – наличные деньги в обращении: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М1=М0 плюс средства на расчетных, текущих и специальных счетах предприятий и организаций, плюс средства страховых компаний, плюс депозиты населения до востребования в Сбербанке и в коммерческих банках;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М2=М1 плюс срочные вклады населения в Сбербанке;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М3=М2 плюс сертификаты и облигации госзайма.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Все денежные агрегаты выстраиваются в иерархичную систему: каждый последующий денежный агрегат включает в свой состав предыдущий. Денежная масса М2 определяется движением наличных денег и безналичных средств, которые, в свою очередь, находятся в прямой зависимости от сбережений населения и остатков средств на счетах юридических лиц. Отсюда следует, что если процесс сбережений населения идет интенсивно, население доверяет банкам и держит свои деньги на их счетах, то Центральный банк имеет большие возможности увеличить денежную массу. Сбережения населения выполняют как бы функцию обеспечения новых денег. Проиллюстрируем эту мысль на следующем примере. После августовского кризиса </w:t>
      </w:r>
      <w:smartTag w:uri="urn:schemas-microsoft-com:office:smarttags" w:element="metricconverter">
        <w:smartTagPr>
          <w:attr w:name="ProductID" w:val="1998 г"/>
        </w:smartTagPr>
        <w:r w:rsidRPr="009B7AF0">
          <w:rPr>
            <w:sz w:val="28"/>
            <w:szCs w:val="28"/>
          </w:rPr>
          <w:t>1998 г</w:t>
        </w:r>
      </w:smartTag>
      <w:r w:rsidRPr="009B7AF0">
        <w:rPr>
          <w:sz w:val="28"/>
          <w:szCs w:val="28"/>
        </w:rPr>
        <w:t xml:space="preserve">. сбережения населения в Сбербанке и в коммерческих банках сократились на 17 млрд. руб. по отношению к декабрю </w:t>
      </w:r>
      <w:smartTag w:uri="urn:schemas-microsoft-com:office:smarttags" w:element="metricconverter">
        <w:smartTagPr>
          <w:attr w:name="ProductID" w:val="1997 г"/>
        </w:smartTagPr>
        <w:r w:rsidRPr="009B7AF0">
          <w:rPr>
            <w:sz w:val="28"/>
            <w:szCs w:val="28"/>
          </w:rPr>
          <w:t>1997 г</w:t>
        </w:r>
      </w:smartTag>
      <w:r w:rsidRPr="009B7AF0">
        <w:rPr>
          <w:sz w:val="28"/>
          <w:szCs w:val="28"/>
        </w:rPr>
        <w:t xml:space="preserve">. Поэтому при проектировании денежной массы М2 на </w:t>
      </w:r>
      <w:smartTag w:uri="urn:schemas-microsoft-com:office:smarttags" w:element="metricconverter">
        <w:smartTagPr>
          <w:attr w:name="ProductID" w:val="1999 г"/>
        </w:smartTagPr>
        <w:r w:rsidRPr="009B7AF0">
          <w:rPr>
            <w:sz w:val="28"/>
            <w:szCs w:val="28"/>
          </w:rPr>
          <w:t>1999 г</w:t>
        </w:r>
      </w:smartTag>
      <w:r w:rsidRPr="009B7AF0">
        <w:rPr>
          <w:sz w:val="28"/>
          <w:szCs w:val="28"/>
        </w:rPr>
        <w:t xml:space="preserve">. Центральный банк не мог не учитывать этого факта. Несмотря на намечаемый рост цен в </w:t>
      </w:r>
      <w:smartTag w:uri="urn:schemas-microsoft-com:office:smarttags" w:element="metricconverter">
        <w:smartTagPr>
          <w:attr w:name="ProductID" w:val="1999 г"/>
        </w:smartTagPr>
        <w:r w:rsidRPr="009B7AF0">
          <w:rPr>
            <w:sz w:val="28"/>
            <w:szCs w:val="28"/>
          </w:rPr>
          <w:t>1999 г</w:t>
        </w:r>
      </w:smartTag>
      <w:r w:rsidRPr="009B7AF0">
        <w:rPr>
          <w:sz w:val="28"/>
          <w:szCs w:val="28"/>
        </w:rPr>
        <w:t xml:space="preserve">. на 30%, денежную массу увеличили на 18-26%.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Денежная база – это сумма наличных денег (М0) и денежных средств коммерческих банков, депонированных в ЦБ в качестве обязательных резервов. Эти деньги не только имеют большую ликвидность, но и показывают дееспособность Центрального банка, его возможности выполнять свои обязательства. Для обоснования пределов роста денежной массы (М2) используется денежный мультипликатор, характеризующий возможное увеличение денежной массы без отрицательных последствий для роста цен и инфляции. Его величина определяется как отношение М2 к денежной базе. </w:t>
      </w:r>
    </w:p>
    <w:p w:rsidR="0095638E" w:rsidRPr="009B7AF0" w:rsidRDefault="0095638E" w:rsidP="009B7AF0">
      <w:pPr>
        <w:pStyle w:val="a3"/>
        <w:spacing w:before="0" w:beforeAutospacing="0" w:after="0" w:afterAutospacing="0" w:line="360" w:lineRule="auto"/>
        <w:ind w:firstLine="709"/>
        <w:jc w:val="both"/>
        <w:rPr>
          <w:sz w:val="28"/>
          <w:szCs w:val="28"/>
        </w:rPr>
      </w:pPr>
      <w:r w:rsidRPr="009B7AF0">
        <w:rPr>
          <w:sz w:val="28"/>
          <w:szCs w:val="28"/>
        </w:rPr>
        <w:t xml:space="preserve">Учитывая, что в денежную базу и в М2 входят наличные деньги, мультипликатор отражает увеличение вкладов населения и остатков средств юридических лиц. Если доля этих элементов в составе М2 увеличивается, то это означает, что основная часть денежной массы может увеличиваться в соответствии с величиной мультипликатора. Существенной спецификой денежного обращения в России является широкое использование иностранной валюты, как для оплаты внешнеэкономических контрактов, так и в целях сохранности сбережений населения, сокращения потерь доходов от инфляции. В этой связи для анализа и прогнозирования спроса на деньги, изменения курса рубля, устойчивости финансово-банковской системы, процессов долларизации и бегства капитала используется показатель широких денег, который включает агрегат М2 и депозиты населения в иностранной валюте в национальной банковской системе. </w:t>
      </w:r>
    </w:p>
    <w:p w:rsidR="0095638E" w:rsidRPr="009B7AF0" w:rsidRDefault="0095638E" w:rsidP="009B7AF0">
      <w:pPr>
        <w:spacing w:line="360" w:lineRule="auto"/>
        <w:ind w:firstLine="709"/>
        <w:jc w:val="both"/>
        <w:rPr>
          <w:color w:val="000000"/>
          <w:sz w:val="28"/>
          <w:szCs w:val="28"/>
        </w:rPr>
      </w:pPr>
      <w:bookmarkStart w:id="0" w:name="1011938-L-112"/>
      <w:bookmarkEnd w:id="0"/>
      <w:r w:rsidRPr="009B7AF0">
        <w:rPr>
          <w:bCs/>
          <w:color w:val="000000"/>
          <w:sz w:val="28"/>
          <w:szCs w:val="28"/>
        </w:rPr>
        <w:t>Законы денежного обращения</w:t>
      </w:r>
      <w:r w:rsidRPr="009B7AF0">
        <w:rPr>
          <w:bCs/>
          <w:iCs/>
          <w:color w:val="000000"/>
          <w:sz w:val="28"/>
          <w:szCs w:val="28"/>
        </w:rPr>
        <w:t xml:space="preserve">. </w:t>
      </w:r>
      <w:r w:rsidRPr="009B7AF0">
        <w:rPr>
          <w:color w:val="000000"/>
          <w:sz w:val="28"/>
          <w:szCs w:val="28"/>
        </w:rPr>
        <w:t xml:space="preserve">Функционирование денег подчинено некоторым объективным закономерностям. Основные из них описываются законом Коперника-Грешема, формулой Фишера и «кембриджским уравнением». </w:t>
      </w:r>
    </w:p>
    <w:p w:rsidR="0095638E" w:rsidRPr="009B7AF0" w:rsidRDefault="0095638E" w:rsidP="009B7AF0">
      <w:pPr>
        <w:spacing w:line="360" w:lineRule="auto"/>
        <w:ind w:firstLine="709"/>
        <w:jc w:val="both"/>
        <w:rPr>
          <w:color w:val="000000"/>
          <w:sz w:val="28"/>
          <w:szCs w:val="28"/>
        </w:rPr>
      </w:pPr>
      <w:bookmarkStart w:id="1" w:name="1011938-L-113"/>
      <w:bookmarkEnd w:id="1"/>
      <w:r w:rsidRPr="009B7AF0">
        <w:rPr>
          <w:iCs/>
          <w:color w:val="000000"/>
          <w:sz w:val="28"/>
          <w:szCs w:val="28"/>
        </w:rPr>
        <w:t xml:space="preserve">Закон Коперника – Грешема </w:t>
      </w:r>
      <w:r w:rsidRPr="009B7AF0">
        <w:rPr>
          <w:color w:val="000000"/>
          <w:sz w:val="28"/>
          <w:szCs w:val="28"/>
        </w:rPr>
        <w:t xml:space="preserve">сформулирован в 16 в. почти одновременно и независимо друг от друга польским мыслителем </w:t>
      </w:r>
      <w:r w:rsidRPr="009B7AF0">
        <w:rPr>
          <w:color w:val="000000"/>
          <w:sz w:val="28"/>
          <w:szCs w:val="28"/>
          <w:u w:val="single"/>
        </w:rPr>
        <w:t>Николаем Коперником</w:t>
      </w:r>
      <w:r w:rsidRPr="009B7AF0">
        <w:rPr>
          <w:color w:val="000000"/>
          <w:sz w:val="28"/>
          <w:szCs w:val="28"/>
        </w:rPr>
        <w:t xml:space="preserve"> и английским банкиром Томасом Грэшемом. Согласно этому закону, если в обращении одновременно находится несколько видов денег, то «плохие» деньги будут вытеснять из обращения «хорошие» деньги. Речь идет о том, что разные виды денег как бы организуют между собой разделение труда. Те виды денег, которые более устойчивы («хорошие» деньги), будут использоваться населением в качестве средств накопления и изыматься из оборота. Что касается денег с неустойчивым курсом, подверженных обесценению («плохих» денег), то их станут использовать в обращении при купле-продаже и при платежах. </w:t>
      </w:r>
    </w:p>
    <w:p w:rsidR="0095638E" w:rsidRPr="009B7AF0" w:rsidRDefault="0095638E" w:rsidP="009B7AF0">
      <w:pPr>
        <w:spacing w:line="360" w:lineRule="auto"/>
        <w:ind w:firstLine="709"/>
        <w:jc w:val="both"/>
        <w:rPr>
          <w:color w:val="000000"/>
          <w:sz w:val="28"/>
          <w:szCs w:val="28"/>
        </w:rPr>
      </w:pPr>
      <w:r w:rsidRPr="009B7AF0">
        <w:rPr>
          <w:color w:val="000000"/>
          <w:sz w:val="28"/>
          <w:szCs w:val="28"/>
        </w:rPr>
        <w:t xml:space="preserve">Одни и те же денежные знаки могут быть одновременно «хорошими» в одних регионах и «плохими» в других. Например, в середине 1990-х в России параллельно использовались и российские рубли, и американские доллары, но если рядовые граждане производили расчеты преимущественно в неустойчивых рублях, то сбережения предпочитали делать в «солидных» долларах. На Украине же, где местная валюта была еще менее устойчива и ликвидна, чем в России, те же российские рубли использовались и для сбережений. </w:t>
      </w:r>
    </w:p>
    <w:p w:rsidR="0095638E" w:rsidRDefault="0095638E" w:rsidP="009B7AF0">
      <w:pPr>
        <w:spacing w:line="360" w:lineRule="auto"/>
        <w:ind w:firstLine="709"/>
        <w:jc w:val="both"/>
        <w:rPr>
          <w:color w:val="000000"/>
          <w:sz w:val="28"/>
          <w:szCs w:val="28"/>
        </w:rPr>
      </w:pPr>
      <w:bookmarkStart w:id="2" w:name="1011938-L-114"/>
      <w:bookmarkEnd w:id="2"/>
      <w:r w:rsidRPr="009B7AF0">
        <w:rPr>
          <w:iCs/>
          <w:color w:val="000000"/>
          <w:sz w:val="28"/>
          <w:szCs w:val="28"/>
        </w:rPr>
        <w:t xml:space="preserve">Формула Фишера </w:t>
      </w:r>
      <w:r w:rsidRPr="009B7AF0">
        <w:rPr>
          <w:color w:val="000000"/>
          <w:sz w:val="28"/>
          <w:szCs w:val="28"/>
        </w:rPr>
        <w:t>открыта американским экономистом</w:t>
      </w:r>
      <w:r w:rsidRPr="009B7AF0">
        <w:rPr>
          <w:bCs/>
          <w:color w:val="000000"/>
          <w:sz w:val="28"/>
          <w:szCs w:val="28"/>
        </w:rPr>
        <w:t xml:space="preserve"> </w:t>
      </w:r>
      <w:r w:rsidRPr="009B7AF0">
        <w:rPr>
          <w:color w:val="000000"/>
          <w:sz w:val="28"/>
          <w:szCs w:val="28"/>
          <w:u w:val="single"/>
        </w:rPr>
        <w:t>Ирвингом Фишером</w:t>
      </w:r>
      <w:r w:rsidRPr="009B7AF0">
        <w:rPr>
          <w:color w:val="000000"/>
          <w:sz w:val="28"/>
          <w:szCs w:val="28"/>
        </w:rPr>
        <w:t xml:space="preserve">. Эта формула описывает факторы, которые определяют количество денег, необходимых для нормального функционирования рыночного хозяйства. Она имеет вид: </w:t>
      </w:r>
    </w:p>
    <w:p w:rsidR="009B7AF0" w:rsidRPr="009B7AF0" w:rsidRDefault="009B7AF0" w:rsidP="009B7AF0">
      <w:pPr>
        <w:spacing w:line="360" w:lineRule="auto"/>
        <w:ind w:firstLine="709"/>
        <w:jc w:val="both"/>
        <w:rPr>
          <w:color w:val="000000"/>
          <w:sz w:val="28"/>
          <w:szCs w:val="28"/>
        </w:rPr>
      </w:pPr>
    </w:p>
    <w:p w:rsidR="0095638E" w:rsidRDefault="0095638E" w:rsidP="009B7AF0">
      <w:pPr>
        <w:spacing w:line="360" w:lineRule="auto"/>
        <w:ind w:firstLine="709"/>
        <w:jc w:val="both"/>
        <w:rPr>
          <w:color w:val="000000"/>
          <w:sz w:val="28"/>
          <w:szCs w:val="28"/>
        </w:rPr>
      </w:pPr>
      <w:r w:rsidRPr="009B7AF0">
        <w:rPr>
          <w:bCs/>
          <w:color w:val="000000"/>
          <w:sz w:val="28"/>
          <w:szCs w:val="28"/>
        </w:rPr>
        <w:t xml:space="preserve">M </w:t>
      </w:r>
      <w:r w:rsidRPr="009B7AF0">
        <w:rPr>
          <w:color w:val="000000"/>
          <w:sz w:val="28"/>
          <w:szCs w:val="28"/>
        </w:rPr>
        <w:t>×</w:t>
      </w:r>
      <w:r w:rsidRPr="009B7AF0">
        <w:rPr>
          <w:bCs/>
          <w:color w:val="000000"/>
          <w:sz w:val="28"/>
          <w:szCs w:val="28"/>
        </w:rPr>
        <w:t xml:space="preserve"> V = P </w:t>
      </w:r>
      <w:r w:rsidRPr="009B7AF0">
        <w:rPr>
          <w:color w:val="000000"/>
          <w:sz w:val="28"/>
          <w:szCs w:val="28"/>
        </w:rPr>
        <w:t xml:space="preserve">× </w:t>
      </w:r>
      <w:r w:rsidRPr="009B7AF0">
        <w:rPr>
          <w:bCs/>
          <w:color w:val="000000"/>
          <w:sz w:val="28"/>
          <w:szCs w:val="28"/>
        </w:rPr>
        <w:t>Q</w:t>
      </w:r>
      <w:r w:rsidRPr="009B7AF0">
        <w:rPr>
          <w:color w:val="000000"/>
          <w:sz w:val="28"/>
          <w:szCs w:val="28"/>
        </w:rPr>
        <w:t xml:space="preserve">, </w:t>
      </w:r>
    </w:p>
    <w:p w:rsidR="009B7AF0" w:rsidRPr="009B7AF0" w:rsidRDefault="009B7AF0" w:rsidP="009B7AF0">
      <w:pPr>
        <w:spacing w:line="360" w:lineRule="auto"/>
        <w:ind w:firstLine="709"/>
        <w:jc w:val="both"/>
        <w:rPr>
          <w:color w:val="000000"/>
          <w:sz w:val="28"/>
          <w:szCs w:val="28"/>
        </w:rPr>
      </w:pPr>
    </w:p>
    <w:p w:rsidR="0095638E" w:rsidRPr="009B7AF0" w:rsidRDefault="0095638E" w:rsidP="009B7AF0">
      <w:pPr>
        <w:spacing w:line="360" w:lineRule="auto"/>
        <w:ind w:firstLine="709"/>
        <w:jc w:val="both"/>
        <w:rPr>
          <w:color w:val="000000"/>
          <w:sz w:val="28"/>
          <w:szCs w:val="28"/>
        </w:rPr>
      </w:pPr>
      <w:r w:rsidRPr="009B7AF0">
        <w:rPr>
          <w:color w:val="000000"/>
          <w:sz w:val="28"/>
          <w:szCs w:val="28"/>
        </w:rPr>
        <w:t xml:space="preserve">где </w:t>
      </w:r>
      <w:r w:rsidRPr="009B7AF0">
        <w:rPr>
          <w:bCs/>
          <w:color w:val="000000"/>
          <w:sz w:val="28"/>
          <w:szCs w:val="28"/>
        </w:rPr>
        <w:t>M</w:t>
      </w:r>
      <w:r w:rsidRPr="009B7AF0">
        <w:rPr>
          <w:color w:val="000000"/>
          <w:sz w:val="28"/>
          <w:szCs w:val="28"/>
        </w:rPr>
        <w:t xml:space="preserve"> – среднее количество находящихся в обращении денег, </w:t>
      </w:r>
    </w:p>
    <w:p w:rsidR="0095638E" w:rsidRPr="009B7AF0" w:rsidRDefault="0095638E" w:rsidP="009B7AF0">
      <w:pPr>
        <w:spacing w:line="360" w:lineRule="auto"/>
        <w:ind w:firstLine="709"/>
        <w:jc w:val="both"/>
        <w:rPr>
          <w:color w:val="000000"/>
          <w:sz w:val="28"/>
          <w:szCs w:val="28"/>
        </w:rPr>
      </w:pPr>
      <w:r w:rsidRPr="009B7AF0">
        <w:rPr>
          <w:bCs/>
          <w:color w:val="000000"/>
          <w:sz w:val="28"/>
          <w:szCs w:val="28"/>
        </w:rPr>
        <w:t>V</w:t>
      </w:r>
      <w:r w:rsidRPr="009B7AF0">
        <w:rPr>
          <w:color w:val="000000"/>
          <w:sz w:val="28"/>
          <w:szCs w:val="28"/>
        </w:rPr>
        <w:t xml:space="preserve"> – скорость обращения денег (среднее количество актов купли-продажи или платежа, которые обслуживает одна денежная купюра); </w:t>
      </w:r>
    </w:p>
    <w:p w:rsidR="0095638E" w:rsidRPr="009B7AF0" w:rsidRDefault="0095638E" w:rsidP="009B7AF0">
      <w:pPr>
        <w:spacing w:line="360" w:lineRule="auto"/>
        <w:ind w:firstLine="709"/>
        <w:jc w:val="both"/>
        <w:rPr>
          <w:color w:val="000000"/>
          <w:sz w:val="28"/>
          <w:szCs w:val="28"/>
        </w:rPr>
      </w:pPr>
      <w:r w:rsidRPr="009B7AF0">
        <w:rPr>
          <w:bCs/>
          <w:color w:val="000000"/>
          <w:sz w:val="28"/>
          <w:szCs w:val="28"/>
        </w:rPr>
        <w:t>P</w:t>
      </w:r>
      <w:r w:rsidRPr="009B7AF0">
        <w:rPr>
          <w:color w:val="000000"/>
          <w:sz w:val="28"/>
          <w:szCs w:val="28"/>
        </w:rPr>
        <w:t xml:space="preserve"> – уровень цен; </w:t>
      </w:r>
    </w:p>
    <w:p w:rsidR="0095638E" w:rsidRPr="009B7AF0" w:rsidRDefault="0095638E" w:rsidP="009B7AF0">
      <w:pPr>
        <w:spacing w:line="360" w:lineRule="auto"/>
        <w:ind w:firstLine="709"/>
        <w:jc w:val="both"/>
        <w:rPr>
          <w:color w:val="000000"/>
          <w:sz w:val="28"/>
          <w:szCs w:val="28"/>
        </w:rPr>
      </w:pPr>
      <w:r w:rsidRPr="009B7AF0">
        <w:rPr>
          <w:bCs/>
          <w:color w:val="000000"/>
          <w:sz w:val="28"/>
          <w:szCs w:val="28"/>
        </w:rPr>
        <w:t>Q</w:t>
      </w:r>
      <w:r w:rsidRPr="009B7AF0">
        <w:rPr>
          <w:color w:val="000000"/>
          <w:sz w:val="28"/>
          <w:szCs w:val="28"/>
        </w:rPr>
        <w:t xml:space="preserve"> – количество проданных товаров. </w:t>
      </w:r>
    </w:p>
    <w:p w:rsidR="0095638E" w:rsidRPr="009B7AF0" w:rsidRDefault="009B7AF0" w:rsidP="009B7AF0">
      <w:pPr>
        <w:spacing w:line="360" w:lineRule="auto"/>
        <w:ind w:firstLine="709"/>
        <w:jc w:val="both"/>
        <w:rPr>
          <w:color w:val="000000"/>
          <w:sz w:val="28"/>
          <w:szCs w:val="28"/>
        </w:rPr>
      </w:pPr>
      <w:r>
        <w:br w:type="page"/>
      </w:r>
      <w:r w:rsidR="0095638E" w:rsidRPr="009B7AF0">
        <w:rPr>
          <w:color w:val="000000"/>
          <w:sz w:val="28"/>
          <w:szCs w:val="28"/>
        </w:rPr>
        <w:t>Левая часть формулы Фишера (</w:t>
      </w:r>
      <w:r w:rsidR="0095638E" w:rsidRPr="009B7AF0">
        <w:rPr>
          <w:bCs/>
          <w:color w:val="000000"/>
          <w:sz w:val="28"/>
          <w:szCs w:val="28"/>
        </w:rPr>
        <w:t xml:space="preserve">M </w:t>
      </w:r>
      <w:r w:rsidR="0095638E" w:rsidRPr="009B7AF0">
        <w:rPr>
          <w:color w:val="000000"/>
          <w:sz w:val="28"/>
          <w:szCs w:val="28"/>
        </w:rPr>
        <w:t xml:space="preserve">× </w:t>
      </w:r>
      <w:r w:rsidR="0095638E" w:rsidRPr="009B7AF0">
        <w:rPr>
          <w:bCs/>
          <w:color w:val="000000"/>
          <w:sz w:val="28"/>
          <w:szCs w:val="28"/>
        </w:rPr>
        <w:t>V</w:t>
      </w:r>
      <w:r w:rsidR="0095638E" w:rsidRPr="009B7AF0">
        <w:rPr>
          <w:color w:val="000000"/>
          <w:sz w:val="28"/>
          <w:szCs w:val="28"/>
        </w:rPr>
        <w:t>) представляет собой количество уплаченных денег (предложение денег), правая же часть (</w:t>
      </w:r>
      <w:r w:rsidR="0095638E" w:rsidRPr="009B7AF0">
        <w:rPr>
          <w:bCs/>
          <w:color w:val="000000"/>
          <w:sz w:val="28"/>
          <w:szCs w:val="28"/>
        </w:rPr>
        <w:t xml:space="preserve">P </w:t>
      </w:r>
      <w:r w:rsidR="0095638E" w:rsidRPr="009B7AF0">
        <w:rPr>
          <w:color w:val="000000"/>
          <w:sz w:val="28"/>
          <w:szCs w:val="28"/>
        </w:rPr>
        <w:t xml:space="preserve">× </w:t>
      </w:r>
      <w:r w:rsidR="0095638E" w:rsidRPr="009B7AF0">
        <w:rPr>
          <w:bCs/>
          <w:color w:val="000000"/>
          <w:sz w:val="28"/>
          <w:szCs w:val="28"/>
        </w:rPr>
        <w:t>Q</w:t>
      </w:r>
      <w:r w:rsidR="0095638E" w:rsidRPr="009B7AF0">
        <w:rPr>
          <w:color w:val="000000"/>
          <w:sz w:val="28"/>
          <w:szCs w:val="28"/>
        </w:rPr>
        <w:t xml:space="preserve">) – сумму цен проданных товаров (спрос на деньги). </w:t>
      </w:r>
    </w:p>
    <w:p w:rsidR="0095638E" w:rsidRDefault="0095638E" w:rsidP="009B7AF0">
      <w:pPr>
        <w:spacing w:line="360" w:lineRule="auto"/>
        <w:ind w:firstLine="709"/>
        <w:jc w:val="both"/>
        <w:rPr>
          <w:color w:val="000000"/>
          <w:sz w:val="28"/>
          <w:szCs w:val="28"/>
        </w:rPr>
      </w:pPr>
      <w:r w:rsidRPr="009B7AF0">
        <w:rPr>
          <w:color w:val="000000"/>
          <w:sz w:val="28"/>
          <w:szCs w:val="28"/>
        </w:rPr>
        <w:t xml:space="preserve">В более общем виде закон денежного обращения может быть выражен следующей формулой: </w:t>
      </w:r>
    </w:p>
    <w:p w:rsidR="009B7AF0" w:rsidRPr="009B7AF0" w:rsidRDefault="009B7AF0" w:rsidP="009B7AF0">
      <w:pPr>
        <w:spacing w:line="360" w:lineRule="auto"/>
        <w:ind w:firstLine="709"/>
        <w:jc w:val="both"/>
        <w:rPr>
          <w:color w:val="000000"/>
          <w:sz w:val="28"/>
          <w:szCs w:val="28"/>
        </w:rPr>
      </w:pPr>
    </w:p>
    <w:p w:rsidR="0095638E" w:rsidRDefault="008171D5" w:rsidP="009B7AF0">
      <w:pPr>
        <w:spacing w:line="360" w:lineRule="auto"/>
        <w:ind w:firstLine="709"/>
        <w:jc w:val="both"/>
      </w:pPr>
      <w:r>
        <w:rPr>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75pt;height:30.75pt" o:allowoverlap="f">
            <v:imagedata r:id="rId4" o:title=""/>
          </v:shape>
        </w:pict>
      </w:r>
    </w:p>
    <w:p w:rsidR="009B7AF0" w:rsidRPr="009B7AF0" w:rsidRDefault="009B7AF0" w:rsidP="009B7AF0">
      <w:pPr>
        <w:spacing w:line="360" w:lineRule="auto"/>
        <w:ind w:firstLine="709"/>
        <w:jc w:val="both"/>
        <w:rPr>
          <w:color w:val="000000"/>
          <w:sz w:val="28"/>
          <w:szCs w:val="28"/>
        </w:rPr>
      </w:pPr>
    </w:p>
    <w:p w:rsidR="0095638E" w:rsidRPr="009B7AF0" w:rsidRDefault="0095638E" w:rsidP="009B7AF0">
      <w:pPr>
        <w:spacing w:line="360" w:lineRule="auto"/>
        <w:ind w:firstLine="709"/>
        <w:jc w:val="both"/>
        <w:rPr>
          <w:color w:val="000000"/>
          <w:sz w:val="28"/>
          <w:szCs w:val="28"/>
        </w:rPr>
      </w:pPr>
      <w:r w:rsidRPr="009B7AF0">
        <w:rPr>
          <w:color w:val="000000"/>
          <w:sz w:val="28"/>
          <w:szCs w:val="28"/>
        </w:rPr>
        <w:t xml:space="preserve">где </w:t>
      </w:r>
      <w:r w:rsidRPr="009B7AF0">
        <w:rPr>
          <w:bCs/>
          <w:color w:val="000000"/>
          <w:sz w:val="28"/>
          <w:szCs w:val="28"/>
        </w:rPr>
        <w:t>М</w:t>
      </w:r>
      <w:r w:rsidRPr="009B7AF0">
        <w:rPr>
          <w:color w:val="000000"/>
          <w:sz w:val="28"/>
          <w:szCs w:val="28"/>
        </w:rPr>
        <w:t xml:space="preserve"> – количество денег, необходимых для обращения; </w:t>
      </w:r>
    </w:p>
    <w:p w:rsidR="0095638E" w:rsidRPr="009B7AF0" w:rsidRDefault="0095638E" w:rsidP="009B7AF0">
      <w:pPr>
        <w:spacing w:line="360" w:lineRule="auto"/>
        <w:ind w:firstLine="709"/>
        <w:jc w:val="both"/>
        <w:rPr>
          <w:color w:val="000000"/>
          <w:sz w:val="28"/>
          <w:szCs w:val="28"/>
        </w:rPr>
      </w:pPr>
      <w:r w:rsidRPr="009B7AF0">
        <w:rPr>
          <w:bCs/>
          <w:color w:val="000000"/>
          <w:sz w:val="28"/>
          <w:szCs w:val="28"/>
        </w:rPr>
        <w:t>P</w:t>
      </w:r>
      <w:r w:rsidRPr="009B7AF0">
        <w:rPr>
          <w:bCs/>
          <w:color w:val="000000"/>
          <w:sz w:val="28"/>
          <w:szCs w:val="28"/>
          <w:vertAlign w:val="subscript"/>
        </w:rPr>
        <w:t>1</w:t>
      </w:r>
      <w:r w:rsidRPr="009B7AF0">
        <w:rPr>
          <w:bCs/>
          <w:color w:val="000000"/>
          <w:sz w:val="28"/>
          <w:szCs w:val="28"/>
        </w:rPr>
        <w:t>Q</w:t>
      </w:r>
      <w:r w:rsidRPr="009B7AF0">
        <w:rPr>
          <w:bCs/>
          <w:color w:val="000000"/>
          <w:sz w:val="28"/>
          <w:szCs w:val="28"/>
          <w:vertAlign w:val="subscript"/>
        </w:rPr>
        <w:t>1</w:t>
      </w:r>
      <w:r w:rsidRPr="009B7AF0">
        <w:rPr>
          <w:color w:val="000000"/>
          <w:sz w:val="28"/>
          <w:szCs w:val="28"/>
        </w:rPr>
        <w:t xml:space="preserve"> – сумма цен товаров и услуг, находящихся в обращении (количество товаров, умноженное на уровень цен); </w:t>
      </w:r>
    </w:p>
    <w:p w:rsidR="0095638E" w:rsidRPr="009B7AF0" w:rsidRDefault="0095638E" w:rsidP="009B7AF0">
      <w:pPr>
        <w:spacing w:line="360" w:lineRule="auto"/>
        <w:ind w:firstLine="709"/>
        <w:jc w:val="both"/>
        <w:rPr>
          <w:color w:val="000000"/>
          <w:sz w:val="28"/>
          <w:szCs w:val="28"/>
        </w:rPr>
      </w:pPr>
      <w:r w:rsidRPr="009B7AF0">
        <w:rPr>
          <w:bCs/>
          <w:color w:val="000000"/>
          <w:sz w:val="28"/>
          <w:szCs w:val="28"/>
        </w:rPr>
        <w:t>P</w:t>
      </w:r>
      <w:r w:rsidRPr="009B7AF0">
        <w:rPr>
          <w:bCs/>
          <w:color w:val="000000"/>
          <w:sz w:val="28"/>
          <w:szCs w:val="28"/>
          <w:vertAlign w:val="subscript"/>
        </w:rPr>
        <w:t>2</w:t>
      </w:r>
      <w:r w:rsidRPr="009B7AF0">
        <w:rPr>
          <w:bCs/>
          <w:color w:val="000000"/>
          <w:sz w:val="28"/>
          <w:szCs w:val="28"/>
        </w:rPr>
        <w:t>Q</w:t>
      </w:r>
      <w:r w:rsidRPr="009B7AF0">
        <w:rPr>
          <w:bCs/>
          <w:color w:val="000000"/>
          <w:sz w:val="28"/>
          <w:szCs w:val="28"/>
          <w:vertAlign w:val="subscript"/>
        </w:rPr>
        <w:t>2</w:t>
      </w:r>
      <w:r w:rsidRPr="009B7AF0">
        <w:rPr>
          <w:color w:val="000000"/>
          <w:sz w:val="28"/>
          <w:szCs w:val="28"/>
        </w:rPr>
        <w:t xml:space="preserve"> – сумма цен товаров, проданных в кредит, по которым еще не наступил срок оплаты; </w:t>
      </w:r>
    </w:p>
    <w:p w:rsidR="0095638E" w:rsidRPr="009B7AF0" w:rsidRDefault="0095638E" w:rsidP="009B7AF0">
      <w:pPr>
        <w:spacing w:line="360" w:lineRule="auto"/>
        <w:ind w:firstLine="709"/>
        <w:jc w:val="both"/>
        <w:rPr>
          <w:color w:val="000000"/>
          <w:sz w:val="28"/>
          <w:szCs w:val="28"/>
        </w:rPr>
      </w:pPr>
      <w:r w:rsidRPr="009B7AF0">
        <w:rPr>
          <w:bCs/>
          <w:color w:val="000000"/>
          <w:sz w:val="28"/>
          <w:szCs w:val="28"/>
        </w:rPr>
        <w:t>D</w:t>
      </w:r>
      <w:r w:rsidRPr="009B7AF0">
        <w:rPr>
          <w:bCs/>
          <w:color w:val="000000"/>
          <w:sz w:val="28"/>
          <w:szCs w:val="28"/>
          <w:vertAlign w:val="subscript"/>
        </w:rPr>
        <w:t>1</w:t>
      </w:r>
      <w:r w:rsidRPr="009B7AF0">
        <w:rPr>
          <w:color w:val="000000"/>
          <w:sz w:val="28"/>
          <w:szCs w:val="28"/>
        </w:rPr>
        <w:t xml:space="preserve"> – сумма платежей по наступившим долговым обязательствам; </w:t>
      </w:r>
    </w:p>
    <w:p w:rsidR="0095638E" w:rsidRPr="009B7AF0" w:rsidRDefault="0095638E" w:rsidP="009B7AF0">
      <w:pPr>
        <w:spacing w:line="360" w:lineRule="auto"/>
        <w:ind w:firstLine="709"/>
        <w:jc w:val="both"/>
        <w:rPr>
          <w:color w:val="000000"/>
          <w:sz w:val="28"/>
          <w:szCs w:val="28"/>
        </w:rPr>
      </w:pPr>
      <w:r w:rsidRPr="009B7AF0">
        <w:rPr>
          <w:bCs/>
          <w:color w:val="000000"/>
          <w:sz w:val="28"/>
          <w:szCs w:val="28"/>
        </w:rPr>
        <w:t>D</w:t>
      </w:r>
      <w:r w:rsidRPr="009B7AF0">
        <w:rPr>
          <w:bCs/>
          <w:color w:val="000000"/>
          <w:sz w:val="28"/>
          <w:szCs w:val="28"/>
          <w:vertAlign w:val="subscript"/>
        </w:rPr>
        <w:t>2</w:t>
      </w:r>
      <w:r w:rsidRPr="009B7AF0">
        <w:rPr>
          <w:color w:val="000000"/>
          <w:sz w:val="28"/>
          <w:szCs w:val="28"/>
          <w:vertAlign w:val="subscript"/>
        </w:rPr>
        <w:t xml:space="preserve"> </w:t>
      </w:r>
      <w:r w:rsidRPr="009B7AF0">
        <w:rPr>
          <w:color w:val="000000"/>
          <w:sz w:val="28"/>
          <w:szCs w:val="28"/>
        </w:rPr>
        <w:t xml:space="preserve">– сумма взаимно погашаемых платежей; </w:t>
      </w:r>
    </w:p>
    <w:p w:rsidR="0095638E" w:rsidRPr="009B7AF0" w:rsidRDefault="0095638E" w:rsidP="009B7AF0">
      <w:pPr>
        <w:spacing w:line="360" w:lineRule="auto"/>
        <w:ind w:firstLine="709"/>
        <w:jc w:val="both"/>
        <w:rPr>
          <w:color w:val="000000"/>
          <w:sz w:val="28"/>
          <w:szCs w:val="28"/>
        </w:rPr>
      </w:pPr>
      <w:r w:rsidRPr="009B7AF0">
        <w:rPr>
          <w:bCs/>
          <w:color w:val="000000"/>
          <w:sz w:val="28"/>
          <w:szCs w:val="28"/>
        </w:rPr>
        <w:t>V</w:t>
      </w:r>
      <w:r w:rsidRPr="009B7AF0">
        <w:rPr>
          <w:color w:val="000000"/>
          <w:sz w:val="28"/>
          <w:szCs w:val="28"/>
        </w:rPr>
        <w:t xml:space="preserve"> – скорость оборота денег. </w:t>
      </w:r>
    </w:p>
    <w:p w:rsidR="0095638E" w:rsidRDefault="0095638E" w:rsidP="009B7AF0">
      <w:pPr>
        <w:spacing w:line="360" w:lineRule="auto"/>
        <w:ind w:firstLine="709"/>
        <w:jc w:val="both"/>
        <w:rPr>
          <w:color w:val="000000"/>
          <w:sz w:val="28"/>
          <w:szCs w:val="28"/>
        </w:rPr>
      </w:pPr>
      <w:r w:rsidRPr="009B7AF0">
        <w:rPr>
          <w:color w:val="000000"/>
          <w:sz w:val="28"/>
          <w:szCs w:val="28"/>
        </w:rPr>
        <w:t xml:space="preserve">Если согласно формуле Фишера потребность в деньгах зависит прежде всего от развития товарооборота (то есть от функций денег как средств обращения и платежа), то </w:t>
      </w:r>
      <w:r w:rsidRPr="009B7AF0">
        <w:rPr>
          <w:iCs/>
          <w:color w:val="000000"/>
          <w:sz w:val="28"/>
          <w:szCs w:val="28"/>
        </w:rPr>
        <w:t>кембриджское уравнение</w:t>
      </w:r>
      <w:r w:rsidRPr="009B7AF0">
        <w:rPr>
          <w:color w:val="000000"/>
          <w:sz w:val="28"/>
          <w:szCs w:val="28"/>
        </w:rPr>
        <w:t xml:space="preserve"> рассматривает потребность в деньгах как результат стремления людей держать часть своего богатства в ликвидной форме – в форме денег, которые быстро и без потерь можно обменять на любые товары (то есть от функций денег как средства накопления). Кембриджское уравнение, которое было сформулировано в 20 в. английским экономистом </w:t>
      </w:r>
      <w:r w:rsidRPr="009B7AF0">
        <w:rPr>
          <w:color w:val="000000"/>
          <w:sz w:val="28"/>
          <w:szCs w:val="28"/>
          <w:u w:val="single"/>
        </w:rPr>
        <w:t>Артуром Пигу</w:t>
      </w:r>
      <w:r w:rsidRPr="009B7AF0">
        <w:rPr>
          <w:color w:val="000000"/>
          <w:sz w:val="28"/>
          <w:szCs w:val="28"/>
        </w:rPr>
        <w:t xml:space="preserve">, выглядит так: </w:t>
      </w:r>
    </w:p>
    <w:p w:rsidR="009B7AF0" w:rsidRPr="009B7AF0" w:rsidRDefault="009B7AF0" w:rsidP="009B7AF0">
      <w:pPr>
        <w:spacing w:line="360" w:lineRule="auto"/>
        <w:ind w:firstLine="709"/>
        <w:jc w:val="both"/>
        <w:rPr>
          <w:color w:val="000000"/>
          <w:sz w:val="28"/>
          <w:szCs w:val="28"/>
        </w:rPr>
      </w:pPr>
    </w:p>
    <w:p w:rsidR="0095638E" w:rsidRDefault="0095638E" w:rsidP="009B7AF0">
      <w:pPr>
        <w:spacing w:line="360" w:lineRule="auto"/>
        <w:ind w:firstLine="709"/>
        <w:jc w:val="both"/>
        <w:rPr>
          <w:color w:val="000000"/>
          <w:sz w:val="28"/>
          <w:szCs w:val="28"/>
        </w:rPr>
      </w:pPr>
      <w:r w:rsidRPr="009B7AF0">
        <w:rPr>
          <w:bCs/>
          <w:color w:val="000000"/>
          <w:sz w:val="28"/>
          <w:szCs w:val="28"/>
        </w:rPr>
        <w:t xml:space="preserve">M </w:t>
      </w:r>
      <w:r w:rsidRPr="009B7AF0">
        <w:rPr>
          <w:color w:val="000000"/>
          <w:sz w:val="28"/>
          <w:szCs w:val="28"/>
        </w:rPr>
        <w:t>=</w:t>
      </w:r>
      <w:r w:rsidRPr="009B7AF0">
        <w:rPr>
          <w:bCs/>
          <w:color w:val="000000"/>
          <w:sz w:val="28"/>
          <w:szCs w:val="28"/>
        </w:rPr>
        <w:t xml:space="preserve"> k</w:t>
      </w:r>
      <w:r w:rsidRPr="009B7AF0">
        <w:rPr>
          <w:bCs/>
          <w:color w:val="000000"/>
          <w:sz w:val="28"/>
          <w:szCs w:val="28"/>
          <w:vertAlign w:val="superscript"/>
        </w:rPr>
        <w:t xml:space="preserve"> </w:t>
      </w:r>
      <w:r w:rsidRPr="009B7AF0">
        <w:rPr>
          <w:color w:val="000000"/>
          <w:sz w:val="28"/>
          <w:szCs w:val="28"/>
        </w:rPr>
        <w:t xml:space="preserve">× </w:t>
      </w:r>
      <w:r w:rsidRPr="009B7AF0">
        <w:rPr>
          <w:bCs/>
          <w:color w:val="000000"/>
          <w:sz w:val="28"/>
          <w:szCs w:val="28"/>
        </w:rPr>
        <w:t xml:space="preserve">P </w:t>
      </w:r>
      <w:r w:rsidRPr="009B7AF0">
        <w:rPr>
          <w:color w:val="000000"/>
          <w:sz w:val="28"/>
          <w:szCs w:val="28"/>
        </w:rPr>
        <w:t xml:space="preserve">× </w:t>
      </w:r>
      <w:r w:rsidRPr="009B7AF0">
        <w:rPr>
          <w:bCs/>
          <w:color w:val="000000"/>
          <w:sz w:val="28"/>
          <w:szCs w:val="28"/>
        </w:rPr>
        <w:t>Q</w:t>
      </w:r>
      <w:r w:rsidRPr="009B7AF0">
        <w:rPr>
          <w:color w:val="000000"/>
          <w:sz w:val="28"/>
          <w:szCs w:val="28"/>
        </w:rPr>
        <w:t xml:space="preserve">, </w:t>
      </w:r>
    </w:p>
    <w:p w:rsidR="009B7AF0" w:rsidRPr="009B7AF0" w:rsidRDefault="009B7AF0" w:rsidP="009B7AF0">
      <w:pPr>
        <w:spacing w:line="360" w:lineRule="auto"/>
        <w:ind w:firstLine="709"/>
        <w:jc w:val="both"/>
        <w:rPr>
          <w:color w:val="000000"/>
          <w:sz w:val="28"/>
          <w:szCs w:val="28"/>
        </w:rPr>
      </w:pPr>
    </w:p>
    <w:p w:rsidR="0095638E" w:rsidRPr="009B7AF0" w:rsidRDefault="0095638E" w:rsidP="009B7AF0">
      <w:pPr>
        <w:spacing w:line="360" w:lineRule="auto"/>
        <w:ind w:firstLine="709"/>
        <w:jc w:val="both"/>
        <w:rPr>
          <w:color w:val="000000"/>
          <w:sz w:val="28"/>
          <w:szCs w:val="28"/>
        </w:rPr>
      </w:pPr>
      <w:r w:rsidRPr="009B7AF0">
        <w:rPr>
          <w:color w:val="000000"/>
          <w:sz w:val="28"/>
          <w:szCs w:val="28"/>
        </w:rPr>
        <w:t xml:space="preserve">где </w:t>
      </w:r>
      <w:r w:rsidRPr="009B7AF0">
        <w:rPr>
          <w:bCs/>
          <w:color w:val="000000"/>
          <w:sz w:val="28"/>
          <w:szCs w:val="28"/>
        </w:rPr>
        <w:t>k</w:t>
      </w:r>
      <w:r w:rsidRPr="009B7AF0">
        <w:rPr>
          <w:color w:val="000000"/>
          <w:sz w:val="28"/>
          <w:szCs w:val="28"/>
        </w:rPr>
        <w:t xml:space="preserve"> – часть произведенного продукта (</w:t>
      </w:r>
      <w:r w:rsidRPr="009B7AF0">
        <w:rPr>
          <w:bCs/>
          <w:color w:val="000000"/>
          <w:sz w:val="28"/>
          <w:szCs w:val="28"/>
        </w:rPr>
        <w:t xml:space="preserve">P </w:t>
      </w:r>
      <w:r w:rsidRPr="009B7AF0">
        <w:rPr>
          <w:color w:val="000000"/>
          <w:sz w:val="28"/>
          <w:szCs w:val="28"/>
        </w:rPr>
        <w:t xml:space="preserve">× </w:t>
      </w:r>
      <w:r w:rsidRPr="009B7AF0">
        <w:rPr>
          <w:bCs/>
          <w:color w:val="000000"/>
          <w:sz w:val="28"/>
          <w:szCs w:val="28"/>
        </w:rPr>
        <w:t>Q</w:t>
      </w:r>
      <w:r w:rsidRPr="009B7AF0">
        <w:rPr>
          <w:color w:val="000000"/>
          <w:sz w:val="28"/>
          <w:szCs w:val="28"/>
        </w:rPr>
        <w:t xml:space="preserve">), которую люди стремятся хранить в ликвидной форме. </w:t>
      </w:r>
    </w:p>
    <w:p w:rsidR="0095638E" w:rsidRPr="009B7AF0" w:rsidRDefault="0095638E" w:rsidP="009B7AF0">
      <w:pPr>
        <w:spacing w:line="360" w:lineRule="auto"/>
        <w:ind w:firstLine="709"/>
        <w:jc w:val="both"/>
        <w:rPr>
          <w:color w:val="000000"/>
          <w:sz w:val="28"/>
          <w:szCs w:val="28"/>
        </w:rPr>
      </w:pPr>
      <w:r w:rsidRPr="009B7AF0">
        <w:rPr>
          <w:color w:val="000000"/>
          <w:sz w:val="28"/>
          <w:szCs w:val="28"/>
        </w:rPr>
        <w:t xml:space="preserve">Как и в формуле Фишера, правая часть кембриджского уравнения показывает спрос на деньги, а левая – предложение денег. </w:t>
      </w:r>
    </w:p>
    <w:p w:rsidR="0095638E" w:rsidRPr="009B7AF0" w:rsidRDefault="0095638E" w:rsidP="009B7AF0">
      <w:pPr>
        <w:spacing w:line="360" w:lineRule="auto"/>
        <w:ind w:firstLine="709"/>
        <w:jc w:val="both"/>
        <w:rPr>
          <w:sz w:val="28"/>
          <w:szCs w:val="28"/>
        </w:rPr>
      </w:pPr>
      <w:r w:rsidRPr="009B7AF0">
        <w:rPr>
          <w:color w:val="000000"/>
          <w:sz w:val="28"/>
          <w:szCs w:val="28"/>
        </w:rPr>
        <w:t xml:space="preserve">Формула Фишера и кембриджское уравнение дают ориентиры в решении важного для рыночной системы вопроса, какое количество денег нужно создать (эмиссировать), чтобы обеспечить нормальное экономическое развитие. </w:t>
      </w:r>
      <w:bookmarkStart w:id="3" w:name="_GoBack"/>
      <w:bookmarkEnd w:id="3"/>
    </w:p>
    <w:sectPr w:rsidR="0095638E" w:rsidRPr="009B7AF0" w:rsidSect="009B7AF0">
      <w:pgSz w:w="11906" w:h="16838" w:code="9"/>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638E"/>
    <w:rsid w:val="000020DE"/>
    <w:rsid w:val="00044826"/>
    <w:rsid w:val="000958C1"/>
    <w:rsid w:val="002A35F0"/>
    <w:rsid w:val="005105D9"/>
    <w:rsid w:val="008171D5"/>
    <w:rsid w:val="0095638E"/>
    <w:rsid w:val="009B7AF0"/>
    <w:rsid w:val="009D63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7"/>
    <o:shapelayout v:ext="edit">
      <o:idmap v:ext="edit" data="1"/>
    </o:shapelayout>
  </w:shapeDefaults>
  <w:decimalSymbol w:val=","/>
  <w:listSeparator w:val=";"/>
  <w14:defaultImageDpi w14:val="0"/>
  <w15:chartTrackingRefBased/>
  <w15:docId w15:val="{EFA0326D-7E15-4CC6-A38A-B21527179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95638E"/>
    <w:pPr>
      <w:outlineLvl w:val="0"/>
    </w:pPr>
    <w:rPr>
      <w:rFonts w:ascii="Arial" w:hAnsi="Arial" w:cs="Arial"/>
      <w:b/>
      <w:bCs/>
      <w:color w:val="FFFFFF"/>
      <w:kern w:val="36"/>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paragraph" w:styleId="a3">
    <w:name w:val="Normal (Web)"/>
    <w:basedOn w:val="a"/>
    <w:uiPriority w:val="99"/>
    <w:rsid w:val="0095638E"/>
    <w:pPr>
      <w:spacing w:before="100" w:beforeAutospacing="1" w:after="100" w:afterAutospacing="1"/>
    </w:pPr>
  </w:style>
  <w:style w:type="character" w:styleId="a4">
    <w:name w:val="Hyperlink"/>
    <w:uiPriority w:val="99"/>
    <w:rsid w:val="0095638E"/>
    <w:rPr>
      <w:rFonts w:cs="Times New Roman"/>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1834</Words>
  <Characters>10455</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Денежная масса и ее роль в денежно-кредитной политике</vt:lpstr>
    </vt:vector>
  </TitlesOfParts>
  <Company>дом</Company>
  <LinksUpToDate>false</LinksUpToDate>
  <CharactersWithSpaces>12265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Денежная масса и ее роль в денежно-кредитной политике</dc:title>
  <dc:subject/>
  <dc:creator>пацан</dc:creator>
  <cp:keywords/>
  <dc:description/>
  <cp:lastModifiedBy>Irina</cp:lastModifiedBy>
  <cp:revision>2</cp:revision>
  <cp:lastPrinted>2007-05-09T15:52:00Z</cp:lastPrinted>
  <dcterms:created xsi:type="dcterms:W3CDTF">2014-08-10T08:32:00Z</dcterms:created>
  <dcterms:modified xsi:type="dcterms:W3CDTF">2014-08-10T08:32:00Z</dcterms:modified>
</cp:coreProperties>
</file>