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3F3A" w:rsidRDefault="00053F3A">
      <w:pPr>
        <w:pStyle w:val="21"/>
        <w:ind w:firstLine="0"/>
        <w:jc w:val="right"/>
        <w:rPr>
          <w:snapToGrid/>
        </w:rPr>
      </w:pPr>
    </w:p>
    <w:p w:rsidR="00053F3A" w:rsidRDefault="00FA481A">
      <w:pPr>
        <w:pStyle w:val="21"/>
        <w:ind w:firstLine="0"/>
        <w:jc w:val="right"/>
        <w:rPr>
          <w:snapToGrid/>
        </w:rPr>
      </w:pPr>
      <w:r>
        <w:rPr>
          <w:snapToGrid/>
        </w:rPr>
        <w:t>На правах рукописи</w:t>
      </w: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FA481A">
      <w:pPr>
        <w:pStyle w:val="21"/>
        <w:ind w:firstLine="0"/>
        <w:jc w:val="center"/>
        <w:rPr>
          <w:snapToGrid/>
        </w:rPr>
      </w:pPr>
      <w:r>
        <w:rPr>
          <w:snapToGrid/>
        </w:rPr>
        <w:t>Баранов Александр Геннадьевич</w:t>
      </w: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FA481A">
      <w:pPr>
        <w:pStyle w:val="21"/>
        <w:ind w:firstLine="0"/>
        <w:jc w:val="center"/>
        <w:rPr>
          <w:snapToGrid/>
        </w:rPr>
      </w:pPr>
      <w:r>
        <w:rPr>
          <w:snapToGrid/>
        </w:rPr>
        <w:t>ДЕНЕЖНОЕ ОБРАЩЕНИЕ И ЭМИССИИ НА СЕВЕРНОМ КАВКАЗЕ В 1917-1920 гг.</w:t>
      </w:r>
    </w:p>
    <w:p w:rsidR="00053F3A" w:rsidRDefault="00053F3A">
      <w:pPr>
        <w:pStyle w:val="21"/>
        <w:ind w:firstLine="0"/>
        <w:jc w:val="center"/>
        <w:rPr>
          <w:snapToGrid/>
        </w:rPr>
      </w:pPr>
    </w:p>
    <w:p w:rsidR="00053F3A" w:rsidRDefault="00FA481A">
      <w:pPr>
        <w:pStyle w:val="21"/>
        <w:ind w:firstLine="0"/>
        <w:jc w:val="center"/>
        <w:rPr>
          <w:snapToGrid/>
        </w:rPr>
      </w:pPr>
      <w:r>
        <w:rPr>
          <w:snapToGrid/>
        </w:rPr>
        <w:t>Специальность 07.00.02 – Отечественная история</w:t>
      </w: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FA481A">
      <w:pPr>
        <w:pStyle w:val="21"/>
        <w:ind w:firstLine="0"/>
        <w:jc w:val="center"/>
        <w:rPr>
          <w:snapToGrid/>
        </w:rPr>
      </w:pPr>
      <w:r>
        <w:rPr>
          <w:snapToGrid/>
        </w:rPr>
        <w:t>АВТОРЕФЕРАТ</w:t>
      </w:r>
    </w:p>
    <w:p w:rsidR="00053F3A" w:rsidRDefault="00FA481A">
      <w:pPr>
        <w:pStyle w:val="21"/>
        <w:ind w:firstLine="0"/>
        <w:jc w:val="center"/>
        <w:rPr>
          <w:snapToGrid/>
        </w:rPr>
      </w:pPr>
      <w:r>
        <w:rPr>
          <w:snapToGrid/>
        </w:rPr>
        <w:t>Диссертации на соискание ученой степени кандидата исторических наук</w:t>
      </w: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053F3A">
      <w:pPr>
        <w:pStyle w:val="21"/>
        <w:ind w:firstLine="0"/>
        <w:jc w:val="center"/>
        <w:rPr>
          <w:snapToGrid/>
        </w:rPr>
      </w:pPr>
    </w:p>
    <w:p w:rsidR="00053F3A" w:rsidRDefault="00FA481A">
      <w:pPr>
        <w:pStyle w:val="21"/>
        <w:ind w:firstLine="0"/>
        <w:jc w:val="center"/>
        <w:rPr>
          <w:snapToGrid/>
        </w:rPr>
      </w:pPr>
      <w:r>
        <w:rPr>
          <w:snapToGrid/>
        </w:rPr>
        <w:t>Майкоп</w:t>
      </w:r>
    </w:p>
    <w:p w:rsidR="00053F3A" w:rsidRDefault="00FA481A">
      <w:pPr>
        <w:pStyle w:val="21"/>
        <w:ind w:firstLine="0"/>
        <w:jc w:val="center"/>
        <w:rPr>
          <w:snapToGrid/>
        </w:rPr>
      </w:pPr>
      <w:r>
        <w:rPr>
          <w:snapToGrid/>
        </w:rPr>
        <w:t>1998</w:t>
      </w:r>
    </w:p>
    <w:p w:rsidR="00053F3A" w:rsidRDefault="00FA481A">
      <w:pPr>
        <w:pStyle w:val="21"/>
        <w:ind w:firstLine="709"/>
        <w:rPr>
          <w:snapToGrid/>
        </w:rPr>
      </w:pPr>
      <w:r>
        <w:rPr>
          <w:b/>
          <w:snapToGrid/>
        </w:rPr>
        <w:br w:type="page"/>
      </w:r>
      <w:r>
        <w:rPr>
          <w:snapToGrid/>
        </w:rPr>
        <w:t>Работа выполнена на кафедре отечественной истории Адыгейского государственного университета</w:t>
      </w:r>
    </w:p>
    <w:p w:rsidR="00053F3A" w:rsidRDefault="00053F3A">
      <w:pPr>
        <w:pStyle w:val="21"/>
        <w:ind w:firstLine="709"/>
        <w:rPr>
          <w:snapToGrid/>
        </w:rPr>
      </w:pPr>
    </w:p>
    <w:p w:rsidR="00053F3A" w:rsidRDefault="00FA481A">
      <w:pPr>
        <w:pStyle w:val="21"/>
        <w:tabs>
          <w:tab w:val="left" w:pos="4536"/>
        </w:tabs>
        <w:ind w:left="4536" w:hanging="4536"/>
        <w:rPr>
          <w:snapToGrid/>
        </w:rPr>
      </w:pPr>
      <w:r>
        <w:rPr>
          <w:snapToGrid/>
        </w:rPr>
        <w:t>Научный руководитель</w:t>
      </w:r>
      <w:r>
        <w:rPr>
          <w:snapToGrid/>
        </w:rPr>
        <w:tab/>
        <w:t>доктор исторических наук, профессор Шеуджен Эмилия Аюбовна</w:t>
      </w:r>
    </w:p>
    <w:p w:rsidR="00053F3A" w:rsidRDefault="00053F3A">
      <w:pPr>
        <w:pStyle w:val="21"/>
        <w:tabs>
          <w:tab w:val="left" w:pos="4536"/>
        </w:tabs>
        <w:ind w:left="4536" w:hanging="4536"/>
        <w:rPr>
          <w:snapToGrid/>
        </w:rPr>
      </w:pPr>
    </w:p>
    <w:p w:rsidR="00053F3A" w:rsidRDefault="00FA481A">
      <w:pPr>
        <w:pStyle w:val="21"/>
        <w:tabs>
          <w:tab w:val="left" w:pos="4536"/>
        </w:tabs>
        <w:ind w:left="4536" w:hanging="4536"/>
        <w:rPr>
          <w:snapToGrid/>
        </w:rPr>
      </w:pPr>
      <w:r>
        <w:rPr>
          <w:snapToGrid/>
        </w:rPr>
        <w:t>Официальные оппоненты:</w:t>
      </w:r>
      <w:r>
        <w:rPr>
          <w:snapToGrid/>
        </w:rPr>
        <w:tab/>
        <w:t>доктор исторических наук, профессор Крикунов Василий Павлович;</w:t>
      </w:r>
    </w:p>
    <w:p w:rsidR="00053F3A" w:rsidRDefault="00FA481A">
      <w:pPr>
        <w:pStyle w:val="21"/>
        <w:tabs>
          <w:tab w:val="left" w:pos="4536"/>
        </w:tabs>
        <w:ind w:left="4536" w:hanging="4536"/>
        <w:rPr>
          <w:snapToGrid/>
        </w:rPr>
      </w:pPr>
      <w:r>
        <w:rPr>
          <w:snapToGrid/>
        </w:rPr>
        <w:tab/>
      </w:r>
    </w:p>
    <w:p w:rsidR="00053F3A" w:rsidRDefault="00FA481A">
      <w:pPr>
        <w:pStyle w:val="21"/>
        <w:tabs>
          <w:tab w:val="left" w:pos="4536"/>
        </w:tabs>
        <w:ind w:left="4536" w:hanging="4536"/>
        <w:rPr>
          <w:snapToGrid/>
        </w:rPr>
      </w:pPr>
      <w:r>
        <w:rPr>
          <w:snapToGrid/>
        </w:rPr>
        <w:tab/>
        <w:t>Кандидат исторических наук, профессор Нагучев Даулет Махмудович</w:t>
      </w:r>
    </w:p>
    <w:p w:rsidR="00053F3A" w:rsidRDefault="00053F3A">
      <w:pPr>
        <w:pStyle w:val="21"/>
        <w:tabs>
          <w:tab w:val="left" w:pos="5103"/>
        </w:tabs>
        <w:ind w:left="5103" w:hanging="4394"/>
        <w:jc w:val="left"/>
        <w:rPr>
          <w:snapToGrid/>
        </w:rPr>
      </w:pPr>
    </w:p>
    <w:p w:rsidR="00053F3A" w:rsidRDefault="00FA481A">
      <w:pPr>
        <w:pStyle w:val="21"/>
        <w:tabs>
          <w:tab w:val="left" w:pos="4536"/>
        </w:tabs>
        <w:ind w:left="4536" w:hanging="4536"/>
        <w:jc w:val="left"/>
        <w:rPr>
          <w:snapToGrid/>
        </w:rPr>
      </w:pPr>
      <w:r>
        <w:rPr>
          <w:snapToGrid/>
        </w:rPr>
        <w:t>Ведущая организация</w:t>
      </w:r>
      <w:r>
        <w:rPr>
          <w:snapToGrid/>
        </w:rPr>
        <w:tab/>
        <w:t>Кубанский государственный университет</w:t>
      </w:r>
    </w:p>
    <w:p w:rsidR="00053F3A" w:rsidRDefault="00053F3A">
      <w:pPr>
        <w:pStyle w:val="21"/>
        <w:tabs>
          <w:tab w:val="left" w:pos="5103"/>
        </w:tabs>
        <w:ind w:left="5103" w:hanging="4394"/>
        <w:jc w:val="left"/>
        <w:rPr>
          <w:snapToGrid/>
        </w:rPr>
      </w:pPr>
    </w:p>
    <w:p w:rsidR="00053F3A" w:rsidRDefault="00FA481A">
      <w:pPr>
        <w:pStyle w:val="21"/>
        <w:tabs>
          <w:tab w:val="left" w:pos="851"/>
        </w:tabs>
        <w:ind w:firstLine="709"/>
        <w:rPr>
          <w:snapToGrid/>
        </w:rPr>
      </w:pPr>
      <w:r>
        <w:rPr>
          <w:snapToGrid/>
        </w:rPr>
        <w:t>Защита состоится "___" декабря 1998 г. в 10 часов на заседании диссертационного совета К.064.89.01 в конференц-зале Адыгейского государственного университета по адресу: 352700, Майкоп. ул. Первомайская, 208.</w:t>
      </w:r>
    </w:p>
    <w:p w:rsidR="00053F3A" w:rsidRDefault="00FA481A">
      <w:pPr>
        <w:pStyle w:val="21"/>
        <w:tabs>
          <w:tab w:val="left" w:pos="851"/>
        </w:tabs>
        <w:ind w:firstLine="709"/>
        <w:rPr>
          <w:snapToGrid/>
        </w:rPr>
      </w:pPr>
      <w:r>
        <w:rPr>
          <w:snapToGrid/>
        </w:rPr>
        <w:t>С диссертацией можно ознакомиться в библиотеке Адыгейского государственного университета.</w:t>
      </w:r>
    </w:p>
    <w:p w:rsidR="00053F3A" w:rsidRDefault="00053F3A">
      <w:pPr>
        <w:pStyle w:val="21"/>
        <w:tabs>
          <w:tab w:val="left" w:pos="851"/>
        </w:tabs>
        <w:ind w:firstLine="709"/>
        <w:rPr>
          <w:snapToGrid/>
        </w:rPr>
      </w:pPr>
    </w:p>
    <w:p w:rsidR="00053F3A" w:rsidRDefault="00FA481A">
      <w:pPr>
        <w:pStyle w:val="21"/>
        <w:tabs>
          <w:tab w:val="left" w:pos="851"/>
        </w:tabs>
        <w:ind w:firstLine="709"/>
        <w:rPr>
          <w:snapToGrid/>
        </w:rPr>
      </w:pPr>
      <w:r>
        <w:rPr>
          <w:snapToGrid/>
        </w:rPr>
        <w:t>Автореферат разослан "___" ноября 1998 г.</w:t>
      </w:r>
    </w:p>
    <w:p w:rsidR="00053F3A" w:rsidRDefault="00053F3A">
      <w:pPr>
        <w:pStyle w:val="21"/>
        <w:tabs>
          <w:tab w:val="left" w:pos="851"/>
        </w:tabs>
        <w:ind w:firstLine="709"/>
        <w:rPr>
          <w:snapToGrid/>
        </w:rPr>
      </w:pPr>
    </w:p>
    <w:p w:rsidR="00053F3A" w:rsidRDefault="00FA481A">
      <w:pPr>
        <w:pStyle w:val="21"/>
        <w:ind w:right="4818" w:firstLine="0"/>
        <w:jc w:val="left"/>
        <w:rPr>
          <w:snapToGrid/>
        </w:rPr>
      </w:pPr>
      <w:r>
        <w:rPr>
          <w:snapToGrid/>
        </w:rPr>
        <w:t>Ученый секретарь диссертационного совета, кандидат исторических наук. доцент В.Н. Мальцев.</w:t>
      </w:r>
    </w:p>
    <w:p w:rsidR="00053F3A" w:rsidRDefault="00FA481A">
      <w:pPr>
        <w:pStyle w:val="21"/>
        <w:ind w:firstLine="0"/>
        <w:jc w:val="center"/>
        <w:rPr>
          <w:b/>
          <w:snapToGrid/>
        </w:rPr>
      </w:pPr>
      <w:r>
        <w:rPr>
          <w:b/>
          <w:snapToGrid/>
        </w:rPr>
        <w:br w:type="page"/>
        <w:t>ОБЩАЯ ХАРАКТЕРИСТИКА РАБОТЫ</w:t>
      </w:r>
    </w:p>
    <w:p w:rsidR="00053F3A" w:rsidRDefault="00FA481A">
      <w:pPr>
        <w:pStyle w:val="21"/>
      </w:pPr>
      <w:r>
        <w:rPr>
          <w:b/>
          <w:snapToGrid/>
        </w:rPr>
        <w:t>Актуальность темы исследования</w:t>
      </w:r>
      <w:r>
        <w:rPr>
          <w:snapToGrid/>
        </w:rPr>
        <w:t xml:space="preserve">. История денежного обращения относится к проблемам традиционно малоисследуемым в отечественной историографии, несмотря на то, что ее разработка позволяет ввести новые характеристики в изучение финансово-экономической истории Российского государства. </w:t>
      </w:r>
      <w:r>
        <w:t xml:space="preserve">Широкомасштабные эмиссии периода гражданской войны в России, произошедшие на фоне распада денежной системы, являются не только беспримерными в истории денежного обращения, но и </w:t>
      </w:r>
      <w:r>
        <w:rPr>
          <w:snapToGrid/>
        </w:rPr>
        <w:t>выявляют сферы взаимодействия определяющих политических и социально-экономических процессов.</w:t>
      </w:r>
      <w:r>
        <w:t xml:space="preserve"> Значимость местных эмиссий заключалась не только в количестве различных денежных знаков, выпущенных на местах, но и в фактическом возникновении обособленных денежных систем. </w:t>
      </w:r>
    </w:p>
    <w:p w:rsidR="00053F3A" w:rsidRDefault="00FA481A">
      <w:pPr>
        <w:pStyle w:val="3"/>
      </w:pPr>
      <w:r>
        <w:t>Важно отметить и то обстоятельство, что переломные моменты истории требуют углублен</w:t>
      </w:r>
      <w:bookmarkStart w:id="0" w:name="OCRUncertain003"/>
      <w:r>
        <w:t>н</w:t>
      </w:r>
      <w:bookmarkEnd w:id="0"/>
      <w:r>
        <w:t>ых, новых исследовательских подходов, выработка которых невозможна без обращения к местной, региональной истории. Северный Кавказ в этом плане представляет наибольший интерес для изучения денежных эмиссий в силу особенностей гражданской войны в этом регионе, связанных с географическим, политическим, социально-экономическим и военно-стратегическим положением.</w:t>
      </w:r>
    </w:p>
    <w:p w:rsidR="00053F3A" w:rsidRDefault="00FA481A">
      <w:pPr>
        <w:pStyle w:val="21"/>
        <w:rPr>
          <w:snapToGrid/>
        </w:rPr>
      </w:pPr>
      <w:r>
        <w:rPr>
          <w:snapToGrid/>
        </w:rPr>
        <w:t>Учитывая характер кризисных явлений в экономике современной России, практическое значение приобретает изучение причин распада единой денежной системы. Обращение к периоду гражданской войны позволяет установить органическую взаимообусловленность усиления политической конфронтации в обществе с глубиной финансово-экономического кризиса. Целый ряд явлений: потеря доверия к национальной валюте, инфляция, денежный голод, разменный кризис, определявшие характер денежного обращения в годы гражданской войны, проявляются и в экономике современной России, приобретая все более выраженные черты.</w:t>
      </w:r>
    </w:p>
    <w:p w:rsidR="00053F3A" w:rsidRDefault="00FA481A">
      <w:pPr>
        <w:widowControl w:val="0"/>
        <w:spacing w:line="360" w:lineRule="auto"/>
        <w:ind w:right="86" w:firstLine="680"/>
        <w:jc w:val="both"/>
        <w:rPr>
          <w:sz w:val="28"/>
        </w:rPr>
      </w:pPr>
      <w:r>
        <w:rPr>
          <w:b/>
          <w:sz w:val="28"/>
        </w:rPr>
        <w:t>Степень научной разработанности темы</w:t>
      </w:r>
      <w:r>
        <w:rPr>
          <w:sz w:val="28"/>
        </w:rPr>
        <w:t>. Проблема денежного обращения в северокавказском регионе в годы гражданской войны до настоящего времени не стала объектом специального изучения. Всю имеющуюся по теме литературу можно условно ра</w:t>
      </w:r>
      <w:bookmarkStart w:id="1" w:name="OCRUncertain009"/>
      <w:r>
        <w:rPr>
          <w:sz w:val="28"/>
        </w:rPr>
        <w:t>з</w:t>
      </w:r>
      <w:bookmarkEnd w:id="1"/>
      <w:r>
        <w:rPr>
          <w:sz w:val="28"/>
        </w:rPr>
        <w:t>делить на три группы: труды по теории и практике денежного обращения, носящие общий, обзорный характер</w:t>
      </w:r>
      <w:bookmarkStart w:id="2" w:name="OCRUncertain010"/>
      <w:r>
        <w:rPr>
          <w:noProof/>
          <w:sz w:val="28"/>
        </w:rPr>
        <w:t>;</w:t>
      </w:r>
      <w:bookmarkEnd w:id="2"/>
      <w:r>
        <w:rPr>
          <w:noProof/>
          <w:sz w:val="28"/>
        </w:rPr>
        <w:t xml:space="preserve"> работы в которых бумажные денежные знаки исследовались как исторический источник и отдельные</w:t>
      </w:r>
      <w:r>
        <w:rPr>
          <w:sz w:val="28"/>
        </w:rPr>
        <w:t xml:space="preserve"> публикации, рассматривающие денежное обращение и денежные знаки Северного Кавка</w:t>
      </w:r>
      <w:bookmarkStart w:id="3" w:name="OCRUncertain011"/>
      <w:r>
        <w:rPr>
          <w:sz w:val="28"/>
        </w:rPr>
        <w:t>з</w:t>
      </w:r>
      <w:bookmarkEnd w:id="3"/>
      <w:r>
        <w:rPr>
          <w:sz w:val="28"/>
        </w:rPr>
        <w:t>а.</w:t>
      </w:r>
    </w:p>
    <w:p w:rsidR="00053F3A" w:rsidRDefault="00FA481A">
      <w:pPr>
        <w:widowControl w:val="0"/>
        <w:spacing w:line="360" w:lineRule="auto"/>
        <w:ind w:right="-56" w:firstLine="720"/>
        <w:jc w:val="both"/>
        <w:rPr>
          <w:sz w:val="28"/>
        </w:rPr>
      </w:pPr>
      <w:r>
        <w:rPr>
          <w:sz w:val="28"/>
        </w:rPr>
        <w:t xml:space="preserve">В 20-е гг. были предприняты первые попытки осмыслить беспрецедентные события, протекавшие в денежном обращении </w:t>
      </w:r>
      <w:bookmarkStart w:id="4" w:name="OCRUncertain012"/>
      <w:r>
        <w:rPr>
          <w:sz w:val="28"/>
        </w:rPr>
        <w:t>Р</w:t>
      </w:r>
      <w:bookmarkEnd w:id="4"/>
      <w:r>
        <w:rPr>
          <w:sz w:val="28"/>
        </w:rPr>
        <w:t>оссии (М.И. Боголепов, С. Фалькнер, Н. Трахтенберг, Л. Юровский и др.). Авторы этих публикаций заложили основу для изучения истории ден</w:t>
      </w:r>
      <w:bookmarkStart w:id="5" w:name="OCRUncertain036"/>
      <w:r>
        <w:rPr>
          <w:sz w:val="28"/>
        </w:rPr>
        <w:t>е</w:t>
      </w:r>
      <w:bookmarkStart w:id="6" w:name="OCRUncertain037"/>
      <w:bookmarkEnd w:id="5"/>
      <w:r>
        <w:rPr>
          <w:sz w:val="28"/>
        </w:rPr>
        <w:t>жного обращения в годы гражданской войны.</w:t>
      </w:r>
      <w:bookmarkEnd w:id="6"/>
      <w:r>
        <w:rPr>
          <w:sz w:val="28"/>
        </w:rPr>
        <w:t xml:space="preserve"> Ими рассматривалась роль денег в народном хозяйстве, их функции, </w:t>
      </w:r>
      <w:bookmarkStart w:id="7" w:name="OCRUncertain039"/>
      <w:r>
        <w:rPr>
          <w:sz w:val="28"/>
        </w:rPr>
        <w:t>покупательная сила денег.</w:t>
      </w:r>
      <w:bookmarkEnd w:id="7"/>
      <w:r>
        <w:rPr>
          <w:sz w:val="28"/>
        </w:rPr>
        <w:t xml:space="preserve"> На примере России и других европейских стран раскрывались понятия порчи денег, аннулирования бумажных денежных знаков, восстановления ценности и девальвации денег. К сожалению, выпустив свои работы по </w:t>
      </w:r>
      <w:bookmarkStart w:id="8" w:name="OCRUncertain042"/>
      <w:r>
        <w:rPr>
          <w:sz w:val="28"/>
        </w:rPr>
        <w:t>"</w:t>
      </w:r>
      <w:bookmarkEnd w:id="8"/>
      <w:r>
        <w:rPr>
          <w:sz w:val="28"/>
        </w:rPr>
        <w:t>горячим следам" событий, авторы не смогли в полной мере привлечь богатый фактический материал накопленный в годы гражданской войны.</w:t>
      </w:r>
    </w:p>
    <w:p w:rsidR="00053F3A" w:rsidRDefault="00FA481A">
      <w:pPr>
        <w:widowControl w:val="0"/>
        <w:spacing w:line="360" w:lineRule="auto"/>
        <w:ind w:right="-56" w:firstLine="640"/>
        <w:jc w:val="both"/>
        <w:rPr>
          <w:sz w:val="28"/>
        </w:rPr>
      </w:pPr>
      <w:r>
        <w:rPr>
          <w:sz w:val="28"/>
        </w:rPr>
        <w:t xml:space="preserve">В последующие годы была продолжена публикация работ, носящих общетеоретический, обобщающий характер (З.В. Атлас, В.П. Тонкопий, А.С. Мельникова и др.). К числу положительных их характеристик можно отнести широкое привлечение ранее неизвестных источников. Кроме эмиссий центральных органов советской власти в них были рассмотрены денежные выпуски в Туркестане, Закавказье и на Дальнем Востоке. Однако Северный Кавказ в поле зрения исследователей, к сожалению, не попал. </w:t>
      </w:r>
    </w:p>
    <w:p w:rsidR="00053F3A" w:rsidRDefault="00FA481A">
      <w:pPr>
        <w:widowControl w:val="0"/>
        <w:spacing w:line="360" w:lineRule="auto"/>
        <w:ind w:right="-56" w:firstLine="640"/>
        <w:jc w:val="both"/>
        <w:rPr>
          <w:sz w:val="28"/>
        </w:rPr>
      </w:pPr>
      <w:r>
        <w:rPr>
          <w:sz w:val="28"/>
        </w:rPr>
        <w:t>В 90-е гг. проблема истории денежного обращения приобретает особую значимость в связи с проводимыми экономическими реформами. Вышли новые работы, в которых подробно исследовалось становление денежной системы молодого советского государства. Рассматривалась история рубля как денежной единицы, влияние денежной системы на экономику страны (Ж.Кайдалов, И. Кайдалова, А.И. Малышев, В.И. Таранков и др.).</w:t>
      </w:r>
    </w:p>
    <w:p w:rsidR="00053F3A" w:rsidRDefault="00FA481A">
      <w:pPr>
        <w:widowControl w:val="0"/>
        <w:spacing w:line="360" w:lineRule="auto"/>
        <w:ind w:right="-56" w:firstLine="640"/>
        <w:jc w:val="both"/>
        <w:rPr>
          <w:sz w:val="28"/>
        </w:rPr>
      </w:pPr>
      <w:r>
        <w:rPr>
          <w:sz w:val="28"/>
        </w:rPr>
        <w:t>В историографии выделяется ряд исследований отразивших уровень разработки различных направлений проблемы привлечения денежных знаков как исторических источников при изучении финансово-экономических отношений (А.П. Байер, М. Калиновский, В.М. Соколов, Л.М. Иольсон, Р.И.Тхоржевский и др.). Подобные исследования положили начало каталогизации, систематизации материалов отечественной бонистики, явились первым шагом в изучении бумажных денежных знаков и бон как исторических документов. Благодаря проведенным и</w:t>
      </w:r>
      <w:bookmarkStart w:id="9" w:name="OCRUncertain053"/>
      <w:r>
        <w:rPr>
          <w:sz w:val="28"/>
        </w:rPr>
        <w:t>з</w:t>
      </w:r>
      <w:bookmarkEnd w:id="9"/>
      <w:r>
        <w:rPr>
          <w:sz w:val="28"/>
        </w:rPr>
        <w:t>ысканиям стало возможным рассмотрение денежных знаков как самостоятельного предмета исследования, сложились определенные традиции, принципы, методики изучения процессов, происходящих в денежном обращении, начал вырабатываться понятийный аппарат, приемы и методы комплексного анализа бумажных денежных знаков.</w:t>
      </w:r>
    </w:p>
    <w:p w:rsidR="00053F3A" w:rsidRDefault="00FA481A">
      <w:pPr>
        <w:widowControl w:val="0"/>
        <w:spacing w:line="360" w:lineRule="auto"/>
        <w:ind w:right="-7" w:firstLine="680"/>
        <w:jc w:val="both"/>
        <w:rPr>
          <w:sz w:val="28"/>
        </w:rPr>
      </w:pPr>
      <w:r>
        <w:rPr>
          <w:sz w:val="28"/>
        </w:rPr>
        <w:t>Проведенный в диссертации анализ историографических источников позволяет утверждать, что наряду с формированием круга общих проблем, стал определяться исследовательский интерес к истории денежного обращения в отдельных регионах страны. Эта тенденция была характерна и для Северного Кавказа. Начало исследования проблемы денежного обращения и эмиссий бумажных денежных знаков на Северном Кавказе положили статьи, публиковавшиеся в 20-х гг. в изданиях Всероссийского общества коллекционеров и его северокавказского краевого отдела.</w:t>
      </w:r>
    </w:p>
    <w:p w:rsidR="00053F3A" w:rsidRDefault="00FA481A">
      <w:pPr>
        <w:pStyle w:val="a4"/>
        <w:widowControl w:val="0"/>
      </w:pPr>
      <w:r>
        <w:tab/>
        <w:t xml:space="preserve">В 1928 г. северокавказские исследователи основали газету “Северо-Кавказский коллекционер”. На ее страницах публиковались статьи известного исследователя бумажных денежных знаков Северного Кавказа В.М.Соколова. С сообщениями об отдельных местных денежных эмиссиях публиковались и другие исследователи. Значительный интерес представляют работы научного сотрудника северокавказского краевого музея революции В.И.Кутилина. В середине 30-х гг. добровольное </w:t>
      </w:r>
      <w:bookmarkStart w:id="10" w:name="OCRUncertain083"/>
      <w:r>
        <w:t>Всероссийское общество коллекционеров</w:t>
      </w:r>
      <w:bookmarkEnd w:id="10"/>
      <w:r>
        <w:t>, прекратило свое существование и лишь отде</w:t>
      </w:r>
      <w:bookmarkStart w:id="11" w:name="OCRUncertain085"/>
      <w:r>
        <w:t>л</w:t>
      </w:r>
      <w:bookmarkEnd w:id="11"/>
      <w:r>
        <w:t>ьные энтузиасты продолжали работу по изучению отечественных де</w:t>
      </w:r>
      <w:bookmarkStart w:id="12" w:name="OCRUncertain086"/>
      <w:r>
        <w:t>н</w:t>
      </w:r>
      <w:bookmarkEnd w:id="12"/>
      <w:r>
        <w:t>ежных знаков.</w:t>
      </w:r>
    </w:p>
    <w:p w:rsidR="00053F3A" w:rsidRDefault="00FA481A">
      <w:pPr>
        <w:widowControl w:val="0"/>
        <w:spacing w:line="360" w:lineRule="auto"/>
        <w:ind w:firstLine="720"/>
        <w:jc w:val="both"/>
        <w:rPr>
          <w:sz w:val="28"/>
        </w:rPr>
      </w:pPr>
      <w:r>
        <w:rPr>
          <w:sz w:val="28"/>
        </w:rPr>
        <w:t>В начале 60-х гг. интерес к бумажн</w:t>
      </w:r>
      <w:bookmarkStart w:id="13" w:name="OCRUncertain088"/>
      <w:r>
        <w:rPr>
          <w:sz w:val="28"/>
        </w:rPr>
        <w:t>ым денежным знакам снова возрос.</w:t>
      </w:r>
      <w:bookmarkEnd w:id="13"/>
      <w:r>
        <w:rPr>
          <w:sz w:val="28"/>
        </w:rPr>
        <w:t xml:space="preserve"> На страницах журналов появляются статьи по истории денежного обращения, в том числе написанные по материалам северокавказского региона (О. Веровенко, Ю.Д. Пахомов и др.).</w:t>
      </w:r>
    </w:p>
    <w:p w:rsidR="00053F3A" w:rsidRDefault="00FA481A">
      <w:pPr>
        <w:widowControl w:val="0"/>
        <w:spacing w:line="360" w:lineRule="auto"/>
        <w:ind w:firstLine="720"/>
        <w:jc w:val="both"/>
        <w:rPr>
          <w:sz w:val="28"/>
        </w:rPr>
      </w:pPr>
      <w:r>
        <w:rPr>
          <w:sz w:val="28"/>
        </w:rPr>
        <w:t>Современный этап изучения бумажных денежных знаков Северного Кавказа характеризуется большим количеством специальных публикаций, появились статьи В.А. Лазарева, А.Г. Баранова, В.И. Подберезного, посвященные проблеме денежного обращения в регионе в 1917-1920 гг. Несмотря на заметное усиление интереса к данной проблеме, в аннотированном описании опубликованных книг и каталогов по бонам М.М.Глейзера, отмечается недостаточное внимание исследователей к истории денежного обращения северокавказского региона.</w:t>
      </w:r>
    </w:p>
    <w:p w:rsidR="00053F3A" w:rsidRDefault="00FA481A">
      <w:pPr>
        <w:widowControl w:val="0"/>
        <w:spacing w:line="360" w:lineRule="auto"/>
        <w:ind w:firstLine="640"/>
        <w:jc w:val="both"/>
        <w:rPr>
          <w:sz w:val="28"/>
        </w:rPr>
      </w:pPr>
      <w:r>
        <w:rPr>
          <w:b/>
          <w:sz w:val="28"/>
        </w:rPr>
        <w:t>Объектом исследования</w:t>
      </w:r>
      <w:r>
        <w:rPr>
          <w:sz w:val="28"/>
        </w:rPr>
        <w:t xml:space="preserve"> является денежное обращение и эмиссии на Северном Кавказе в 1917-1920 гг. Предметом исследования стали закономерности и специфические черты, характеризовавшие денежное обращение в регионе в годы гражданской войны.</w:t>
      </w:r>
    </w:p>
    <w:p w:rsidR="00053F3A" w:rsidRDefault="00FA481A">
      <w:pPr>
        <w:widowControl w:val="0"/>
        <w:spacing w:line="360" w:lineRule="auto"/>
        <w:jc w:val="both"/>
        <w:rPr>
          <w:sz w:val="28"/>
        </w:rPr>
      </w:pPr>
      <w:r>
        <w:rPr>
          <w:sz w:val="28"/>
        </w:rPr>
        <w:tab/>
      </w:r>
      <w:r>
        <w:rPr>
          <w:b/>
          <w:sz w:val="28"/>
        </w:rPr>
        <w:t>Географические рамки</w:t>
      </w:r>
      <w:r>
        <w:rPr>
          <w:sz w:val="28"/>
        </w:rPr>
        <w:t xml:space="preserve"> исследования охватывают северокавказский регион, имевший важное экономическое и военно-стратегическое значение, находившийся на пересечении неординарных событий гражданской войны. Определяя географические границы важно отметить, что название территории, внутренние и внешние границы, административное устройство, менялись на протяжении всего изучаемого периода.</w:t>
      </w:r>
    </w:p>
    <w:p w:rsidR="00053F3A" w:rsidRDefault="00FA481A">
      <w:pPr>
        <w:widowControl w:val="0"/>
        <w:spacing w:line="360" w:lineRule="auto"/>
        <w:ind w:firstLine="660"/>
        <w:jc w:val="both"/>
        <w:rPr>
          <w:sz w:val="28"/>
        </w:rPr>
      </w:pPr>
      <w:r>
        <w:rPr>
          <w:b/>
          <w:sz w:val="28"/>
        </w:rPr>
        <w:t>Хронологические рамки работы</w:t>
      </w:r>
      <w:r>
        <w:rPr>
          <w:sz w:val="28"/>
        </w:rPr>
        <w:t xml:space="preserve"> охватывают </w:t>
      </w:r>
      <w:r>
        <w:rPr>
          <w:noProof/>
          <w:sz w:val="28"/>
        </w:rPr>
        <w:t>1917</w:t>
      </w:r>
      <w:r>
        <w:rPr>
          <w:sz w:val="28"/>
        </w:rPr>
        <w:t xml:space="preserve"> -</w:t>
      </w:r>
      <w:r>
        <w:rPr>
          <w:noProof/>
          <w:sz w:val="28"/>
        </w:rPr>
        <w:t xml:space="preserve"> 1920</w:t>
      </w:r>
      <w:r>
        <w:rPr>
          <w:sz w:val="28"/>
        </w:rPr>
        <w:t xml:space="preserve"> гг., что позволяет исследовать денежные эмиссии как советских, так и не советских эмитентов, в процессе характерной для гражданской войны смены различных политических режимов, стремившихся проводить самостоятельную финансово-экономическую политику.</w:t>
      </w:r>
    </w:p>
    <w:p w:rsidR="00053F3A" w:rsidRDefault="00FA481A">
      <w:pPr>
        <w:widowControl w:val="0"/>
        <w:spacing w:line="360" w:lineRule="auto"/>
        <w:ind w:firstLine="660"/>
        <w:jc w:val="both"/>
        <w:rPr>
          <w:sz w:val="28"/>
        </w:rPr>
      </w:pPr>
      <w:r>
        <w:rPr>
          <w:b/>
          <w:sz w:val="28"/>
        </w:rPr>
        <w:t>Цели и задачи исследования.</w:t>
      </w:r>
      <w:r>
        <w:rPr>
          <w:sz w:val="28"/>
        </w:rPr>
        <w:t xml:space="preserve"> Целью работы является исследование причин распада единой денежной системы России, процессов, происходивших в денежном обращении на Северном Кавказе в экстремальных условиях гражданской войны. Исходя из цели работы определяются следующие </w:t>
      </w:r>
      <w:r>
        <w:rPr>
          <w:b/>
          <w:sz w:val="28"/>
        </w:rPr>
        <w:t>задачи</w:t>
      </w:r>
      <w:r>
        <w:rPr>
          <w:sz w:val="28"/>
        </w:rPr>
        <w:t>:</w:t>
      </w:r>
    </w:p>
    <w:p w:rsidR="00053F3A" w:rsidRDefault="00FA481A">
      <w:pPr>
        <w:widowControl w:val="0"/>
        <w:spacing w:line="360" w:lineRule="auto"/>
        <w:ind w:firstLine="709"/>
        <w:jc w:val="both"/>
        <w:rPr>
          <w:noProof/>
          <w:sz w:val="28"/>
        </w:rPr>
      </w:pPr>
      <w:r>
        <w:rPr>
          <w:sz w:val="28"/>
        </w:rPr>
        <w:t>- проанализировать степень и уровень историогра</w:t>
      </w:r>
      <w:bookmarkStart w:id="14" w:name="OCRUncertain121"/>
      <w:r>
        <w:rPr>
          <w:sz w:val="28"/>
        </w:rPr>
        <w:t>ф</w:t>
      </w:r>
      <w:bookmarkEnd w:id="14"/>
      <w:r>
        <w:rPr>
          <w:sz w:val="28"/>
        </w:rPr>
        <w:t>ического исследования проблемы</w:t>
      </w:r>
      <w:bookmarkStart w:id="15" w:name="OCRUncertain122"/>
      <w:r>
        <w:rPr>
          <w:noProof/>
          <w:sz w:val="28"/>
        </w:rPr>
        <w:t>;</w:t>
      </w:r>
      <w:bookmarkEnd w:id="15"/>
    </w:p>
    <w:p w:rsidR="00053F3A" w:rsidRDefault="00FA481A">
      <w:pPr>
        <w:widowControl w:val="0"/>
        <w:spacing w:line="360" w:lineRule="auto"/>
        <w:ind w:firstLine="709"/>
        <w:jc w:val="both"/>
        <w:rPr>
          <w:noProof/>
          <w:sz w:val="28"/>
        </w:rPr>
      </w:pPr>
      <w:r>
        <w:rPr>
          <w:sz w:val="28"/>
        </w:rPr>
        <w:t xml:space="preserve">- расширить </w:t>
      </w:r>
      <w:bookmarkStart w:id="16" w:name="OCRUncertain125"/>
      <w:r>
        <w:rPr>
          <w:sz w:val="28"/>
        </w:rPr>
        <w:t>источниковую</w:t>
      </w:r>
      <w:bookmarkEnd w:id="16"/>
      <w:r>
        <w:rPr>
          <w:sz w:val="28"/>
        </w:rPr>
        <w:t xml:space="preserve"> базу за счет введения в исторический оборот нетрадиционных источников - бумажных денежных </w:t>
      </w:r>
      <w:bookmarkStart w:id="17" w:name="OCRUncertain130"/>
      <w:r>
        <w:rPr>
          <w:sz w:val="28"/>
        </w:rPr>
        <w:t>з</w:t>
      </w:r>
      <w:bookmarkEnd w:id="17"/>
      <w:r>
        <w:rPr>
          <w:sz w:val="28"/>
        </w:rPr>
        <w:t>нак</w:t>
      </w:r>
      <w:bookmarkStart w:id="18" w:name="OCRUncertain131"/>
      <w:r>
        <w:rPr>
          <w:sz w:val="28"/>
        </w:rPr>
        <w:t>ов, совершенствования методов и приемов их обработки</w:t>
      </w:r>
      <w:r>
        <w:rPr>
          <w:noProof/>
          <w:sz w:val="28"/>
        </w:rPr>
        <w:t>;</w:t>
      </w:r>
      <w:bookmarkEnd w:id="18"/>
    </w:p>
    <w:p w:rsidR="00053F3A" w:rsidRDefault="00FA481A">
      <w:pPr>
        <w:widowControl w:val="0"/>
        <w:spacing w:line="360" w:lineRule="auto"/>
        <w:ind w:firstLine="709"/>
        <w:jc w:val="both"/>
        <w:rPr>
          <w:noProof/>
          <w:sz w:val="28"/>
        </w:rPr>
      </w:pPr>
      <w:r>
        <w:rPr>
          <w:sz w:val="28"/>
        </w:rPr>
        <w:t xml:space="preserve">- рассмотреть влияние изменений исторической </w:t>
      </w:r>
      <w:bookmarkStart w:id="19" w:name="OCRUncertain123"/>
      <w:r>
        <w:rPr>
          <w:sz w:val="28"/>
        </w:rPr>
        <w:t xml:space="preserve">среды </w:t>
      </w:r>
      <w:bookmarkEnd w:id="19"/>
      <w:r>
        <w:rPr>
          <w:sz w:val="28"/>
        </w:rPr>
        <w:t>на процессы в денежном обращении</w:t>
      </w:r>
      <w:bookmarkStart w:id="20" w:name="OCRUncertain124"/>
      <w:r>
        <w:rPr>
          <w:noProof/>
          <w:sz w:val="28"/>
        </w:rPr>
        <w:t>;</w:t>
      </w:r>
      <w:bookmarkEnd w:id="20"/>
    </w:p>
    <w:p w:rsidR="00053F3A" w:rsidRDefault="00FA481A">
      <w:pPr>
        <w:widowControl w:val="0"/>
        <w:spacing w:line="360" w:lineRule="auto"/>
        <w:ind w:firstLine="709"/>
        <w:jc w:val="both"/>
        <w:rPr>
          <w:sz w:val="28"/>
        </w:rPr>
      </w:pPr>
      <w:r>
        <w:rPr>
          <w:sz w:val="28"/>
        </w:rPr>
        <w:t xml:space="preserve">- изучить </w:t>
      </w:r>
      <w:bookmarkStart w:id="21" w:name="OCRUncertain132"/>
      <w:r>
        <w:rPr>
          <w:sz w:val="28"/>
        </w:rPr>
        <w:t>специфичные</w:t>
      </w:r>
      <w:bookmarkEnd w:id="21"/>
      <w:r>
        <w:rPr>
          <w:sz w:val="28"/>
        </w:rPr>
        <w:t xml:space="preserve"> черты денежного обращения на Северном Кавказ</w:t>
      </w:r>
      <w:bookmarkStart w:id="22" w:name="OCRUncertain133"/>
      <w:r>
        <w:rPr>
          <w:sz w:val="28"/>
        </w:rPr>
        <w:t>е</w:t>
      </w:r>
      <w:bookmarkEnd w:id="22"/>
      <w:r>
        <w:rPr>
          <w:sz w:val="28"/>
        </w:rPr>
        <w:t>;</w:t>
      </w:r>
    </w:p>
    <w:p w:rsidR="00053F3A" w:rsidRDefault="00FA481A">
      <w:pPr>
        <w:widowControl w:val="0"/>
        <w:spacing w:line="360" w:lineRule="auto"/>
        <w:ind w:firstLine="709"/>
        <w:jc w:val="both"/>
        <w:rPr>
          <w:sz w:val="28"/>
        </w:rPr>
      </w:pPr>
      <w:r>
        <w:rPr>
          <w:sz w:val="28"/>
        </w:rPr>
        <w:t>- и описать наиболее значительные эмиссии денежных знаков.</w:t>
      </w:r>
    </w:p>
    <w:p w:rsidR="00053F3A" w:rsidRDefault="00FA481A">
      <w:pPr>
        <w:widowControl w:val="0"/>
        <w:spacing w:line="360" w:lineRule="auto"/>
        <w:ind w:firstLine="700"/>
        <w:jc w:val="both"/>
        <w:rPr>
          <w:sz w:val="28"/>
        </w:rPr>
      </w:pPr>
      <w:r>
        <w:rPr>
          <w:b/>
          <w:sz w:val="28"/>
        </w:rPr>
        <w:t>Источниковая база</w:t>
      </w:r>
      <w:r>
        <w:rPr>
          <w:sz w:val="28"/>
        </w:rPr>
        <w:t>. Исп</w:t>
      </w:r>
      <w:bookmarkStart w:id="23" w:name="OCRUncertain138"/>
      <w:r>
        <w:rPr>
          <w:sz w:val="28"/>
        </w:rPr>
        <w:t>о</w:t>
      </w:r>
      <w:bookmarkEnd w:id="23"/>
      <w:r>
        <w:rPr>
          <w:sz w:val="28"/>
        </w:rPr>
        <w:t>льзовавшиеся для написания работы источники можно условно разделить на группы: опубликованные документы</w:t>
      </w:r>
      <w:bookmarkStart w:id="24" w:name="OCRUncertain139"/>
      <w:r>
        <w:rPr>
          <w:noProof/>
          <w:sz w:val="28"/>
        </w:rPr>
        <w:t>;</w:t>
      </w:r>
      <w:bookmarkEnd w:id="24"/>
      <w:r>
        <w:rPr>
          <w:sz w:val="28"/>
        </w:rPr>
        <w:t xml:space="preserve"> архивные материалы, периодическая печать и денежные знаки. </w:t>
      </w:r>
    </w:p>
    <w:p w:rsidR="00053F3A" w:rsidRDefault="00FA481A">
      <w:pPr>
        <w:widowControl w:val="0"/>
        <w:spacing w:line="360" w:lineRule="auto"/>
        <w:ind w:firstLine="700"/>
        <w:jc w:val="both"/>
        <w:rPr>
          <w:noProof/>
          <w:sz w:val="28"/>
        </w:rPr>
      </w:pPr>
      <w:r>
        <w:rPr>
          <w:sz w:val="28"/>
        </w:rPr>
        <w:t>К опубликованным документам относятся Декреты Совета Народных Комиссаров, в которых сообщалось о революционных преобразованиях в финансово-экономической системе государства, декреты о переходе на новое летоисчисление и о правилах новой орфографии, что нашло отражение в бумажных денежных знаках как государственных документах. Документы централ</w:t>
      </w:r>
      <w:bookmarkStart w:id="25" w:name="OCRUncertain141"/>
      <w:r>
        <w:rPr>
          <w:sz w:val="28"/>
        </w:rPr>
        <w:t>ь</w:t>
      </w:r>
      <w:bookmarkEnd w:id="25"/>
      <w:r>
        <w:rPr>
          <w:sz w:val="28"/>
        </w:rPr>
        <w:t>ных</w:t>
      </w:r>
      <w:bookmarkStart w:id="26" w:name="OCRUncertain142"/>
      <w:r>
        <w:rPr>
          <w:sz w:val="28"/>
        </w:rPr>
        <w:t xml:space="preserve"> органов государственной власти,</w:t>
      </w:r>
      <w:bookmarkEnd w:id="26"/>
      <w:r>
        <w:rPr>
          <w:sz w:val="28"/>
        </w:rPr>
        <w:t xml:space="preserve"> инструкции и постановления </w:t>
      </w:r>
      <w:bookmarkStart w:id="27" w:name="OCRUncertain143"/>
      <w:r>
        <w:rPr>
          <w:sz w:val="28"/>
        </w:rPr>
        <w:t xml:space="preserve">Народного Комиссариата Финансов, </w:t>
      </w:r>
      <w:bookmarkEnd w:id="27"/>
      <w:r>
        <w:rPr>
          <w:sz w:val="28"/>
        </w:rPr>
        <w:t xml:space="preserve">позволяющие выяснить характер революционных преобразований в </w:t>
      </w:r>
      <w:bookmarkStart w:id="28" w:name="OCRUncertain144"/>
      <w:r>
        <w:rPr>
          <w:sz w:val="28"/>
        </w:rPr>
        <w:t>ф</w:t>
      </w:r>
      <w:bookmarkEnd w:id="28"/>
      <w:r>
        <w:rPr>
          <w:sz w:val="28"/>
        </w:rPr>
        <w:t>инансово-экономических отношениях проводившихся на советской территории. Руководствуясь этими декрета</w:t>
      </w:r>
      <w:bookmarkStart w:id="29" w:name="OCRUncertain145"/>
      <w:r>
        <w:rPr>
          <w:sz w:val="28"/>
        </w:rPr>
        <w:t>м</w:t>
      </w:r>
      <w:bookmarkEnd w:id="29"/>
      <w:r>
        <w:rPr>
          <w:sz w:val="28"/>
        </w:rPr>
        <w:t>и и постановле</w:t>
      </w:r>
      <w:bookmarkStart w:id="30" w:name="OCRUncertain146"/>
      <w:r>
        <w:rPr>
          <w:sz w:val="28"/>
        </w:rPr>
        <w:t>н</w:t>
      </w:r>
      <w:bookmarkEnd w:id="30"/>
      <w:r>
        <w:rPr>
          <w:sz w:val="28"/>
        </w:rPr>
        <w:t>иями местные органы советской власти проводили в жизнь выпуск денежных з</w:t>
      </w:r>
      <w:bookmarkStart w:id="31" w:name="OCRUncertain147"/>
      <w:r>
        <w:rPr>
          <w:sz w:val="28"/>
        </w:rPr>
        <w:t>н</w:t>
      </w:r>
      <w:bookmarkEnd w:id="31"/>
      <w:r>
        <w:rPr>
          <w:sz w:val="28"/>
        </w:rPr>
        <w:t>аков</w:t>
      </w:r>
      <w:r>
        <w:rPr>
          <w:noProof/>
          <w:sz w:val="28"/>
        </w:rPr>
        <w:t>.</w:t>
      </w:r>
    </w:p>
    <w:p w:rsidR="00053F3A" w:rsidRDefault="00FA481A">
      <w:pPr>
        <w:widowControl w:val="0"/>
        <w:spacing w:line="360" w:lineRule="auto"/>
        <w:ind w:firstLine="709"/>
        <w:jc w:val="both"/>
        <w:rPr>
          <w:sz w:val="28"/>
        </w:rPr>
      </w:pPr>
      <w:r>
        <w:rPr>
          <w:sz w:val="28"/>
        </w:rPr>
        <w:t>В группу опубликованных документов включаются декреты и постановления местных советских орган</w:t>
      </w:r>
      <w:bookmarkStart w:id="32" w:name="OCRUncertain149"/>
      <w:r>
        <w:rPr>
          <w:sz w:val="28"/>
        </w:rPr>
        <w:t>о</w:t>
      </w:r>
      <w:bookmarkEnd w:id="32"/>
      <w:r>
        <w:rPr>
          <w:sz w:val="28"/>
        </w:rPr>
        <w:t xml:space="preserve">в государственной власти, </w:t>
      </w:r>
      <w:bookmarkStart w:id="33" w:name="OCRUncertain150"/>
      <w:r>
        <w:rPr>
          <w:sz w:val="28"/>
        </w:rPr>
        <w:t>инструкции и про</w:t>
      </w:r>
      <w:bookmarkStart w:id="34" w:name="OCRUncertain151"/>
      <w:bookmarkEnd w:id="33"/>
      <w:r>
        <w:rPr>
          <w:sz w:val="28"/>
        </w:rPr>
        <w:t>токолы</w:t>
      </w:r>
      <w:bookmarkEnd w:id="34"/>
      <w:r>
        <w:rPr>
          <w:sz w:val="28"/>
        </w:rPr>
        <w:t xml:space="preserve"> заседаний. В частности, в декретах, инструкциях и протоколах II Кубанского о</w:t>
      </w:r>
      <w:bookmarkStart w:id="35" w:name="OCRUncertain154"/>
      <w:r>
        <w:rPr>
          <w:sz w:val="28"/>
        </w:rPr>
        <w:t>б</w:t>
      </w:r>
      <w:bookmarkEnd w:id="35"/>
      <w:r>
        <w:rPr>
          <w:sz w:val="28"/>
        </w:rPr>
        <w:t>ластного съезда советов содержится важная ин</w:t>
      </w:r>
      <w:bookmarkStart w:id="36" w:name="OCRUncertain155"/>
      <w:r>
        <w:rPr>
          <w:sz w:val="28"/>
        </w:rPr>
        <w:t>ф</w:t>
      </w:r>
      <w:bookmarkEnd w:id="36"/>
      <w:r>
        <w:rPr>
          <w:sz w:val="28"/>
        </w:rPr>
        <w:t xml:space="preserve">ормация о денежном обращении, о выпуске местных денежных знаков, о кредитно-финансовой политике органов советской власти. В протоколы </w:t>
      </w:r>
      <w:bookmarkStart w:id="37" w:name="OCRUncertain156"/>
      <w:r>
        <w:rPr>
          <w:sz w:val="28"/>
        </w:rPr>
        <w:t>Кубано-Черноморского</w:t>
      </w:r>
      <w:bookmarkEnd w:id="37"/>
      <w:r>
        <w:rPr>
          <w:sz w:val="28"/>
        </w:rPr>
        <w:t xml:space="preserve"> ЦИК вошли сведения о выпу</w:t>
      </w:r>
      <w:bookmarkStart w:id="38" w:name="OCRUncertain157"/>
      <w:r>
        <w:rPr>
          <w:sz w:val="28"/>
        </w:rPr>
        <w:t>ске разменной монеты в виде бон.</w:t>
      </w:r>
      <w:bookmarkEnd w:id="38"/>
      <w:r>
        <w:rPr>
          <w:sz w:val="28"/>
        </w:rPr>
        <w:t xml:space="preserve"> В известиях Кубанского, </w:t>
      </w:r>
      <w:bookmarkStart w:id="39" w:name="OCRUncertain158"/>
      <w:r>
        <w:rPr>
          <w:sz w:val="28"/>
        </w:rPr>
        <w:t>Кубано-Черноморского,</w:t>
      </w:r>
      <w:bookmarkEnd w:id="39"/>
      <w:r>
        <w:rPr>
          <w:sz w:val="28"/>
        </w:rPr>
        <w:t xml:space="preserve"> Северо-Кавказского ЦИК содержится большой объем информации, касающейся денежного обращения: аннулирование; обмен денежных знаков</w:t>
      </w:r>
      <w:bookmarkStart w:id="40" w:name="OCRUncertain159"/>
      <w:r>
        <w:rPr>
          <w:noProof/>
          <w:sz w:val="28"/>
        </w:rPr>
        <w:t>;</w:t>
      </w:r>
      <w:bookmarkEnd w:id="40"/>
      <w:r>
        <w:rPr>
          <w:sz w:val="28"/>
        </w:rPr>
        <w:t xml:space="preserve"> порядок выпуска местных бон</w:t>
      </w:r>
      <w:bookmarkStart w:id="41" w:name="OCRUncertain160"/>
      <w:r>
        <w:rPr>
          <w:noProof/>
          <w:sz w:val="28"/>
        </w:rPr>
        <w:t>;</w:t>
      </w:r>
      <w:bookmarkEnd w:id="41"/>
      <w:r>
        <w:rPr>
          <w:sz w:val="28"/>
        </w:rPr>
        <w:t xml:space="preserve"> условия хождения денеж</w:t>
      </w:r>
      <w:bookmarkStart w:id="42" w:name="OCRUncertain161"/>
      <w:r>
        <w:rPr>
          <w:sz w:val="28"/>
        </w:rPr>
        <w:t>н</w:t>
      </w:r>
      <w:bookmarkEnd w:id="42"/>
      <w:r>
        <w:rPr>
          <w:sz w:val="28"/>
        </w:rPr>
        <w:t>ых з</w:t>
      </w:r>
      <w:bookmarkStart w:id="43" w:name="OCRUncertain162"/>
      <w:r>
        <w:rPr>
          <w:sz w:val="28"/>
        </w:rPr>
        <w:t>н</w:t>
      </w:r>
      <w:bookmarkEnd w:id="43"/>
      <w:r>
        <w:rPr>
          <w:sz w:val="28"/>
        </w:rPr>
        <w:t>аков различных органов власти; объявления местных органов власти, информирующие население об изменениях в денежном обращении на конкретной территории, подконтрольной этим органа</w:t>
      </w:r>
      <w:bookmarkStart w:id="44" w:name="OCRUncertain165"/>
      <w:r>
        <w:rPr>
          <w:sz w:val="28"/>
        </w:rPr>
        <w:t xml:space="preserve">м </w:t>
      </w:r>
      <w:bookmarkEnd w:id="44"/>
      <w:r>
        <w:rPr>
          <w:sz w:val="28"/>
        </w:rPr>
        <w:t xml:space="preserve">власти. </w:t>
      </w:r>
    </w:p>
    <w:p w:rsidR="00053F3A" w:rsidRDefault="00FA481A">
      <w:pPr>
        <w:widowControl w:val="0"/>
        <w:spacing w:line="360" w:lineRule="auto"/>
        <w:ind w:firstLine="709"/>
        <w:jc w:val="both"/>
        <w:rPr>
          <w:sz w:val="28"/>
        </w:rPr>
      </w:pPr>
      <w:r>
        <w:rPr>
          <w:sz w:val="28"/>
        </w:rPr>
        <w:t xml:space="preserve">К данному типу источников относятся </w:t>
      </w:r>
      <w:bookmarkStart w:id="45" w:name="OCRUncertain167"/>
      <w:r>
        <w:rPr>
          <w:sz w:val="28"/>
        </w:rPr>
        <w:t>п</w:t>
      </w:r>
      <w:bookmarkEnd w:id="45"/>
      <w:r>
        <w:rPr>
          <w:sz w:val="28"/>
        </w:rPr>
        <w:t>риказы финансовых отделов, обязательные постановления, объявления комиссариата финансов и финанс</w:t>
      </w:r>
      <w:bookmarkStart w:id="46" w:name="OCRUncertain169"/>
      <w:r>
        <w:rPr>
          <w:sz w:val="28"/>
        </w:rPr>
        <w:t>овых отделов исполнительных комитетов советов народных депутатов.</w:t>
      </w:r>
      <w:bookmarkEnd w:id="46"/>
      <w:r>
        <w:rPr>
          <w:sz w:val="28"/>
        </w:rPr>
        <w:t xml:space="preserve"> В них содержится информация о порядке действия и прекращении хожде</w:t>
      </w:r>
      <w:bookmarkStart w:id="47" w:name="OCRUncertain171"/>
      <w:r>
        <w:rPr>
          <w:sz w:val="28"/>
        </w:rPr>
        <w:t>н</w:t>
      </w:r>
      <w:bookmarkEnd w:id="47"/>
      <w:r>
        <w:rPr>
          <w:sz w:val="28"/>
        </w:rPr>
        <w:t xml:space="preserve">ия денежных знаков, их курсовая стоимость, порядок приема в платежи и расчета между гражданами. </w:t>
      </w:r>
    </w:p>
    <w:p w:rsidR="00053F3A" w:rsidRDefault="00FA481A">
      <w:pPr>
        <w:pStyle w:val="a5"/>
        <w:spacing w:before="0"/>
        <w:rPr>
          <w:snapToGrid/>
        </w:rPr>
      </w:pPr>
      <w:r>
        <w:rPr>
          <w:snapToGrid/>
        </w:rPr>
        <w:t>Существенную по значимости группу составляют неопубликованные источники, выявленные в фондах Государственного архива Краснодарского края (ГАКК), Государственного архива республики Адыгея (ГАРА), архивном отделе администрации Армавира.</w:t>
      </w:r>
    </w:p>
    <w:p w:rsidR="00053F3A" w:rsidRDefault="00FA481A">
      <w:pPr>
        <w:widowControl w:val="0"/>
        <w:spacing w:line="360" w:lineRule="auto"/>
        <w:ind w:firstLine="720"/>
        <w:jc w:val="both"/>
        <w:rPr>
          <w:sz w:val="28"/>
        </w:rPr>
      </w:pPr>
      <w:r>
        <w:rPr>
          <w:sz w:val="28"/>
        </w:rPr>
        <w:t xml:space="preserve">Важные документы, касающиеся сферы денежного обращения на Кубани в 1917 - 1920 гг. извлечены из архивных фондов Кубанского краевого правительства. В делах канцелярии находятся выписки из протоколов заседаний Совета Кубанского краевого правительства по финансовым вопросам, таким как: организация и порядок выпуска местных бон, выделение помещений, оборудования, технических средств и расходных материалов для печатания денежных знаков. Приказы Кубанского краевого правительства, обязательные постановления и объявления ведомства финансов содержат информацию о порядке возникновения, действия и прекращении хождения денежных знаков, их курсовой стоимости, порядке приема в платежи и расчетов между гражданами. </w:t>
      </w:r>
    </w:p>
    <w:p w:rsidR="00053F3A" w:rsidRDefault="00FA481A">
      <w:pPr>
        <w:widowControl w:val="0"/>
        <w:spacing w:line="360" w:lineRule="auto"/>
        <w:ind w:firstLine="720"/>
        <w:jc w:val="both"/>
        <w:rPr>
          <w:sz w:val="28"/>
        </w:rPr>
      </w:pPr>
      <w:r>
        <w:rPr>
          <w:sz w:val="28"/>
        </w:rPr>
        <w:t>В делах ведомства путей сообщений найдены материалы по выпуску заемных билетов Владикавказской железной дороги. В делах сочинской городской думы находятся документы о выпуске в обращение городских бон образца 1918 г.</w:t>
      </w:r>
    </w:p>
    <w:p w:rsidR="00053F3A" w:rsidRDefault="00FA481A">
      <w:pPr>
        <w:widowControl w:val="0"/>
        <w:spacing w:line="360" w:lineRule="auto"/>
        <w:ind w:firstLine="720"/>
        <w:jc w:val="both"/>
        <w:rPr>
          <w:sz w:val="28"/>
        </w:rPr>
      </w:pPr>
      <w:r>
        <w:rPr>
          <w:sz w:val="28"/>
        </w:rPr>
        <w:t xml:space="preserve">В Государственном архиве Республики Адыгея (ГАРА) обнаружены материалы по организации денежного обращения в Майкопском отделе. </w:t>
      </w:r>
      <w:r>
        <w:rPr>
          <w:sz w:val="28"/>
        </w:rPr>
        <w:br/>
        <w:t>В приказах, постановлениях и объявлениях Майкопского совета народных депутатов содержатся подробные сведения по вопросам аннулирования, обмена денежных знаков</w:t>
      </w:r>
      <w:r>
        <w:rPr>
          <w:noProof/>
          <w:sz w:val="28"/>
        </w:rPr>
        <w:t>;</w:t>
      </w:r>
      <w:r>
        <w:rPr>
          <w:sz w:val="28"/>
        </w:rPr>
        <w:t xml:space="preserve"> порядке выпуска местных бон</w:t>
      </w:r>
      <w:r>
        <w:rPr>
          <w:noProof/>
          <w:sz w:val="28"/>
        </w:rPr>
        <w:t>;</w:t>
      </w:r>
      <w:r>
        <w:rPr>
          <w:sz w:val="28"/>
        </w:rPr>
        <w:t xml:space="preserve"> условий хождения денежных знаков различных органов власти, ответственности органов власти и частных лиц за нарушение правил денежного обращения. В делах Майкопской городской управы содержатся документы о выпуске в обращение в 1920 г. расписок Майкопской городской управы.</w:t>
      </w:r>
    </w:p>
    <w:p w:rsidR="00053F3A" w:rsidRDefault="00FA481A">
      <w:pPr>
        <w:widowControl w:val="0"/>
        <w:spacing w:line="360" w:lineRule="auto"/>
        <w:ind w:firstLine="720"/>
        <w:jc w:val="both"/>
        <w:rPr>
          <w:sz w:val="28"/>
        </w:rPr>
      </w:pPr>
      <w:r>
        <w:rPr>
          <w:sz w:val="28"/>
        </w:rPr>
        <w:t>В Архивном отделе администрации Армавира найдены материалы о выпуске армавирских гарантированных чеков, а также циркуляры управляющего Армавиро-Туапсинской железной дороги по денежному обращению.</w:t>
      </w:r>
    </w:p>
    <w:p w:rsidR="00053F3A" w:rsidRDefault="00FA481A">
      <w:pPr>
        <w:widowControl w:val="0"/>
        <w:spacing w:line="360" w:lineRule="auto"/>
        <w:ind w:firstLine="720"/>
        <w:jc w:val="both"/>
        <w:rPr>
          <w:sz w:val="28"/>
        </w:rPr>
      </w:pPr>
      <w:r>
        <w:rPr>
          <w:sz w:val="28"/>
        </w:rPr>
        <w:t>Значительный пласт документов и материалов извлечен из газет и журналов Северного Кавказа. В прессе, как правило, публиковались основные официальные документы: постановления, указы и директивы Временного правительства, Кубанской рады, Кубанского краевого правительства, декреты Всероссийского Центрального Исполнительного Комитета и Совета Народных Комиссаров. Некоторые из них впоследствии вошли в сборники документов или отложились в фондах архивов, но есть и такие, для которых единственной формой публикации стала периодическая печать. Важное значение имеют корреспонденции, содержащие достаточно подробную информацию о выпуске тех или иных денежных знаков. По информационной отдаче они различны: часть из них представляет материалы, написанные "по горячим следам" событий, другая - ретроспективные сюжеты.</w:t>
      </w:r>
    </w:p>
    <w:p w:rsidR="00053F3A" w:rsidRDefault="00FA481A">
      <w:pPr>
        <w:widowControl w:val="0"/>
        <w:spacing w:line="360" w:lineRule="auto"/>
        <w:ind w:firstLine="720"/>
        <w:jc w:val="both"/>
        <w:rPr>
          <w:sz w:val="28"/>
        </w:rPr>
      </w:pPr>
      <w:r>
        <w:rPr>
          <w:sz w:val="28"/>
        </w:rPr>
        <w:t>Большое количество документов, касающихся истории денежного обращения на Северном Кавказе, обнаружено в газете “Северо-Кавказский коллекционер”. В этом издании публиковались хранившиеся в краевом музее революции (г. Ростов-на-Дону) различного рода объявления, приказы, распоряжения и постановления, касающиеся денежного обращения на территориях подконтрольных местным правительствам.</w:t>
      </w:r>
    </w:p>
    <w:p w:rsidR="00053F3A" w:rsidRDefault="00FA481A">
      <w:pPr>
        <w:widowControl w:val="0"/>
        <w:spacing w:line="360" w:lineRule="auto"/>
        <w:ind w:firstLine="660"/>
        <w:jc w:val="both"/>
        <w:rPr>
          <w:sz w:val="28"/>
        </w:rPr>
      </w:pPr>
      <w:r>
        <w:rPr>
          <w:sz w:val="28"/>
        </w:rPr>
        <w:t>К широко использованным в работе источникам, относятся бумажные денежные знаки, являющиеся специ</w:t>
      </w:r>
      <w:bookmarkStart w:id="48" w:name="OCRUncertain175"/>
      <w:r>
        <w:rPr>
          <w:sz w:val="28"/>
        </w:rPr>
        <w:t>ф</w:t>
      </w:r>
      <w:bookmarkEnd w:id="48"/>
      <w:r>
        <w:rPr>
          <w:sz w:val="28"/>
        </w:rPr>
        <w:t xml:space="preserve">ической разновидностью письменных государственных документов. Данная группа источников исследовалась по материалам личных коллекций В.П. Подберезного, В.А. Лазарева и автора, фонда "Денежные знаки" Национального музея Республики Адыгея. Отдельные денежные знаки обнаружены в фондах Государственного архива Краснодарского края. </w:t>
      </w:r>
    </w:p>
    <w:p w:rsidR="00053F3A" w:rsidRDefault="00FA481A">
      <w:pPr>
        <w:widowControl w:val="0"/>
        <w:spacing w:line="360" w:lineRule="auto"/>
        <w:ind w:firstLine="660"/>
        <w:jc w:val="both"/>
        <w:rPr>
          <w:sz w:val="28"/>
        </w:rPr>
      </w:pPr>
      <w:r>
        <w:rPr>
          <w:sz w:val="28"/>
        </w:rPr>
        <w:t xml:space="preserve">Денежные знаки можно отнести к наиболее объективным документам истории не только в силу их </w:t>
      </w:r>
      <w:bookmarkStart w:id="49" w:name="OCRUncertain178"/>
      <w:r>
        <w:rPr>
          <w:sz w:val="28"/>
        </w:rPr>
        <w:t>официального</w:t>
      </w:r>
      <w:bookmarkEnd w:id="49"/>
      <w:r>
        <w:rPr>
          <w:sz w:val="28"/>
        </w:rPr>
        <w:t xml:space="preserve"> происхождения, но также и ввиду их общественно-рыночной значимости, как показателя материального б</w:t>
      </w:r>
      <w:bookmarkStart w:id="50" w:name="OCRUncertain179"/>
      <w:r>
        <w:rPr>
          <w:sz w:val="28"/>
        </w:rPr>
        <w:t>л</w:t>
      </w:r>
      <w:bookmarkEnd w:id="50"/>
      <w:r>
        <w:rPr>
          <w:sz w:val="28"/>
        </w:rPr>
        <w:t>агополучия. Помимо этого</w:t>
      </w:r>
      <w:r>
        <w:rPr>
          <w:noProof/>
          <w:sz w:val="28"/>
        </w:rPr>
        <w:t xml:space="preserve"> –</w:t>
      </w:r>
      <w:r>
        <w:rPr>
          <w:sz w:val="28"/>
        </w:rPr>
        <w:t xml:space="preserve"> денежные знаки символизируют изменения в пол</w:t>
      </w:r>
      <w:bookmarkStart w:id="51" w:name="OCRUncertain183"/>
      <w:r>
        <w:rPr>
          <w:sz w:val="28"/>
        </w:rPr>
        <w:t>и</w:t>
      </w:r>
      <w:bookmarkEnd w:id="51"/>
      <w:r>
        <w:rPr>
          <w:sz w:val="28"/>
        </w:rPr>
        <w:t>тических событиях, войны, смену власт</w:t>
      </w:r>
      <w:bookmarkStart w:id="52" w:name="OCRUncertain184"/>
      <w:r>
        <w:rPr>
          <w:sz w:val="28"/>
        </w:rPr>
        <w:t>ей, идеологию правящих классов, борьбу партий.</w:t>
      </w:r>
      <w:bookmarkEnd w:id="52"/>
      <w:r>
        <w:rPr>
          <w:sz w:val="28"/>
        </w:rPr>
        <w:t xml:space="preserve"> Эвол</w:t>
      </w:r>
      <w:bookmarkStart w:id="53" w:name="OCRUncertain185"/>
      <w:r>
        <w:rPr>
          <w:sz w:val="28"/>
        </w:rPr>
        <w:t>ю</w:t>
      </w:r>
      <w:bookmarkEnd w:id="53"/>
      <w:r>
        <w:rPr>
          <w:sz w:val="28"/>
        </w:rPr>
        <w:t>ция общества, сдвиги общественных классов, победы и поражения в политической борьбе, открытые и скрытые закулисные влияния на правительство</w:t>
      </w:r>
      <w:r>
        <w:rPr>
          <w:noProof/>
          <w:sz w:val="28"/>
        </w:rPr>
        <w:t xml:space="preserve"> -</w:t>
      </w:r>
      <w:r>
        <w:rPr>
          <w:sz w:val="28"/>
        </w:rPr>
        <w:t xml:space="preserve"> все </w:t>
      </w:r>
      <w:bookmarkStart w:id="54" w:name="OCRUncertain187"/>
      <w:r>
        <w:rPr>
          <w:sz w:val="28"/>
        </w:rPr>
        <w:t>э</w:t>
      </w:r>
      <w:bookmarkEnd w:id="54"/>
      <w:r>
        <w:rPr>
          <w:sz w:val="28"/>
        </w:rPr>
        <w:t>то находит отражение в денежных знаках - памятниках эпохи.</w:t>
      </w:r>
    </w:p>
    <w:p w:rsidR="00053F3A" w:rsidRDefault="00FA481A">
      <w:pPr>
        <w:widowControl w:val="0"/>
        <w:spacing w:line="360" w:lineRule="auto"/>
        <w:ind w:firstLine="720"/>
        <w:jc w:val="both"/>
        <w:rPr>
          <w:sz w:val="28"/>
        </w:rPr>
      </w:pPr>
      <w:r>
        <w:rPr>
          <w:sz w:val="28"/>
        </w:rPr>
        <w:t>Аналитическая работа с бумажными денежными знаками предполагает использование специальной справочной литературы в виде каталог</w:t>
      </w:r>
      <w:bookmarkStart w:id="55" w:name="OCRUncertain193"/>
      <w:r>
        <w:rPr>
          <w:sz w:val="28"/>
        </w:rPr>
        <w:t>ов денежных знаков с</w:t>
      </w:r>
      <w:bookmarkEnd w:id="55"/>
      <w:r>
        <w:rPr>
          <w:sz w:val="28"/>
        </w:rPr>
        <w:t>одержащих достоверные сведения о месте, времени выпуска и характере эмиссий денежных знаков. В каталогах А.М.Браиловского. Н.И.Кардакова, В.М.Соколова, Ф.Г.Чучина, А.И.Малышева, П.Ф.Рябченко, систематизировано огромное количество информации и статистических данных, в них содержатся сведения об эмитенте, месте и дате выпуска, номинале купюр, названии денежных единиц, разновидностях денежных знаков.</w:t>
      </w:r>
    </w:p>
    <w:p w:rsidR="00053F3A" w:rsidRDefault="00FA481A">
      <w:pPr>
        <w:widowControl w:val="0"/>
        <w:spacing w:line="360" w:lineRule="auto"/>
        <w:ind w:firstLine="680"/>
        <w:jc w:val="both"/>
        <w:rPr>
          <w:sz w:val="28"/>
        </w:rPr>
      </w:pPr>
      <w:r>
        <w:rPr>
          <w:b/>
          <w:sz w:val="28"/>
        </w:rPr>
        <w:t>Методологической основой</w:t>
      </w:r>
      <w:r>
        <w:rPr>
          <w:sz w:val="28"/>
        </w:rPr>
        <w:t xml:space="preserve"> работы </w:t>
      </w:r>
      <w:bookmarkStart w:id="56" w:name="OCRUncertain135"/>
      <w:r>
        <w:rPr>
          <w:sz w:val="28"/>
        </w:rPr>
        <w:t>являются п</w:t>
      </w:r>
      <w:bookmarkEnd w:id="56"/>
      <w:r>
        <w:rPr>
          <w:sz w:val="28"/>
        </w:rPr>
        <w:t xml:space="preserve">ринципы историзма, научной объективности, системности. Принцип историзма позволяет изучить опыт эмиссионной политики, подвергнуть конкретно-историческому анализу </w:t>
      </w:r>
      <w:bookmarkStart w:id="57" w:name="OCRUncertain137"/>
      <w:r>
        <w:rPr>
          <w:sz w:val="28"/>
        </w:rPr>
        <w:t>разноплановые</w:t>
      </w:r>
      <w:bookmarkEnd w:id="57"/>
      <w:r>
        <w:rPr>
          <w:sz w:val="28"/>
        </w:rPr>
        <w:t xml:space="preserve"> события и процессы, протекавшие на Северном Кавказе в годы гражданской войны, дать их оценку с учетом исторической ситуации. Реализация принципа объективности стала возможной благодаря дополнительному привлечению не типичных для отечественной историографии источников, к которым относятся бумажные денежные знаки. Принцип системности позволяет рассматривать денежное обращение как функционально-значимую, одну из наиболее уязвимых частей финансово-экономических отношений в экстремальных условиях гражданской войны.</w:t>
      </w:r>
    </w:p>
    <w:p w:rsidR="00053F3A" w:rsidRDefault="00FA481A">
      <w:pPr>
        <w:widowControl w:val="0"/>
        <w:spacing w:line="360" w:lineRule="auto"/>
        <w:ind w:firstLine="720"/>
        <w:jc w:val="both"/>
        <w:rPr>
          <w:sz w:val="28"/>
        </w:rPr>
      </w:pPr>
      <w:r>
        <w:rPr>
          <w:sz w:val="28"/>
        </w:rPr>
        <w:t xml:space="preserve">Характер выявленных документов придает особый смысл вопросу эффективности исследовательских методов. В работе применяются специально-исторические методы: историко-сравнительный, историко-типологический, историко-системный, проблемно-хронологический. Наряду с ними использован метод комплексного анализа, основанный на применении методик вспомогательных исторических дисциплин: геральдики, палеографии, сфрагистики, хронологии, метрологии, иконографии, орнаментологии, филателии и эпиграфики. </w:t>
      </w:r>
    </w:p>
    <w:p w:rsidR="00053F3A" w:rsidRDefault="00FA481A">
      <w:pPr>
        <w:widowControl w:val="0"/>
        <w:spacing w:line="360" w:lineRule="auto"/>
        <w:ind w:firstLine="720"/>
        <w:jc w:val="both"/>
        <w:rPr>
          <w:sz w:val="28"/>
        </w:rPr>
      </w:pPr>
      <w:r>
        <w:rPr>
          <w:sz w:val="28"/>
        </w:rPr>
        <w:t>На основе выявленных документов, их систематизации и анализа наметился круг проблем, определивших структуру работы. Характеру исследования свойственны как аналитические, так и описательные элементы.</w:t>
      </w:r>
    </w:p>
    <w:p w:rsidR="00053F3A" w:rsidRDefault="00FA481A">
      <w:pPr>
        <w:pStyle w:val="a5"/>
        <w:spacing w:before="0"/>
      </w:pPr>
      <w:r>
        <w:rPr>
          <w:b/>
        </w:rPr>
        <w:t>Научная новизна работы</w:t>
      </w:r>
      <w:r>
        <w:t>. В работе впервые комплексно рассмотрены наиболее значительные эмиссии бумажных денежных знаков на Северном Кавказе, в число которых входят эмиссии Добровольческой армии и Кубанского краевого правительства, на основе которых строилось денежное обращение сил контрреволюции юга России, местные и частные выпуски трех основных регионов Северного Кавказа: Кубани, Терско-Дагестанского края и Ставрополья.</w:t>
      </w:r>
    </w:p>
    <w:p w:rsidR="00053F3A" w:rsidRDefault="00FA481A">
      <w:pPr>
        <w:pStyle w:val="a5"/>
        <w:spacing w:before="0"/>
      </w:pPr>
      <w:r>
        <w:t>Значимые положения диссертации основаны на разноплановых исследовательских материалах, отражающих как позитивные, так и негативные исторические процессы и явления. Основные положения и выводы диссертации имеют под собой документальную базу, определившую уровень критического анализа сложных процессов, обусловивших денежное обращение и эмиссии на Северном Кавказе в годы гражданской войны.</w:t>
      </w:r>
    </w:p>
    <w:p w:rsidR="00053F3A" w:rsidRDefault="00FA481A">
      <w:pPr>
        <w:widowControl w:val="0"/>
        <w:spacing w:line="360" w:lineRule="auto"/>
        <w:ind w:firstLine="720"/>
        <w:jc w:val="both"/>
        <w:rPr>
          <w:sz w:val="28"/>
        </w:rPr>
      </w:pPr>
      <w:r>
        <w:rPr>
          <w:b/>
          <w:sz w:val="28"/>
        </w:rPr>
        <w:t>Пр</w:t>
      </w:r>
      <w:bookmarkStart w:id="58" w:name="OCRUncertain343"/>
      <w:r>
        <w:rPr>
          <w:b/>
          <w:sz w:val="28"/>
        </w:rPr>
        <w:t>а</w:t>
      </w:r>
      <w:bookmarkEnd w:id="58"/>
      <w:r>
        <w:rPr>
          <w:b/>
          <w:sz w:val="28"/>
        </w:rPr>
        <w:t>ктическая значимость</w:t>
      </w:r>
      <w:r>
        <w:rPr>
          <w:sz w:val="28"/>
        </w:rPr>
        <w:t xml:space="preserve"> работы состоит в том, что ее результаты могут быть исполь</w:t>
      </w:r>
      <w:bookmarkStart w:id="59" w:name="OCRUncertain344"/>
      <w:r>
        <w:rPr>
          <w:sz w:val="28"/>
        </w:rPr>
        <w:t>з</w:t>
      </w:r>
      <w:bookmarkEnd w:id="59"/>
      <w:r>
        <w:rPr>
          <w:sz w:val="28"/>
        </w:rPr>
        <w:t xml:space="preserve">овать при изучении курса отечественной истории в </w:t>
      </w:r>
      <w:bookmarkStart w:id="60" w:name="OCRUncertain345"/>
      <w:r>
        <w:rPr>
          <w:sz w:val="28"/>
        </w:rPr>
        <w:t>вузах</w:t>
      </w:r>
      <w:bookmarkEnd w:id="60"/>
      <w:r>
        <w:rPr>
          <w:sz w:val="28"/>
        </w:rPr>
        <w:t xml:space="preserve"> и средн</w:t>
      </w:r>
      <w:bookmarkStart w:id="61" w:name="OCRUncertain346"/>
      <w:r>
        <w:rPr>
          <w:sz w:val="28"/>
        </w:rPr>
        <w:t>е</w:t>
      </w:r>
      <w:bookmarkEnd w:id="61"/>
      <w:r>
        <w:rPr>
          <w:sz w:val="28"/>
        </w:rPr>
        <w:t>й школе. На основании инфор</w:t>
      </w:r>
      <w:bookmarkStart w:id="62" w:name="OCRUncertain347"/>
      <w:r>
        <w:rPr>
          <w:sz w:val="28"/>
        </w:rPr>
        <w:t>м</w:t>
      </w:r>
      <w:bookmarkEnd w:id="62"/>
      <w:r>
        <w:rPr>
          <w:sz w:val="28"/>
        </w:rPr>
        <w:t>ации, содержащейся в диссертационной работ</w:t>
      </w:r>
      <w:bookmarkStart w:id="63" w:name="OCRUncertain349"/>
      <w:r>
        <w:rPr>
          <w:sz w:val="28"/>
        </w:rPr>
        <w:t>е</w:t>
      </w:r>
      <w:bookmarkEnd w:id="63"/>
      <w:r>
        <w:rPr>
          <w:sz w:val="28"/>
        </w:rPr>
        <w:t xml:space="preserve"> р</w:t>
      </w:r>
      <w:bookmarkStart w:id="64" w:name="OCRUncertain350"/>
      <w:r>
        <w:rPr>
          <w:sz w:val="28"/>
        </w:rPr>
        <w:t>а</w:t>
      </w:r>
      <w:bookmarkEnd w:id="64"/>
      <w:r>
        <w:rPr>
          <w:sz w:val="28"/>
        </w:rPr>
        <w:t xml:space="preserve">зработаны и читается студентам исторического факультета Адыгейского государственного университета специальные курсы “История денежного обращения в России” и "Отечественная бонистика". </w:t>
      </w:r>
    </w:p>
    <w:p w:rsidR="00053F3A" w:rsidRDefault="00FA481A">
      <w:pPr>
        <w:widowControl w:val="0"/>
        <w:spacing w:line="360" w:lineRule="auto"/>
        <w:ind w:firstLine="720"/>
        <w:jc w:val="both"/>
        <w:rPr>
          <w:rFonts w:ascii="Arial" w:hAnsi="Arial"/>
          <w:b/>
        </w:rPr>
      </w:pPr>
      <w:r>
        <w:rPr>
          <w:sz w:val="28"/>
        </w:rPr>
        <w:t xml:space="preserve">Диссертация прошла </w:t>
      </w:r>
      <w:r>
        <w:rPr>
          <w:b/>
          <w:sz w:val="28"/>
        </w:rPr>
        <w:t>апробацию</w:t>
      </w:r>
      <w:r>
        <w:rPr>
          <w:sz w:val="28"/>
        </w:rPr>
        <w:t xml:space="preserve"> на кафедре истории отечества Адыгейского государственного университета, одобрена и получила рекомендацию к защите. Основные теоретические положения и выводы диссертационного исследования изложены автором в ряде публикаций, в докладах и сообщениях на научных конференциях.</w:t>
      </w:r>
      <w:r>
        <w:rPr>
          <w:rFonts w:ascii="Arial" w:hAnsi="Arial"/>
          <w:b/>
        </w:rPr>
        <w:t xml:space="preserve"> </w:t>
      </w:r>
    </w:p>
    <w:p w:rsidR="00053F3A" w:rsidRDefault="00FA481A">
      <w:pPr>
        <w:widowControl w:val="0"/>
        <w:spacing w:line="360" w:lineRule="auto"/>
        <w:ind w:right="-2" w:firstLine="660"/>
        <w:jc w:val="both"/>
        <w:rPr>
          <w:sz w:val="28"/>
        </w:rPr>
      </w:pPr>
      <w:r>
        <w:rPr>
          <w:b/>
          <w:sz w:val="28"/>
        </w:rPr>
        <w:t>Структура работы</w:t>
      </w:r>
      <w:r>
        <w:rPr>
          <w:sz w:val="28"/>
        </w:rPr>
        <w:t>. Кандидатская диссертация состоит из введения, четырех глав, з</w:t>
      </w:r>
      <w:bookmarkStart w:id="65" w:name="OCRUncertain328"/>
      <w:r>
        <w:rPr>
          <w:sz w:val="28"/>
        </w:rPr>
        <w:t>а</w:t>
      </w:r>
      <w:bookmarkEnd w:id="65"/>
      <w:r>
        <w:rPr>
          <w:sz w:val="28"/>
        </w:rPr>
        <w:t>кл</w:t>
      </w:r>
      <w:bookmarkStart w:id="66" w:name="OCRUncertain329"/>
      <w:r>
        <w:rPr>
          <w:sz w:val="28"/>
        </w:rPr>
        <w:t>ю</w:t>
      </w:r>
      <w:bookmarkEnd w:id="66"/>
      <w:r>
        <w:rPr>
          <w:sz w:val="28"/>
        </w:rPr>
        <w:t>чения, списка использованных источников и литературы, приложения.</w:t>
      </w:r>
    </w:p>
    <w:p w:rsidR="00053F3A" w:rsidRDefault="00FA481A">
      <w:pPr>
        <w:widowControl w:val="0"/>
        <w:spacing w:line="360" w:lineRule="auto"/>
        <w:jc w:val="center"/>
        <w:rPr>
          <w:b/>
          <w:sz w:val="28"/>
        </w:rPr>
      </w:pPr>
      <w:r>
        <w:rPr>
          <w:b/>
          <w:sz w:val="28"/>
        </w:rPr>
        <w:t>Основное содержание работы</w:t>
      </w:r>
    </w:p>
    <w:p w:rsidR="00053F3A" w:rsidRDefault="00053F3A">
      <w:pPr>
        <w:widowControl w:val="0"/>
        <w:spacing w:line="360" w:lineRule="auto"/>
        <w:ind w:firstLine="720"/>
        <w:jc w:val="both"/>
        <w:rPr>
          <w:sz w:val="28"/>
        </w:rPr>
      </w:pPr>
    </w:p>
    <w:p w:rsidR="00053F3A" w:rsidRDefault="00FA481A">
      <w:pPr>
        <w:widowControl w:val="0"/>
        <w:spacing w:line="360" w:lineRule="auto"/>
        <w:ind w:firstLine="720"/>
        <w:jc w:val="both"/>
        <w:rPr>
          <w:sz w:val="28"/>
        </w:rPr>
      </w:pPr>
      <w:r>
        <w:rPr>
          <w:sz w:val="28"/>
        </w:rPr>
        <w:t xml:space="preserve">Во </w:t>
      </w:r>
      <w:r>
        <w:rPr>
          <w:b/>
          <w:sz w:val="28"/>
        </w:rPr>
        <w:t>введении</w:t>
      </w:r>
      <w:r>
        <w:rPr>
          <w:sz w:val="28"/>
        </w:rPr>
        <w:t xml:space="preserve"> обосновывается выбор темы, научная и практическая важность разрабатываемой проблемы денежного обращения и эмиссий на Северном Кавказе в 1917-1920 гг., цели и задачи диссертационного исследования, характеризуются и анализируются источники и научная литература.</w:t>
      </w:r>
    </w:p>
    <w:p w:rsidR="00053F3A" w:rsidRDefault="00FA481A">
      <w:pPr>
        <w:pStyle w:val="10"/>
        <w:widowControl w:val="0"/>
        <w:spacing w:line="360" w:lineRule="auto"/>
        <w:ind w:firstLine="709"/>
        <w:jc w:val="both"/>
        <w:rPr>
          <w:rFonts w:ascii="Times New Roman" w:hAnsi="Times New Roman"/>
          <w:sz w:val="28"/>
          <w:lang w:val="ru-RU"/>
        </w:rPr>
      </w:pPr>
      <w:r>
        <w:rPr>
          <w:rFonts w:ascii="Times New Roman" w:hAnsi="Times New Roman"/>
          <w:sz w:val="28"/>
          <w:lang w:val="ru-RU"/>
        </w:rPr>
        <w:t xml:space="preserve">В первой главе – </w:t>
      </w:r>
      <w:r>
        <w:rPr>
          <w:rFonts w:ascii="Times New Roman" w:hAnsi="Times New Roman"/>
          <w:b/>
          <w:sz w:val="28"/>
          <w:lang w:val="ru-RU"/>
        </w:rPr>
        <w:t>"Бумажные денежные знаки как источник изучения финансово-экономических отношений"</w:t>
      </w:r>
      <w:r>
        <w:rPr>
          <w:rFonts w:ascii="Times New Roman" w:hAnsi="Times New Roman"/>
          <w:sz w:val="28"/>
          <w:lang w:val="ru-RU"/>
        </w:rPr>
        <w:t xml:space="preserve"> рассматриваются общие подходы к изучению денежных знаков, а так же приемы и методы их источниковедческого анализа.</w:t>
      </w:r>
    </w:p>
    <w:p w:rsidR="00053F3A" w:rsidRDefault="00FA481A">
      <w:pPr>
        <w:pStyle w:val="10"/>
        <w:widowControl w:val="0"/>
        <w:spacing w:line="360" w:lineRule="auto"/>
        <w:ind w:firstLine="720"/>
        <w:jc w:val="both"/>
        <w:rPr>
          <w:rFonts w:ascii="Times New Roman" w:hAnsi="Times New Roman"/>
          <w:sz w:val="28"/>
          <w:lang w:val="ru-RU"/>
        </w:rPr>
      </w:pPr>
      <w:r>
        <w:rPr>
          <w:rFonts w:ascii="Times New Roman" w:hAnsi="Times New Roman"/>
          <w:sz w:val="28"/>
          <w:lang w:val="ru-RU"/>
        </w:rPr>
        <w:t xml:space="preserve">Бумажные денежные знаки - объективные свидетели многих исторических событий, играют важную роль в системе социально-экономических, политических отношений как внутри страны так и между государствами. Специфический характер исторического развития нашей страны, вызвал серьезные пертурбации в ее денежном обращении. Пожалуй, мало где в мире были такие обширные по объему и разнообразию выпуски денежных знаков и бон, как в нашей стране. Наибольшее их количество приходится на период гражданской войны 1917 - 1920 гг. </w:t>
      </w:r>
    </w:p>
    <w:p w:rsidR="00053F3A" w:rsidRDefault="00FA481A">
      <w:pPr>
        <w:pStyle w:val="10"/>
        <w:widowControl w:val="0"/>
        <w:spacing w:line="360" w:lineRule="auto"/>
        <w:ind w:firstLine="720"/>
        <w:jc w:val="both"/>
        <w:rPr>
          <w:rFonts w:ascii="Times New Roman" w:hAnsi="Times New Roman"/>
          <w:sz w:val="28"/>
          <w:lang w:val="ru-RU"/>
        </w:rPr>
      </w:pPr>
      <w:r>
        <w:rPr>
          <w:rFonts w:ascii="Times New Roman" w:hAnsi="Times New Roman"/>
          <w:sz w:val="28"/>
          <w:lang w:val="ru-RU"/>
        </w:rPr>
        <w:t>Некоторые эмиссии периода гражданской войны в номинальном исчислении достигали астрономических сумм, исчислявшихся в миллиардах и триллионах рублей, другие известны только в пробных экземплярах. До сих пор историки находят денежные знаки того периода, о которых не было ранее известно. Сейчас эти бумажные денежные знаки как документы прошлого сохраняются в архивах, музеях и личных коллекциях. Вся эта масса исторических источников пока еще досконально не исследована.</w:t>
      </w:r>
    </w:p>
    <w:p w:rsidR="00053F3A" w:rsidRDefault="00FA481A">
      <w:pPr>
        <w:pStyle w:val="10"/>
        <w:widowControl w:val="0"/>
        <w:spacing w:line="360" w:lineRule="auto"/>
        <w:jc w:val="both"/>
        <w:rPr>
          <w:rFonts w:ascii="Times New Roman" w:hAnsi="Times New Roman"/>
          <w:sz w:val="28"/>
          <w:lang w:val="ru-RU"/>
        </w:rPr>
      </w:pPr>
      <w:r>
        <w:rPr>
          <w:rFonts w:ascii="Times New Roman" w:hAnsi="Times New Roman"/>
          <w:sz w:val="28"/>
          <w:lang w:val="ru-RU"/>
        </w:rPr>
        <w:tab/>
        <w:t xml:space="preserve">Бумажные денежные знаки представляют собой специфическую разновидность письменных документов, исследование которых требует привлечения знаний специальных, вспомогательных исторических дисциплин. </w:t>
      </w:r>
    </w:p>
    <w:p w:rsidR="00053F3A" w:rsidRDefault="00FA481A">
      <w:pPr>
        <w:pStyle w:val="10"/>
        <w:widowControl w:val="0"/>
        <w:spacing w:line="360" w:lineRule="auto"/>
        <w:jc w:val="both"/>
        <w:rPr>
          <w:rFonts w:ascii="Times New Roman" w:hAnsi="Times New Roman"/>
          <w:sz w:val="28"/>
          <w:lang w:val="ru-RU"/>
        </w:rPr>
      </w:pPr>
      <w:r>
        <w:rPr>
          <w:rFonts w:ascii="Times New Roman" w:hAnsi="Times New Roman"/>
          <w:sz w:val="28"/>
          <w:lang w:val="ru-RU"/>
        </w:rPr>
        <w:tab/>
        <w:t>Приемы внешней критики бумажного денежного знака отличается от анализа любого письменного документа своей спецификой, заключающейся в том, что в отличие от других письменных источников это государственный документ, являющийся средством платежа, обращения и накопления. Он содержит в себе различные элементы, признаки (палеографические, орнаментальные, геральдические и др.), отражающие идеологию эмитента, "прочесть" которые возможно лишь при специальной подготовке.</w:t>
      </w:r>
    </w:p>
    <w:p w:rsidR="00053F3A" w:rsidRDefault="00FA481A">
      <w:pPr>
        <w:pStyle w:val="10"/>
        <w:widowControl w:val="0"/>
        <w:spacing w:line="360" w:lineRule="auto"/>
        <w:ind w:firstLine="720"/>
        <w:jc w:val="both"/>
        <w:rPr>
          <w:rFonts w:ascii="Times New Roman" w:hAnsi="Times New Roman"/>
          <w:sz w:val="28"/>
          <w:lang w:val="ru-RU"/>
        </w:rPr>
      </w:pPr>
      <w:r>
        <w:rPr>
          <w:rFonts w:ascii="Times New Roman" w:hAnsi="Times New Roman"/>
          <w:sz w:val="28"/>
          <w:lang w:val="ru-RU"/>
        </w:rPr>
        <w:t>Особое внимание уделялось внутренней критики денежных знаков, их разновидности, тиражности, наличии других номиналов, метрологии и полной истории эмиссии. Для внутренней критики бумажных денежных знаков привлекались отечественные каталоги, специальная, справочная литература, документы, отдельные публикации и архивы.</w:t>
      </w:r>
    </w:p>
    <w:p w:rsidR="00053F3A" w:rsidRDefault="00FA481A">
      <w:pPr>
        <w:pStyle w:val="10"/>
        <w:widowControl w:val="0"/>
        <w:spacing w:line="360" w:lineRule="auto"/>
        <w:jc w:val="both"/>
        <w:rPr>
          <w:rFonts w:ascii="Times New Roman" w:hAnsi="Times New Roman"/>
          <w:sz w:val="28"/>
          <w:lang w:val="ru-RU"/>
        </w:rPr>
      </w:pPr>
      <w:r>
        <w:rPr>
          <w:rFonts w:ascii="Times New Roman" w:hAnsi="Times New Roman"/>
          <w:sz w:val="28"/>
          <w:lang w:val="ru-RU"/>
        </w:rPr>
        <w:tab/>
        <w:t>Изучение бумажных денежных знаков как исторического памятника требует своих методов и приемов. Главным методом становится комплексный анализ бумажного денежного знака. При комплексном анализе большую помощь оказывают методики специальных исторических дисциплин.</w:t>
      </w:r>
    </w:p>
    <w:p w:rsidR="00053F3A" w:rsidRDefault="00FA481A">
      <w:pPr>
        <w:pStyle w:val="10"/>
        <w:widowControl w:val="0"/>
        <w:tabs>
          <w:tab w:val="left" w:pos="0"/>
        </w:tabs>
        <w:spacing w:line="360" w:lineRule="auto"/>
        <w:ind w:firstLine="709"/>
        <w:jc w:val="both"/>
        <w:rPr>
          <w:rFonts w:ascii="Times New Roman" w:hAnsi="Times New Roman"/>
          <w:sz w:val="28"/>
          <w:lang w:val="ru-RU"/>
        </w:rPr>
      </w:pPr>
      <w:r>
        <w:rPr>
          <w:rFonts w:ascii="Times New Roman" w:hAnsi="Times New Roman"/>
          <w:sz w:val="28"/>
          <w:lang w:val="ru-RU"/>
        </w:rPr>
        <w:t>С помощью критики бумажного денежного знака, в ходе исследования выявлялись место и время эмиссии, государственная принадлежность; цели и характер эмиссии, сроки обращения и погашения денежных знаков, гарантии эмиссии, классовая принадлежность эмитента; дальнейшая судьбу эмиссии.</w:t>
      </w:r>
    </w:p>
    <w:p w:rsidR="00053F3A" w:rsidRDefault="00FA481A">
      <w:pPr>
        <w:pStyle w:val="10"/>
        <w:widowControl w:val="0"/>
        <w:spacing w:line="360" w:lineRule="auto"/>
        <w:jc w:val="both"/>
        <w:rPr>
          <w:rFonts w:ascii="Times New Roman" w:hAnsi="Times New Roman"/>
          <w:sz w:val="28"/>
          <w:lang w:val="ru-RU"/>
        </w:rPr>
      </w:pPr>
      <w:r>
        <w:rPr>
          <w:rFonts w:ascii="Times New Roman" w:hAnsi="Times New Roman"/>
          <w:sz w:val="28"/>
          <w:lang w:val="ru-RU"/>
        </w:rPr>
        <w:tab/>
        <w:t xml:space="preserve">При изучении бумажных денежных знаков периода гражданской войны необходимо учитывать то обстоятельство, что любая денежная эмиссия тесно связана с интересами определенного класса, политической конъюнктурой. Чем богаче история страны на катастрофические, революционные процессы и события, чем интенсивнее происходит их чередование и глубже потрясения, тем "круче" зигзаги в функционировании денежных систем, тем многочисленнее выпуски денежных знаков. </w:t>
      </w:r>
    </w:p>
    <w:p w:rsidR="00053F3A" w:rsidRDefault="00FA481A">
      <w:pPr>
        <w:pStyle w:val="10"/>
        <w:widowControl w:val="0"/>
        <w:spacing w:line="336" w:lineRule="auto"/>
        <w:ind w:firstLine="709"/>
        <w:jc w:val="both"/>
        <w:rPr>
          <w:rFonts w:ascii="Times New Roman" w:hAnsi="Times New Roman"/>
          <w:sz w:val="28"/>
          <w:lang w:val="ru-RU"/>
        </w:rPr>
      </w:pPr>
      <w:r>
        <w:rPr>
          <w:rFonts w:ascii="Times New Roman" w:hAnsi="Times New Roman"/>
          <w:sz w:val="28"/>
          <w:lang w:val="ru-RU"/>
        </w:rPr>
        <w:t>В некоторых случаях бумажные деньги выступают как единственный документ, характеризующий различные стороны политической, социально-экономической деятельности эмитента. Природа денежного знака неразрывно связана с функционированием государства, любое изменение текста, рисунка, даты, подписи и других признаков на нем, как правило, свидетельствует об изменениях политического и экономического характера. Введение в научный оборот нового, нетрадиционного источника – бумажных денежных знаков, позволяет установить, уточнить и изучить эти изменения.</w:t>
      </w:r>
    </w:p>
    <w:p w:rsidR="00053F3A" w:rsidRDefault="00FA481A">
      <w:pPr>
        <w:widowControl w:val="0"/>
        <w:spacing w:line="360" w:lineRule="auto"/>
        <w:ind w:firstLine="709"/>
        <w:jc w:val="both"/>
        <w:rPr>
          <w:sz w:val="28"/>
        </w:rPr>
      </w:pPr>
      <w:r>
        <w:rPr>
          <w:sz w:val="28"/>
        </w:rPr>
        <w:t>Во второй главе – "</w:t>
      </w:r>
      <w:r>
        <w:rPr>
          <w:b/>
          <w:sz w:val="28"/>
        </w:rPr>
        <w:t xml:space="preserve">Характер денежного обращения в годы гражданской войны" </w:t>
      </w:r>
      <w:r>
        <w:rPr>
          <w:sz w:val="28"/>
        </w:rPr>
        <w:t>рассматривается углубление кризисных явлений в финансово-экономической системе Российского государства и мероприятия советского правительства в сфере денежного обращения.</w:t>
      </w:r>
    </w:p>
    <w:p w:rsidR="00053F3A" w:rsidRDefault="00FA481A">
      <w:pPr>
        <w:widowControl w:val="0"/>
        <w:spacing w:line="360" w:lineRule="auto"/>
        <w:ind w:firstLine="709"/>
        <w:jc w:val="both"/>
        <w:rPr>
          <w:sz w:val="28"/>
        </w:rPr>
      </w:pPr>
      <w:r>
        <w:rPr>
          <w:sz w:val="28"/>
        </w:rPr>
        <w:t>Автор отмечает, что изучение местных, локальных денежных эмиссий невозможно без выявления сложных процессов, имевших место в денежном обращении России в 1917-1920 гг. Денежное обращение представляет собой кровеносную систему экономики государства, которая в кризисный период претерпевает глубокие, зачастую губительные изменения.</w:t>
      </w:r>
    </w:p>
    <w:p w:rsidR="00053F3A" w:rsidRDefault="00FA481A">
      <w:pPr>
        <w:widowControl w:val="0"/>
        <w:spacing w:line="360" w:lineRule="auto"/>
        <w:ind w:firstLine="709"/>
        <w:jc w:val="both"/>
        <w:rPr>
          <w:sz w:val="28"/>
        </w:rPr>
      </w:pPr>
      <w:r>
        <w:rPr>
          <w:sz w:val="28"/>
        </w:rPr>
        <w:t xml:space="preserve">Изложенные в диссертации материалы свидетельствует, что причинами распада денежной системы России выступал целый комплекс социально-экономических и политических факторов. В диссертационном исследовании делается вывод о том, что денежное обращение в 1917-1920 гг. характеризовалось калейдоскопичностью процессов образования и уничтожения локальных денежных систем, функционированием на одной и той же территории множества денежных единиц с различными курсовыми колебаниями. </w:t>
      </w:r>
    </w:p>
    <w:p w:rsidR="00053F3A" w:rsidRDefault="00FA481A">
      <w:pPr>
        <w:widowControl w:val="0"/>
        <w:spacing w:line="360" w:lineRule="auto"/>
        <w:ind w:firstLine="720"/>
        <w:jc w:val="both"/>
        <w:rPr>
          <w:sz w:val="28"/>
        </w:rPr>
      </w:pPr>
      <w:r>
        <w:rPr>
          <w:sz w:val="28"/>
        </w:rPr>
        <w:t>Вызванная гражданской войной социально-экономическая нестабильность в стране выступила катализатором выпуска местных денежных эмиссий. Наиболее типичными причинами, стимулировавшими появление, развитие и исчезновение местных эмиссий можно считать факторы политического, технического и фискального характера.</w:t>
      </w:r>
    </w:p>
    <w:p w:rsidR="00053F3A" w:rsidRDefault="00FA481A">
      <w:pPr>
        <w:widowControl w:val="0"/>
        <w:spacing w:line="360" w:lineRule="auto"/>
        <w:ind w:firstLine="720"/>
        <w:jc w:val="both"/>
        <w:rPr>
          <w:sz w:val="28"/>
        </w:rPr>
      </w:pPr>
      <w:r>
        <w:rPr>
          <w:sz w:val="28"/>
        </w:rPr>
        <w:t xml:space="preserve">Ухудшение и разрыв сообщений с эмиссионным центром затрудняло снабжение мест мелкими купюрами денежных знаков. На почве разменного кризиса возникают местные денежные эмиссии банковского, муниципального и кооперативного типа. К ним так же относится и целый ряд местных эмиссий разнообразных политических окрасок. </w:t>
      </w:r>
    </w:p>
    <w:p w:rsidR="00053F3A" w:rsidRDefault="00FA481A">
      <w:pPr>
        <w:widowControl w:val="0"/>
        <w:spacing w:line="360" w:lineRule="auto"/>
        <w:ind w:firstLine="720"/>
        <w:jc w:val="both"/>
        <w:rPr>
          <w:sz w:val="28"/>
        </w:rPr>
      </w:pPr>
      <w:r>
        <w:rPr>
          <w:sz w:val="28"/>
        </w:rPr>
        <w:t>Особенно остро недостаток денег ощущался на окраинах бывшей Российской империи. Разруха на транспорте, ухудшение сообщения внутри страны затрудняли своевременную присылку денег на места. Реакцией на "денежный голод", на нарушение регулярного снабжения деньгами, стало стихийное “деньготворчество”</w:t>
      </w:r>
      <w:r>
        <w:rPr>
          <w:noProof/>
          <w:sz w:val="28"/>
        </w:rPr>
        <w:t xml:space="preserve"> —</w:t>
      </w:r>
      <w:r>
        <w:rPr>
          <w:sz w:val="28"/>
        </w:rPr>
        <w:t xml:space="preserve"> микроэмиссии, контролировать и регулировать которые из центра было практически невозможно.</w:t>
      </w:r>
    </w:p>
    <w:p w:rsidR="00053F3A" w:rsidRDefault="00FA481A">
      <w:pPr>
        <w:pStyle w:val="3"/>
      </w:pPr>
      <w:r>
        <w:t>Дальнейшее ослабление связей с центром и расстройство финансов, постепенно в первый ряд начинает выдвигать моменты фискального характера. Местные денежные выпуски производятся уже не столько для борьбы с разменным кризисом, сколько в качестве дополнительного доходного источника покрытия бюджетного дефицита. С этой точки зрения местные денежные выпуски представляют собой как бы ряд пристроек к центральной, общегосударственной денежной системе.</w:t>
      </w:r>
    </w:p>
    <w:p w:rsidR="00053F3A" w:rsidRDefault="00FA481A">
      <w:pPr>
        <w:widowControl w:val="0"/>
        <w:spacing w:line="360" w:lineRule="auto"/>
        <w:ind w:firstLine="709"/>
        <w:jc w:val="both"/>
        <w:rPr>
          <w:sz w:val="28"/>
        </w:rPr>
      </w:pPr>
      <w:r>
        <w:rPr>
          <w:sz w:val="28"/>
        </w:rPr>
        <w:t xml:space="preserve">По неполным данным за этот период было выпущено более 14 тыс. наименований денежных знаков, бон и денежных суррогатов. Автор отмечает, что не представляется возможности точно подсчитать, сколько было выпущено в годы гражданской войны всех видов денежных знаков по номиналу и в реально-ценностном выражении. </w:t>
      </w:r>
    </w:p>
    <w:p w:rsidR="00053F3A" w:rsidRDefault="00FA481A">
      <w:pPr>
        <w:widowControl w:val="0"/>
        <w:spacing w:line="360" w:lineRule="auto"/>
        <w:ind w:firstLine="709"/>
        <w:jc w:val="both"/>
        <w:rPr>
          <w:sz w:val="28"/>
        </w:rPr>
      </w:pPr>
      <w:r>
        <w:rPr>
          <w:sz w:val="28"/>
        </w:rPr>
        <w:t>Специфика централизованной советской эмиссии в рассматриваемый период заключалась в том, что она осуществлялась в трех формах. Первая форма - это денежные знаки прежних образцов:  царского и Временного правительств. Вторую форму - составляли советские денежные знаки, впервые выпущенные в 1919 г. Третья форма - советские денежные знаки, эмитируемые правительствами республик или местными краевыми, областными и городскими властями с санкции правительства РСФСР.</w:t>
      </w:r>
    </w:p>
    <w:p w:rsidR="00053F3A" w:rsidRDefault="00FA481A">
      <w:pPr>
        <w:widowControl w:val="0"/>
        <w:spacing w:line="360" w:lineRule="auto"/>
        <w:ind w:firstLine="709"/>
        <w:jc w:val="both"/>
        <w:rPr>
          <w:sz w:val="28"/>
        </w:rPr>
      </w:pPr>
      <w:r>
        <w:rPr>
          <w:sz w:val="28"/>
        </w:rPr>
        <w:t xml:space="preserve">Особую группу денежных эмиссий на советской территории составляли деньги, выпускавшиеся самостоятельно и самовольно местными органами советской власти, различными кооперативными и другими общественными организациями, а также частными предприятиями. </w:t>
      </w:r>
    </w:p>
    <w:p w:rsidR="00053F3A" w:rsidRDefault="00FA481A">
      <w:pPr>
        <w:widowControl w:val="0"/>
        <w:spacing w:line="360" w:lineRule="auto"/>
        <w:ind w:firstLine="709"/>
        <w:jc w:val="both"/>
        <w:rPr>
          <w:sz w:val="28"/>
        </w:rPr>
      </w:pPr>
      <w:r>
        <w:rPr>
          <w:sz w:val="28"/>
        </w:rPr>
        <w:t>Выпуски советской власти и ее финансовая политика играли большую роль в денежном обращении на территории России. Несмотря на запреты несоветских органов власти хождения на их территории совзнаков, они продолжали обращаться среди населения, которое чутко реагировало на малейшие изменения, связанные с эмиссией денежных знаков, с победами и поражениями на фронтах гражданской войны, а также с решениями советского правительства по финансовым вопросам.</w:t>
      </w:r>
    </w:p>
    <w:p w:rsidR="00053F3A" w:rsidRDefault="00FA481A">
      <w:pPr>
        <w:pStyle w:val="a7"/>
        <w:widowControl w:val="0"/>
        <w:ind w:firstLine="709"/>
        <w:jc w:val="both"/>
        <w:rPr>
          <w:b w:val="0"/>
        </w:rPr>
      </w:pPr>
      <w:r>
        <w:rPr>
          <w:b w:val="0"/>
        </w:rPr>
        <w:t>В</w:t>
      </w:r>
      <w:r>
        <w:t xml:space="preserve"> </w:t>
      </w:r>
      <w:r>
        <w:rPr>
          <w:b w:val="0"/>
        </w:rPr>
        <w:t>третьей главе</w:t>
      </w:r>
      <w:r>
        <w:t xml:space="preserve"> – "Несоветские правительственные выпуски денежных знаков</w:t>
      </w:r>
      <w:r>
        <w:rPr>
          <w:b w:val="0"/>
        </w:rPr>
        <w:t>" рассматривается эмиссионная политика и бумажные денежные знаки Добровольческой армии, а также денежное обращение при Кубанском краевом правительстве.</w:t>
      </w:r>
    </w:p>
    <w:p w:rsidR="00053F3A" w:rsidRDefault="00FA481A">
      <w:pPr>
        <w:widowControl w:val="0"/>
        <w:spacing w:line="360" w:lineRule="auto"/>
        <w:ind w:firstLine="709"/>
        <w:jc w:val="both"/>
        <w:rPr>
          <w:sz w:val="28"/>
        </w:rPr>
      </w:pPr>
      <w:r>
        <w:rPr>
          <w:sz w:val="28"/>
        </w:rPr>
        <w:t>Особенность денежного обращения в регионе связана с тем, что на значительной территории, подконтрольной несоветским органам власти (Кубанское краевое правительство, правительство Всевеликого Войска Донского) с конца 1918 г. до начала 1920 г. функционировали самостоятельные денежные системы, не зависимые от работы Московского эмиссионного центра. Данные денежные системы обеспечивались денежными знаками несколькими экспедициями, работавшими в Ростове-на-Дону, Новочеркасске, Таганроге, Екатеринодаре, Новороссийске, Симферополе и Феодосии.</w:t>
      </w:r>
    </w:p>
    <w:p w:rsidR="00053F3A" w:rsidRDefault="00FA481A">
      <w:pPr>
        <w:widowControl w:val="0"/>
        <w:spacing w:line="360" w:lineRule="auto"/>
        <w:ind w:firstLine="709"/>
        <w:jc w:val="both"/>
        <w:rPr>
          <w:sz w:val="28"/>
        </w:rPr>
      </w:pPr>
      <w:r>
        <w:rPr>
          <w:sz w:val="28"/>
        </w:rPr>
        <w:t>Несоветским правительствам Северного Кавказа пришлось преодолевать огромные трудности, связанные как с ведением военных действий, так и с налаживанием мирной жизни и восстановлением хозяйства на освобожденных территориях. Расходы на ведение войны тяжким бременем легли на сферу финансов и денежного обращения, вызывая инфляцию и связанные с нею денежный голод и разменный кризис.</w:t>
      </w:r>
    </w:p>
    <w:p w:rsidR="00053F3A" w:rsidRDefault="00FA481A">
      <w:pPr>
        <w:widowControl w:val="0"/>
        <w:spacing w:line="360" w:lineRule="auto"/>
        <w:ind w:firstLine="709"/>
        <w:jc w:val="both"/>
        <w:rPr>
          <w:sz w:val="28"/>
        </w:rPr>
      </w:pPr>
      <w:r>
        <w:rPr>
          <w:sz w:val="28"/>
        </w:rPr>
        <w:t>Несоветские правительства старались проводить разумную денежную политику, собирать налоги, стимулировать торговлю и производство, а также не засорять денежное обращение различными бонами и денежными суррогатами. По возможности, обменивали временные денежные знаки на общеобязательные, путем их выкупа у населения. Проводимые мероприятия замедляли инфляцию и снижали рост цен, особенно по сравнению с советской Россией.</w:t>
      </w:r>
    </w:p>
    <w:p w:rsidR="00053F3A" w:rsidRDefault="00FA481A">
      <w:pPr>
        <w:widowControl w:val="0"/>
        <w:spacing w:line="360" w:lineRule="auto"/>
        <w:ind w:firstLine="709"/>
        <w:jc w:val="both"/>
        <w:rPr>
          <w:sz w:val="28"/>
        </w:rPr>
      </w:pPr>
      <w:r>
        <w:rPr>
          <w:sz w:val="28"/>
        </w:rPr>
        <w:t xml:space="preserve">Не смотря на ряд трудностей, "белым" финансистам удалось договориться о единообразных денежных знаках, на которые предполагалось перевести все денежное обращение. Однако из-за недостатка денежных знаков в обращении, время от времени возникали трения и напряженность между краевыми правительствами и командованием Добровольческой армии. Нередки были попытки "наказать" кубанские власти недостаточным выделением денежных подкреплений. </w:t>
      </w:r>
    </w:p>
    <w:p w:rsidR="00053F3A" w:rsidRDefault="00FA481A">
      <w:pPr>
        <w:widowControl w:val="0"/>
        <w:spacing w:line="360" w:lineRule="auto"/>
        <w:ind w:firstLine="709"/>
        <w:jc w:val="both"/>
        <w:rPr>
          <w:sz w:val="28"/>
        </w:rPr>
      </w:pPr>
      <w:r>
        <w:rPr>
          <w:sz w:val="28"/>
        </w:rPr>
        <w:t>Финансовая политика контрреволюционных сил юга России оказалась заложницей военно-политической и экономической обстановки. Золотого обеспечения не было. Рубль реально мог обеспечиваться только урожаем земледельческих культур, полезными ископаемыми, собственностью, собираемостью налогов, бездефицитным бюджетом и военными успехами на фронтах гражданской войны. На основе этого строилось доверие населения к денежным знакам Кубани и Дона.</w:t>
      </w:r>
    </w:p>
    <w:p w:rsidR="00053F3A" w:rsidRDefault="00FA481A">
      <w:pPr>
        <w:widowControl w:val="0"/>
        <w:spacing w:line="360" w:lineRule="auto"/>
        <w:ind w:firstLine="709"/>
        <w:jc w:val="both"/>
        <w:rPr>
          <w:sz w:val="28"/>
        </w:rPr>
      </w:pPr>
      <w:r>
        <w:rPr>
          <w:sz w:val="28"/>
        </w:rPr>
        <w:t>Постоянно растущие военные расходы, плохой сбор налогов, разруха в промышленности транспорте сделали свое дело. Наконец, под влиянием военных поражений Добровольческой армии и утратой большей части территории юга России, денежное обращение свелось к печатанию все новых и новых необеспеченных денежных знаков, росту инфляции, стремительному падению рубля и экономическому краху, совпавшему по времени с военным и политическим поражением вооруженных сил юга России.</w:t>
      </w:r>
    </w:p>
    <w:p w:rsidR="00053F3A" w:rsidRDefault="00FA481A">
      <w:pPr>
        <w:widowControl w:val="0"/>
        <w:spacing w:line="360" w:lineRule="auto"/>
        <w:ind w:firstLine="709"/>
        <w:jc w:val="both"/>
        <w:rPr>
          <w:sz w:val="28"/>
        </w:rPr>
      </w:pPr>
      <w:r>
        <w:rPr>
          <w:sz w:val="28"/>
        </w:rPr>
        <w:t>В четвертой главе – "</w:t>
      </w:r>
      <w:r>
        <w:rPr>
          <w:b/>
          <w:sz w:val="28"/>
        </w:rPr>
        <w:t xml:space="preserve">Местные и частные эмиссии на Северном Кавказе в 1917 - 1920 гг." </w:t>
      </w:r>
      <w:r>
        <w:rPr>
          <w:sz w:val="28"/>
        </w:rPr>
        <w:t>рассматриваются</w:t>
      </w:r>
      <w:r>
        <w:rPr>
          <w:b/>
          <w:sz w:val="28"/>
        </w:rPr>
        <w:t xml:space="preserve"> </w:t>
      </w:r>
      <w:r>
        <w:rPr>
          <w:sz w:val="28"/>
        </w:rPr>
        <w:t>наиболее значимые выпуски местных и частных бумажных денежных знаков в различных регионах Северного Кавказа. Структура главы основана на территориально-географическом принципе.</w:t>
      </w:r>
    </w:p>
    <w:p w:rsidR="00053F3A" w:rsidRDefault="00FA481A">
      <w:pPr>
        <w:widowControl w:val="0"/>
        <w:spacing w:line="360" w:lineRule="auto"/>
        <w:ind w:firstLine="680"/>
        <w:jc w:val="both"/>
        <w:rPr>
          <w:sz w:val="28"/>
        </w:rPr>
      </w:pPr>
      <w:r>
        <w:rPr>
          <w:sz w:val="28"/>
        </w:rPr>
        <w:t>Автор отмечает, что распад единой денежной системы произошел не только в масштабах России, но и на региональном уровне. На территориях Кубани, Терско-Дагестанского края и Ставропольской губернии денежное обращение концентрировалось вокруг городов и ориентировалось на выпускавшиеся в них бумажные денежные знаки.</w:t>
      </w:r>
    </w:p>
    <w:p w:rsidR="00053F3A" w:rsidRDefault="00FA481A">
      <w:pPr>
        <w:widowControl w:val="0"/>
        <w:spacing w:line="360" w:lineRule="auto"/>
        <w:ind w:firstLine="680"/>
        <w:jc w:val="both"/>
        <w:rPr>
          <w:snapToGrid w:val="0"/>
          <w:sz w:val="28"/>
        </w:rPr>
      </w:pPr>
      <w:r>
        <w:rPr>
          <w:snapToGrid w:val="0"/>
          <w:sz w:val="28"/>
        </w:rPr>
        <w:t xml:space="preserve">В диссертации особо отмечается тот факт, что местные и частные деньги согласно их правомочия относятся к необщеобязательным, временным бонам, которые появились в обращении в результате инфляции, войн, революций. К местным принадлежат боны, выпускавшиеся от имени городских, сельских самоуправлений, крупных банков, предприятий, учреждений, кооперативов под обеспечение материальных ценностей – валюты, имущества местных властей. Частные, или внутренние боны выпускались отдельными предпринимателями, основываясь на взаимном доверии, без каких-либо гарантий и обеспечения. </w:t>
      </w:r>
    </w:p>
    <w:p w:rsidR="00053F3A" w:rsidRDefault="00FA481A">
      <w:pPr>
        <w:widowControl w:val="0"/>
        <w:spacing w:line="360" w:lineRule="auto"/>
        <w:ind w:firstLine="680"/>
        <w:jc w:val="both"/>
        <w:rPr>
          <w:snapToGrid w:val="0"/>
          <w:sz w:val="28"/>
        </w:rPr>
      </w:pPr>
      <w:r>
        <w:rPr>
          <w:snapToGrid w:val="0"/>
          <w:sz w:val="28"/>
        </w:rPr>
        <w:t>Для решения проблем в денежном обращении, местные органы власти северокавказского региона сплошь и рядом прибегали к эмиссии бумажных денежных знаков. На Северном Кавказе эмиссионными центрами выступали не только Ростов-на-Дону и Екатеринодар, но и Майкоп, Армавир, Сочи, Владикавказ, Ставрополь, Грозный, ставшие центрами притяжения локальных денежных систем.</w:t>
      </w:r>
    </w:p>
    <w:p w:rsidR="00053F3A" w:rsidRDefault="00FA481A">
      <w:pPr>
        <w:pStyle w:val="3"/>
      </w:pPr>
      <w:r>
        <w:t xml:space="preserve">Наряду с правительственными эмиссиями, на Северном Кавказе обычной практикой стал выпуск местных и частных денежных знаков, проводившийся от имени местных органов власти, банков, акционерных обществ, предприятий, торговых организаций и частных лиц. Местные эмиссии, обусловленные гражданской войной, разъединением территорий и иностранной военной интервенцией проводились на самых разнообразных основаниях, обычно без надлежащей подготовки, без определенного плана, стихийно. </w:t>
      </w:r>
    </w:p>
    <w:p w:rsidR="00053F3A" w:rsidRDefault="00FA481A">
      <w:pPr>
        <w:pStyle w:val="3"/>
      </w:pPr>
      <w:r>
        <w:t>Местное денежное творчество, направленное по линии наименьшего сопротивления, еще более усилило ту денежную путаницу и пестроту, которые явились следствием одновременной циркуляции денежных знаков разных правительств. Проявления местного денежного творчества встречаются в этот период не только в областных центрах, но и в глухих уездных городах и даже станицах.</w:t>
      </w:r>
    </w:p>
    <w:p w:rsidR="00053F3A" w:rsidRDefault="00FA481A">
      <w:pPr>
        <w:pStyle w:val="21"/>
      </w:pPr>
      <w:r>
        <w:t xml:space="preserve">Изучение местных и частных денежных знаков северокавказского региона, выступавших в качестве дополнительных пристроек к локальным денежным системам, позволяет с большей объективностью рассматривать процессы, происходившие в денежном обращении на региональном уровне. Обильные местные и частные эмиссии на Северном Кавказе становятся ярким свидетельством глубины кризиса, поразившего денежное обращение страны. </w:t>
      </w:r>
    </w:p>
    <w:p w:rsidR="00053F3A" w:rsidRDefault="00FA481A">
      <w:pPr>
        <w:pStyle w:val="3"/>
      </w:pPr>
      <w:r>
        <w:t xml:space="preserve">В </w:t>
      </w:r>
      <w:r>
        <w:rPr>
          <w:b/>
        </w:rPr>
        <w:t>заключении</w:t>
      </w:r>
      <w:r>
        <w:t xml:space="preserve"> диссертации кратко излагаются основные выводы диссертационного исследования.</w:t>
      </w:r>
    </w:p>
    <w:p w:rsidR="00053F3A" w:rsidRDefault="00FA481A">
      <w:pPr>
        <w:pStyle w:val="3"/>
      </w:pPr>
      <w:r>
        <w:t>Автором подводятся итоги исследования и сделан вывод, что проведенное в рамках диссертационной работы исследование позволило на материалах Северного Кавказа, с привлечением общих данных по России, проанализировать причины распада единой денежной системы и характер процессов, происходивших в денежном обращении в экстремальных условиях гражданской войны.</w:t>
      </w:r>
    </w:p>
    <w:p w:rsidR="00053F3A" w:rsidRDefault="00FA481A">
      <w:pPr>
        <w:pStyle w:val="a5"/>
        <w:spacing w:before="0"/>
      </w:pPr>
      <w:r>
        <w:t>Проведенное исследование базируется на нетрадиционных исторических источниках, какими являются бумажные денежные знаки. Систематизация и классификация нескольких сот видов денежных знаков северокавказского региона послужило основой для изучения новых, ранее неизвестных эмиссий. Тем самым в научный оборот были введены факты, установить которые обычными способами ранее не удавалось. Самостоятельной линией исследования, хотя и подчиненной общей задаче работы, стало изучение денежных знаков как исторических источников, несущих на себе приметы времени, отразивших остроту классовой и политической борьбы и в известной степени даже черты национальной психологии.</w:t>
      </w:r>
    </w:p>
    <w:p w:rsidR="00053F3A" w:rsidRDefault="00FA481A">
      <w:pPr>
        <w:pStyle w:val="a5"/>
        <w:spacing w:before="0"/>
      </w:pPr>
      <w:r>
        <w:t>Автор пришел к выводу, что характер денежного обращения непосредственным образом связан с устойчивой государственной властью, обуславливающей стабильность финансово-экономической и политической систем. В экстремальных условиях, к которым с полным основанием можно отнести состояние гражданской войны, претерпевают изменения общественные связи, рушится финансово-экономическая система, что наиболее рельефно проявляется в расстройстве денежного обращения. Возникают такие явления, как потеря доверия к национальной валюте, усиление инфляции, выпуск во все увеличивающихся количествах необеспеченных бумажных денежных знаков.</w:t>
      </w:r>
    </w:p>
    <w:p w:rsidR="00053F3A" w:rsidRDefault="00FA481A">
      <w:pPr>
        <w:pStyle w:val="3"/>
      </w:pPr>
      <w:r>
        <w:t>Автор пришел к заключению, что конкретная историческая ситуация периода гражданской войны предопределила тесную органическую взаимосвязь проблем социально-экономического и политического характера. Формирование политических структур власти, наличие разных программ административно-государственного устройства России и Северного Кавказа с наслоением на эти процессы условий первой мировой войны предопределило катастрофические последствия для финансово-экономической системы государства, вызвало ее распад на региональные денежные системы.</w:t>
      </w:r>
    </w:p>
    <w:p w:rsidR="00053F3A" w:rsidRDefault="00FA481A">
      <w:pPr>
        <w:pStyle w:val="3"/>
      </w:pPr>
      <w:r>
        <w:t xml:space="preserve">Денежное обращение Северного Кавказа получает самостоятельное развитие и приобретает своеобразные черты, отличные от денежного обращения остальных частей России, с 1918 г., когда в связи с происходившими на Северном Кавказе перипетиями политической борьбы и иностранной интервенции, хозяйственная жизнь Северного Кавказа и местное денежное обращение на несколько лет отрываются от экономики остальной России. Более того, одновременно существуют две группы антагонистических денежных систем: советских и несоветских. С конца 1918 до середины 1920 гг. денежное обращение на Северном Кавказе базировалось только на несоветских эмиссиях государственных образований юга России, проводивших самостоятельную финансово-экономическую и социальную политику. </w:t>
      </w:r>
    </w:p>
    <w:p w:rsidR="00053F3A" w:rsidRDefault="00FA481A">
      <w:pPr>
        <w:pStyle w:val="a5"/>
        <w:spacing w:before="0"/>
      </w:pPr>
      <w:r>
        <w:t>В диссертационной работе впервые предпринята попытка комплексного рассмотрения циркулирования и взаимодействия денежных знаков разных правительств, приходивших на смену друг другу. В силу двойственного характера денежных знаков, являющихся с одной стороны символом политической власти, а с другой стороны - экономическим инструментом, своеобразие функционирования денег в резко меняющихся исторических условиях проявлялось в том, что деньги сошедших с арены политических сил продолжали сохранять свою экономическую функцию средств обращения, платежа и накопления.</w:t>
      </w:r>
    </w:p>
    <w:p w:rsidR="00053F3A" w:rsidRDefault="00FA481A">
      <w:pPr>
        <w:pStyle w:val="a5"/>
        <w:spacing w:before="0"/>
      </w:pPr>
      <w:r>
        <w:t>Основные положения и выводы диссертации вносят новые характеристики в сложившееся представление о финансово-экономических отношениях, протекавших на территориях охваченных гражданской войной.</w:t>
      </w:r>
    </w:p>
    <w:p w:rsidR="00053F3A" w:rsidRDefault="00053F3A">
      <w:pPr>
        <w:pStyle w:val="3"/>
      </w:pPr>
    </w:p>
    <w:p w:rsidR="00053F3A" w:rsidRDefault="00053F3A">
      <w:pPr>
        <w:pStyle w:val="3"/>
      </w:pPr>
    </w:p>
    <w:p w:rsidR="00053F3A" w:rsidRDefault="00053F3A">
      <w:pPr>
        <w:pStyle w:val="3"/>
      </w:pPr>
    </w:p>
    <w:p w:rsidR="00053F3A" w:rsidRDefault="00053F3A">
      <w:pPr>
        <w:pStyle w:val="3"/>
      </w:pPr>
    </w:p>
    <w:p w:rsidR="00053F3A" w:rsidRDefault="00FA481A">
      <w:pPr>
        <w:widowControl w:val="0"/>
        <w:tabs>
          <w:tab w:val="right" w:leader="dot" w:pos="8222"/>
        </w:tabs>
        <w:spacing w:line="360" w:lineRule="auto"/>
        <w:jc w:val="center"/>
        <w:rPr>
          <w:b/>
          <w:sz w:val="28"/>
        </w:rPr>
      </w:pPr>
      <w:r>
        <w:rPr>
          <w:b/>
          <w:sz w:val="28"/>
        </w:rPr>
        <w:t>Основное содержание диссертации отражено в следующих работах автора:</w:t>
      </w:r>
    </w:p>
    <w:p w:rsidR="00053F3A" w:rsidRDefault="00053F3A">
      <w:pPr>
        <w:widowControl w:val="0"/>
        <w:tabs>
          <w:tab w:val="right" w:leader="dot" w:pos="8222"/>
        </w:tabs>
        <w:spacing w:line="360" w:lineRule="auto"/>
        <w:jc w:val="both"/>
        <w:rPr>
          <w:sz w:val="28"/>
        </w:rPr>
      </w:pPr>
    </w:p>
    <w:p w:rsidR="00053F3A" w:rsidRDefault="00FA481A">
      <w:pPr>
        <w:widowControl w:val="0"/>
        <w:numPr>
          <w:ilvl w:val="0"/>
          <w:numId w:val="1"/>
        </w:numPr>
        <w:tabs>
          <w:tab w:val="right" w:leader="dot" w:pos="8222"/>
        </w:tabs>
        <w:spacing w:line="360" w:lineRule="auto"/>
        <w:jc w:val="both"/>
        <w:rPr>
          <w:sz w:val="28"/>
        </w:rPr>
      </w:pPr>
      <w:r>
        <w:rPr>
          <w:sz w:val="28"/>
        </w:rPr>
        <w:t>Кубанская Республика (советская).// Нумбон. №6. 1994. (0,1 п.л.)</w:t>
      </w:r>
    </w:p>
    <w:p w:rsidR="00053F3A" w:rsidRDefault="00FA481A">
      <w:pPr>
        <w:widowControl w:val="0"/>
        <w:numPr>
          <w:ilvl w:val="0"/>
          <w:numId w:val="1"/>
        </w:numPr>
        <w:tabs>
          <w:tab w:val="right" w:leader="dot" w:pos="8222"/>
        </w:tabs>
        <w:spacing w:line="360" w:lineRule="auto"/>
        <w:jc w:val="both"/>
        <w:rPr>
          <w:sz w:val="28"/>
        </w:rPr>
      </w:pPr>
      <w:r>
        <w:rPr>
          <w:sz w:val="28"/>
        </w:rPr>
        <w:t>Денежные суррогаты на основе Государственных процентных бумаг. // Нумбон. 1994. №7. (0,2 п.л.)</w:t>
      </w:r>
    </w:p>
    <w:p w:rsidR="00053F3A" w:rsidRDefault="00FA481A">
      <w:pPr>
        <w:widowControl w:val="0"/>
        <w:numPr>
          <w:ilvl w:val="0"/>
          <w:numId w:val="1"/>
        </w:numPr>
        <w:tabs>
          <w:tab w:val="right" w:leader="dot" w:pos="8222"/>
        </w:tabs>
        <w:spacing w:line="360" w:lineRule="auto"/>
        <w:jc w:val="both"/>
        <w:rPr>
          <w:sz w:val="28"/>
        </w:rPr>
      </w:pPr>
      <w:r>
        <w:rPr>
          <w:sz w:val="28"/>
        </w:rPr>
        <w:t>Денежное обращение Майкопа в 1918-1920 гг. // Нумбон.1994. №8. 1995. №1. (0,5 п.л.)</w:t>
      </w:r>
    </w:p>
    <w:p w:rsidR="00053F3A" w:rsidRDefault="00FA481A">
      <w:pPr>
        <w:widowControl w:val="0"/>
        <w:numPr>
          <w:ilvl w:val="0"/>
          <w:numId w:val="1"/>
        </w:numPr>
        <w:tabs>
          <w:tab w:val="right" w:leader="dot" w:pos="8222"/>
        </w:tabs>
        <w:spacing w:line="360" w:lineRule="auto"/>
        <w:jc w:val="both"/>
        <w:rPr>
          <w:sz w:val="28"/>
        </w:rPr>
      </w:pPr>
      <w:r>
        <w:rPr>
          <w:sz w:val="28"/>
        </w:rPr>
        <w:t>Денежные знаки г. Владикавказа и Терской Республики. // Нумбон. 1995. №2,3. (0,4 п.л.)</w:t>
      </w:r>
    </w:p>
    <w:p w:rsidR="00053F3A" w:rsidRDefault="00FA481A">
      <w:pPr>
        <w:widowControl w:val="0"/>
        <w:numPr>
          <w:ilvl w:val="0"/>
          <w:numId w:val="1"/>
        </w:numPr>
        <w:tabs>
          <w:tab w:val="right" w:leader="dot" w:pos="8222"/>
        </w:tabs>
        <w:spacing w:line="360" w:lineRule="auto"/>
        <w:jc w:val="both"/>
        <w:rPr>
          <w:sz w:val="28"/>
        </w:rPr>
      </w:pPr>
      <w:r>
        <w:rPr>
          <w:sz w:val="28"/>
        </w:rPr>
        <w:t>Эмиссионная политика и денежные знаки Добровольческой армии // Нумбон. 1995. №4,5. (0,8 п.л.)</w:t>
      </w:r>
    </w:p>
    <w:p w:rsidR="00053F3A" w:rsidRDefault="00FA481A">
      <w:pPr>
        <w:widowControl w:val="0"/>
        <w:numPr>
          <w:ilvl w:val="0"/>
          <w:numId w:val="1"/>
        </w:numPr>
        <w:tabs>
          <w:tab w:val="right" w:leader="dot" w:pos="8222"/>
        </w:tabs>
        <w:spacing w:line="360" w:lineRule="auto"/>
        <w:jc w:val="both"/>
        <w:rPr>
          <w:sz w:val="28"/>
        </w:rPr>
      </w:pPr>
      <w:r>
        <w:rPr>
          <w:sz w:val="28"/>
        </w:rPr>
        <w:t>Заемные билеты Владикавказской железной дороги. // Нумбон. 1995. №8. (0,4 п.л.)</w:t>
      </w:r>
    </w:p>
    <w:p w:rsidR="00053F3A" w:rsidRDefault="00FA481A">
      <w:pPr>
        <w:pStyle w:val="a4"/>
        <w:widowControl w:val="0"/>
        <w:numPr>
          <w:ilvl w:val="0"/>
          <w:numId w:val="1"/>
        </w:numPr>
        <w:tabs>
          <w:tab w:val="right" w:leader="dot" w:pos="8222"/>
        </w:tabs>
      </w:pPr>
      <w:r>
        <w:t>История выпуска бон Сочинской городской управы в 1918 г. // Нумбон. 1995. №9. (0,2 п.л.)</w:t>
      </w:r>
    </w:p>
    <w:p w:rsidR="00053F3A" w:rsidRDefault="00FA481A">
      <w:pPr>
        <w:pStyle w:val="a4"/>
        <w:widowControl w:val="0"/>
        <w:numPr>
          <w:ilvl w:val="0"/>
          <w:numId w:val="1"/>
        </w:numPr>
        <w:tabs>
          <w:tab w:val="right" w:leader="dot" w:pos="8222"/>
        </w:tabs>
      </w:pPr>
      <w:r>
        <w:t>Денежное обращение в Кубанском крае при Кубанском краевом правительстве (сентябрь 1918 – май 1920). // Нумбон. 1995. №10., 1996. №1. (0,5 п.л.)</w:t>
      </w:r>
    </w:p>
    <w:p w:rsidR="00053F3A" w:rsidRDefault="00FA481A">
      <w:pPr>
        <w:widowControl w:val="0"/>
        <w:numPr>
          <w:ilvl w:val="0"/>
          <w:numId w:val="1"/>
        </w:numPr>
        <w:tabs>
          <w:tab w:val="right" w:leader="dot" w:pos="8222"/>
        </w:tabs>
        <w:spacing w:line="360" w:lineRule="auto"/>
        <w:jc w:val="both"/>
        <w:rPr>
          <w:sz w:val="28"/>
        </w:rPr>
      </w:pPr>
      <w:r>
        <w:rPr>
          <w:sz w:val="28"/>
        </w:rPr>
        <w:t>Денежное обращение на Кубани при Кубанском краевом правительстве. // Нумбон. 1996. №2, 3, 4. (0,5 п.л.)</w:t>
      </w:r>
    </w:p>
    <w:p w:rsidR="00053F3A" w:rsidRDefault="00FA481A">
      <w:pPr>
        <w:widowControl w:val="0"/>
        <w:numPr>
          <w:ilvl w:val="0"/>
          <w:numId w:val="1"/>
        </w:numPr>
        <w:tabs>
          <w:tab w:val="right" w:leader="dot" w:pos="8222"/>
        </w:tabs>
        <w:spacing w:line="360" w:lineRule="auto"/>
        <w:jc w:val="both"/>
        <w:rPr>
          <w:sz w:val="28"/>
        </w:rPr>
      </w:pPr>
      <w:r>
        <w:rPr>
          <w:sz w:val="28"/>
        </w:rPr>
        <w:t>Денежное обращение на Кубани при Кубанском краевом правительстве // Миниатюра, "Бонистика". 1996. Июль. Вып.4, "Бонистика". 1997. Сентябрь. Вып.5. (1 п.л.)</w:t>
      </w:r>
    </w:p>
    <w:p w:rsidR="00053F3A" w:rsidRDefault="00FA481A">
      <w:pPr>
        <w:widowControl w:val="0"/>
        <w:numPr>
          <w:ilvl w:val="0"/>
          <w:numId w:val="1"/>
        </w:numPr>
        <w:tabs>
          <w:tab w:val="right" w:leader="dot" w:pos="8222"/>
        </w:tabs>
        <w:spacing w:line="360" w:lineRule="auto"/>
        <w:jc w:val="both"/>
        <w:rPr>
          <w:sz w:val="28"/>
        </w:rPr>
      </w:pPr>
      <w:r>
        <w:rPr>
          <w:sz w:val="28"/>
        </w:rPr>
        <w:t>История выпуска бон в городе Сочи. // Всемирный коллекционер. 1997.№2. (0,2 п.л.)</w:t>
      </w:r>
    </w:p>
    <w:p w:rsidR="00053F3A" w:rsidRDefault="00FA481A">
      <w:pPr>
        <w:widowControl w:val="0"/>
        <w:numPr>
          <w:ilvl w:val="0"/>
          <w:numId w:val="1"/>
        </w:numPr>
        <w:tabs>
          <w:tab w:val="right" w:leader="dot" w:pos="8222"/>
        </w:tabs>
        <w:spacing w:line="360" w:lineRule="auto"/>
        <w:jc w:val="both"/>
        <w:rPr>
          <w:sz w:val="28"/>
        </w:rPr>
      </w:pPr>
      <w:r>
        <w:rPr>
          <w:sz w:val="28"/>
        </w:rPr>
        <w:t>Из истории работы Екатеринодарской Экспедиции заготовления правительственных бумаг. // Таганский бонист. 1997. Июнь. Вып. 22(44). (0,2 п.л.)</w:t>
      </w:r>
    </w:p>
    <w:p w:rsidR="00053F3A" w:rsidRDefault="00FA481A">
      <w:pPr>
        <w:widowControl w:val="0"/>
        <w:numPr>
          <w:ilvl w:val="0"/>
          <w:numId w:val="1"/>
        </w:numPr>
        <w:tabs>
          <w:tab w:val="right" w:leader="dot" w:pos="8222"/>
        </w:tabs>
        <w:spacing w:line="360" w:lineRule="auto"/>
        <w:jc w:val="both"/>
        <w:rPr>
          <w:sz w:val="28"/>
        </w:rPr>
      </w:pPr>
      <w:r>
        <w:rPr>
          <w:sz w:val="28"/>
        </w:rPr>
        <w:t>История выпуска бон Кубанской Советской республики // Таганский бонист. 1997. Июль. Вып. 26(48). (0,2 п.л.)</w:t>
      </w:r>
    </w:p>
    <w:p w:rsidR="00053F3A" w:rsidRDefault="00FA481A">
      <w:pPr>
        <w:widowControl w:val="0"/>
        <w:numPr>
          <w:ilvl w:val="0"/>
          <w:numId w:val="1"/>
        </w:numPr>
        <w:tabs>
          <w:tab w:val="right" w:leader="dot" w:pos="8222"/>
        </w:tabs>
        <w:spacing w:line="360" w:lineRule="auto"/>
        <w:jc w:val="both"/>
        <w:rPr>
          <w:sz w:val="28"/>
        </w:rPr>
      </w:pPr>
      <w:r>
        <w:rPr>
          <w:sz w:val="28"/>
        </w:rPr>
        <w:t>Денежные знаки Северо-Кавказской Советской Социалистической республики // Таганский бонист. 1997. Август. Вып. 29(51). (0,2 п.л.)</w:t>
      </w:r>
    </w:p>
    <w:p w:rsidR="00053F3A" w:rsidRDefault="00FA481A">
      <w:pPr>
        <w:widowControl w:val="0"/>
        <w:numPr>
          <w:ilvl w:val="0"/>
          <w:numId w:val="1"/>
        </w:numPr>
        <w:tabs>
          <w:tab w:val="right" w:leader="dot" w:pos="8222"/>
        </w:tabs>
        <w:spacing w:line="360" w:lineRule="auto"/>
        <w:jc w:val="both"/>
        <w:rPr>
          <w:sz w:val="28"/>
        </w:rPr>
      </w:pPr>
      <w:r>
        <w:rPr>
          <w:sz w:val="28"/>
        </w:rPr>
        <w:t>Эмиссионная политика Добровольческой Армии // Нумизматический альманах. 1998. №3,4. (0,8 п.л.)</w:t>
      </w: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053F3A">
      <w:pPr>
        <w:widowControl w:val="0"/>
        <w:spacing w:line="360" w:lineRule="auto"/>
        <w:rPr>
          <w:sz w:val="28"/>
        </w:rPr>
      </w:pPr>
    </w:p>
    <w:p w:rsidR="00053F3A" w:rsidRDefault="00FA481A">
      <w:pPr>
        <w:widowControl w:val="0"/>
        <w:spacing w:line="360" w:lineRule="auto"/>
        <w:rPr>
          <w:sz w:val="28"/>
        </w:rPr>
      </w:pPr>
      <w:r>
        <w:rPr>
          <w:sz w:val="28"/>
        </w:rPr>
        <w:t>______________________________________________________________</w:t>
      </w:r>
    </w:p>
    <w:p w:rsidR="00053F3A" w:rsidRDefault="00053F3A">
      <w:pPr>
        <w:widowControl w:val="0"/>
        <w:spacing w:line="360" w:lineRule="auto"/>
        <w:rPr>
          <w:sz w:val="28"/>
        </w:rPr>
      </w:pPr>
    </w:p>
    <w:p w:rsidR="00053F3A" w:rsidRDefault="00FA481A">
      <w:pPr>
        <w:widowControl w:val="0"/>
        <w:spacing w:line="360" w:lineRule="auto"/>
        <w:rPr>
          <w:sz w:val="28"/>
        </w:rPr>
      </w:pPr>
      <w:r>
        <w:rPr>
          <w:sz w:val="28"/>
        </w:rPr>
        <w:t>Подписано в печать _________________ 1998 г. Зак. №</w:t>
      </w:r>
    </w:p>
    <w:p w:rsidR="00053F3A" w:rsidRDefault="00FA481A">
      <w:pPr>
        <w:widowControl w:val="0"/>
        <w:spacing w:line="360" w:lineRule="auto"/>
        <w:rPr>
          <w:sz w:val="28"/>
        </w:rPr>
      </w:pPr>
      <w:r>
        <w:rPr>
          <w:sz w:val="28"/>
        </w:rPr>
        <w:t>Тираж 100. Печать офсетная.</w:t>
      </w:r>
    </w:p>
    <w:p w:rsidR="00053F3A" w:rsidRDefault="00FA481A">
      <w:pPr>
        <w:widowControl w:val="0"/>
        <w:spacing w:line="360" w:lineRule="auto"/>
        <w:jc w:val="center"/>
        <w:rPr>
          <w:sz w:val="28"/>
        </w:rPr>
      </w:pPr>
      <w:r>
        <w:rPr>
          <w:sz w:val="28"/>
        </w:rPr>
        <w:t>ЛР №020064 от 21.02.97 г.</w:t>
      </w:r>
    </w:p>
    <w:p w:rsidR="00053F3A" w:rsidRDefault="00FA481A">
      <w:pPr>
        <w:widowControl w:val="0"/>
        <w:spacing w:line="360" w:lineRule="auto"/>
        <w:jc w:val="center"/>
        <w:rPr>
          <w:sz w:val="28"/>
        </w:rPr>
      </w:pPr>
      <w:r>
        <w:rPr>
          <w:sz w:val="28"/>
        </w:rPr>
        <w:t>(Выходные данные типографии)</w:t>
      </w:r>
      <w:bookmarkStart w:id="67" w:name="_GoBack"/>
      <w:bookmarkEnd w:id="67"/>
    </w:p>
    <w:sectPr w:rsidR="00053F3A">
      <w:headerReference w:type="even" r:id="rId7"/>
      <w:headerReference w:type="default" r:id="rId8"/>
      <w:footnotePr>
        <w:numRestart w:val="eachPage"/>
      </w:footnotePr>
      <w:pgSz w:w="11906" w:h="16838"/>
      <w:pgMar w:top="1418"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3F3A" w:rsidRDefault="00FA481A">
      <w:r>
        <w:separator/>
      </w:r>
    </w:p>
  </w:endnote>
  <w:endnote w:type="continuationSeparator" w:id="0">
    <w:p w:rsidR="00053F3A" w:rsidRDefault="00FA4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3F3A" w:rsidRDefault="00FA481A">
      <w:r>
        <w:separator/>
      </w:r>
    </w:p>
  </w:footnote>
  <w:footnote w:type="continuationSeparator" w:id="0">
    <w:p w:rsidR="00053F3A" w:rsidRDefault="00FA48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3F3A" w:rsidRDefault="00FA481A">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w:t>
    </w:r>
    <w:r>
      <w:rPr>
        <w:rStyle w:val="aa"/>
      </w:rPr>
      <w:fldChar w:fldCharType="end"/>
    </w:r>
  </w:p>
  <w:p w:rsidR="00053F3A" w:rsidRDefault="00053F3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3F3A" w:rsidRDefault="00FA481A">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7</w:t>
    </w:r>
    <w:r>
      <w:rPr>
        <w:rStyle w:val="aa"/>
      </w:rPr>
      <w:fldChar w:fldCharType="end"/>
    </w:r>
  </w:p>
  <w:p w:rsidR="00053F3A" w:rsidRDefault="00053F3A">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4E405F02"/>
    <w:lvl w:ilvl="0">
      <w:start w:val="1"/>
      <w:numFmt w:val="bullet"/>
      <w:pStyle w:val="2"/>
      <w:lvlText w:val=""/>
      <w:lvlJc w:val="left"/>
      <w:pPr>
        <w:tabs>
          <w:tab w:val="num" w:pos="643"/>
        </w:tabs>
        <w:ind w:left="643" w:hanging="360"/>
      </w:pPr>
      <w:rPr>
        <w:rFonts w:ascii="Symbol" w:hAnsi="Symbol" w:hint="default"/>
      </w:rPr>
    </w:lvl>
  </w:abstractNum>
  <w:abstractNum w:abstractNumId="1">
    <w:nsid w:val="0DF10E59"/>
    <w:multiLevelType w:val="singleLevel"/>
    <w:tmpl w:val="0419000F"/>
    <w:lvl w:ilvl="0">
      <w:start w:val="1"/>
      <w:numFmt w:val="decimal"/>
      <w:lvlText w:val="%1."/>
      <w:lvlJc w:val="left"/>
      <w:pPr>
        <w:tabs>
          <w:tab w:val="num" w:pos="360"/>
        </w:tabs>
        <w:ind w:left="360" w:hanging="360"/>
      </w:pPr>
    </w:lvl>
  </w:abstractNum>
  <w:abstractNum w:abstractNumId="2">
    <w:nsid w:val="0EF209FD"/>
    <w:multiLevelType w:val="singleLevel"/>
    <w:tmpl w:val="0419000F"/>
    <w:lvl w:ilvl="0">
      <w:start w:val="1"/>
      <w:numFmt w:val="decimal"/>
      <w:lvlText w:val="%1."/>
      <w:lvlJc w:val="left"/>
      <w:pPr>
        <w:tabs>
          <w:tab w:val="num" w:pos="360"/>
        </w:tabs>
        <w:ind w:left="360" w:hanging="360"/>
      </w:pPr>
    </w:lvl>
  </w:abstractNum>
  <w:abstractNum w:abstractNumId="3">
    <w:nsid w:val="62355827"/>
    <w:multiLevelType w:val="singleLevel"/>
    <w:tmpl w:val="0419000F"/>
    <w:lvl w:ilvl="0">
      <w:start w:val="1"/>
      <w:numFmt w:val="decimal"/>
      <w:lvlText w:val="%1."/>
      <w:lvlJc w:val="left"/>
      <w:pPr>
        <w:tabs>
          <w:tab w:val="num" w:pos="360"/>
        </w:tabs>
        <w:ind w:left="360" w:hanging="360"/>
      </w:pPr>
    </w:lvl>
  </w:abstractNum>
  <w:abstractNum w:abstractNumId="4">
    <w:nsid w:val="70BA66CE"/>
    <w:multiLevelType w:val="singleLevel"/>
    <w:tmpl w:val="0419000F"/>
    <w:lvl w:ilvl="0">
      <w:start w:val="1"/>
      <w:numFmt w:val="decimal"/>
      <w:lvlText w:val="%1."/>
      <w:lvlJc w:val="left"/>
      <w:pPr>
        <w:tabs>
          <w:tab w:val="num" w:pos="360"/>
        </w:tabs>
        <w:ind w:left="360" w:hanging="360"/>
      </w:pPr>
    </w:lvl>
  </w:abstractNum>
  <w:abstractNum w:abstractNumId="5">
    <w:nsid w:val="7BDE3EB6"/>
    <w:multiLevelType w:val="singleLevel"/>
    <w:tmpl w:val="0F18642E"/>
    <w:lvl w:ilvl="0">
      <w:start w:val="1"/>
      <w:numFmt w:val="decimal"/>
      <w:lvlText w:val="%1. "/>
      <w:legacy w:legacy="1" w:legacySpace="0" w:legacyIndent="283"/>
      <w:lvlJc w:val="left"/>
      <w:pPr>
        <w:ind w:left="283" w:hanging="283"/>
      </w:pPr>
      <w:rPr>
        <w:rFonts w:ascii="Times New Roman" w:hAnsi="Times New Roman" w:hint="default"/>
        <w:b/>
        <w:i w:val="0"/>
        <w:sz w:val="24"/>
        <w:u w:val="none"/>
      </w:rPr>
    </w:lvl>
  </w:abstractNum>
  <w:num w:numId="1">
    <w:abstractNumId w:val="4"/>
  </w:num>
  <w:num w:numId="2">
    <w:abstractNumId w:val="1"/>
  </w:num>
  <w:num w:numId="3">
    <w:abstractNumId w:val="5"/>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481A"/>
    <w:rsid w:val="00053F3A"/>
    <w:rsid w:val="00CB51D3"/>
    <w:rsid w:val="00FA4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C42745-2D10-422F-92A6-C3375FBF0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center"/>
      <w:outlineLvl w:val="0"/>
    </w:pPr>
    <w:rPr>
      <w:b/>
      <w:sz w:val="28"/>
    </w:rPr>
  </w:style>
  <w:style w:type="paragraph" w:styleId="20">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rPr>
      <w:rFonts w:ascii="MS Sans Serif" w:hAnsi="MS Sans Serif"/>
      <w:snapToGrid w:val="0"/>
      <w:lang w:val="en-US"/>
    </w:rPr>
  </w:style>
  <w:style w:type="paragraph" w:styleId="21">
    <w:name w:val="Body Text Indent 2"/>
    <w:basedOn w:val="a"/>
    <w:semiHidden/>
    <w:pPr>
      <w:widowControl w:val="0"/>
      <w:spacing w:line="360" w:lineRule="auto"/>
      <w:ind w:firstLine="680"/>
      <w:jc w:val="both"/>
    </w:pPr>
    <w:rPr>
      <w:snapToGrid w:val="0"/>
      <w:sz w:val="28"/>
    </w:rPr>
  </w:style>
  <w:style w:type="paragraph" w:styleId="3">
    <w:name w:val="Body Text Indent 3"/>
    <w:basedOn w:val="a"/>
    <w:semiHidden/>
    <w:pPr>
      <w:widowControl w:val="0"/>
      <w:spacing w:line="360" w:lineRule="auto"/>
      <w:ind w:firstLine="720"/>
      <w:jc w:val="both"/>
    </w:pPr>
    <w:rPr>
      <w:sz w:val="28"/>
    </w:rPr>
  </w:style>
  <w:style w:type="character" w:styleId="a3">
    <w:name w:val="footnote reference"/>
    <w:basedOn w:val="a0"/>
    <w:semiHidden/>
    <w:rPr>
      <w:vertAlign w:val="superscript"/>
    </w:rPr>
  </w:style>
  <w:style w:type="paragraph" w:styleId="a4">
    <w:name w:val="Body Text"/>
    <w:basedOn w:val="a"/>
    <w:semiHidden/>
    <w:pPr>
      <w:spacing w:line="360" w:lineRule="auto"/>
      <w:jc w:val="both"/>
    </w:pPr>
    <w:rPr>
      <w:sz w:val="28"/>
    </w:rPr>
  </w:style>
  <w:style w:type="paragraph" w:styleId="a5">
    <w:name w:val="Body Text Indent"/>
    <w:basedOn w:val="a"/>
    <w:semiHidden/>
    <w:pPr>
      <w:widowControl w:val="0"/>
      <w:spacing w:before="240" w:line="360" w:lineRule="auto"/>
      <w:ind w:firstLine="709"/>
      <w:jc w:val="both"/>
    </w:pPr>
    <w:rPr>
      <w:snapToGrid w:val="0"/>
      <w:sz w:val="28"/>
    </w:rPr>
  </w:style>
  <w:style w:type="paragraph" w:styleId="a6">
    <w:name w:val="footnote text"/>
    <w:basedOn w:val="a"/>
    <w:semiHidden/>
  </w:style>
  <w:style w:type="paragraph" w:styleId="a7">
    <w:name w:val="Title"/>
    <w:basedOn w:val="a"/>
    <w:qFormat/>
    <w:pPr>
      <w:spacing w:line="360" w:lineRule="auto"/>
      <w:ind w:right="-58"/>
      <w:jc w:val="center"/>
    </w:pPr>
    <w:rPr>
      <w:b/>
      <w:sz w:val="28"/>
    </w:rPr>
  </w:style>
  <w:style w:type="paragraph" w:styleId="a8">
    <w:name w:val="List"/>
    <w:basedOn w:val="a"/>
    <w:semiHidden/>
    <w:pPr>
      <w:ind w:left="283" w:hanging="283"/>
    </w:pPr>
  </w:style>
  <w:style w:type="paragraph" w:styleId="2">
    <w:name w:val="List Bullet 2"/>
    <w:basedOn w:val="a"/>
    <w:autoRedefine/>
    <w:semiHidden/>
    <w:pPr>
      <w:numPr>
        <w:numId w:val="6"/>
      </w:numPr>
    </w:pPr>
  </w:style>
  <w:style w:type="paragraph" w:styleId="a9">
    <w:name w:val="header"/>
    <w:basedOn w:val="a"/>
    <w:semiHidden/>
    <w:pPr>
      <w:tabs>
        <w:tab w:val="center" w:pos="4153"/>
        <w:tab w:val="right" w:pos="8306"/>
      </w:tabs>
    </w:pPr>
  </w:style>
  <w:style w:type="character" w:styleId="aa">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5757</Words>
  <Characters>32821</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Данная источниковая база является необходимой и достаточной для исследования поставленных проблем</vt:lpstr>
    </vt:vector>
  </TitlesOfParts>
  <Company> </Company>
  <LinksUpToDate>false</LinksUpToDate>
  <CharactersWithSpaces>38501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Данная источниковая база является необходимой и достаточной для исследования поставленных проблем</dc:title>
  <dc:subject/>
  <dc:creator>Баранов</dc:creator>
  <cp:keywords/>
  <cp:lastModifiedBy>Irina</cp:lastModifiedBy>
  <cp:revision>2</cp:revision>
  <cp:lastPrinted>1998-11-12T16:03:00Z</cp:lastPrinted>
  <dcterms:created xsi:type="dcterms:W3CDTF">2014-09-22T08:31:00Z</dcterms:created>
  <dcterms:modified xsi:type="dcterms:W3CDTF">2014-09-22T08:31:00Z</dcterms:modified>
</cp:coreProperties>
</file>