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0B" w:rsidRPr="007E055E" w:rsidRDefault="002A260B" w:rsidP="00AD607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30"/>
        </w:rPr>
      </w:pPr>
      <w:r w:rsidRPr="007E055E">
        <w:rPr>
          <w:b/>
          <w:color w:val="auto"/>
          <w:sz w:val="28"/>
          <w:szCs w:val="30"/>
        </w:rPr>
        <w:t>Введение</w:t>
      </w:r>
    </w:p>
    <w:p w:rsidR="008D262E" w:rsidRPr="00AD607F" w:rsidRDefault="008D262E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052F1A" w:rsidRPr="00AD607F" w:rsidRDefault="00052F1A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Характеризуя масштаб проблемы, необходимо обратить внимание на различие в понятиях «беспризорные» и «безнадзорные» дети. Беспризорные дети - это те, кто не имеет определенного места жительства и (или) места пребывания. </w:t>
      </w:r>
    </w:p>
    <w:p w:rsidR="00052F1A" w:rsidRPr="00AD607F" w:rsidRDefault="00052F1A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Такие дети составляют не более 1/10 от числа безнадзорных, к которым, мы относим всех, за поведением которых отсутствует контроль вследствие неисполнения или не надлежащего исполнения обязанностей по воспитанию, обучению, содержанию со стороны родителей или законных представителей либо должностных лиц. Количество безнадзорных детей, с</w:t>
      </w:r>
      <w:r w:rsidR="00921188" w:rsidRPr="00AD607F">
        <w:rPr>
          <w:color w:val="auto"/>
          <w:sz w:val="28"/>
          <w:szCs w:val="30"/>
        </w:rPr>
        <w:t>оставляет около 1 млн. человек.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bCs/>
          <w:color w:val="auto"/>
          <w:sz w:val="28"/>
          <w:szCs w:val="30"/>
        </w:rPr>
        <w:t>Девиантные отклонения воспитанников детских домов: мифы и реальность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Объект исследования – реальный возраст первых девиантных проявлений воспитанников детского дома и меры, принимаемые сотрудниками детского дома по предотвращению возможных девиаций. Цель – развенчание основных заблуждений общества относительно воспитанников детских домов, определить основные способы и виды мер по профилактике девиантных отклонений, а также их специфику. Рост девиаций в девяностые годы в среде воспитанников детских домов, как наиболее уязвимой и незащищенной ячейки общества, вызвал к жизни миф о девиантной распущенности воспитанников детских домов. </w:t>
      </w:r>
    </w:p>
    <w:p w:rsidR="00052F1A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Проведенное мной исследование в форме анкеты методом целевой бесповторной выборки, развернутого интервью с воспитанниками детских домов и воспитателями. Демонстрирует, что в большинстве случаев представления общества о воспитанниках детских домов являются ошибочными.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Наиболее ярко мы можем это проследить на примерах представления общества о проявлениях наркомании и суицидальных явлений в сре</w:t>
      </w:r>
      <w:r w:rsidR="00921188" w:rsidRPr="00AD607F">
        <w:rPr>
          <w:color w:val="auto"/>
          <w:sz w:val="28"/>
          <w:szCs w:val="30"/>
        </w:rPr>
        <w:t>де воспитанников детских домов.</w:t>
      </w:r>
    </w:p>
    <w:p w:rsidR="00521850" w:rsidRPr="00867453" w:rsidRDefault="00867453" w:rsidP="00AD607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30"/>
        </w:rPr>
      </w:pPr>
      <w:r>
        <w:rPr>
          <w:color w:val="auto"/>
          <w:sz w:val="28"/>
          <w:szCs w:val="30"/>
        </w:rPr>
        <w:br w:type="page"/>
      </w:r>
      <w:r w:rsidR="00521850" w:rsidRPr="00867453">
        <w:rPr>
          <w:b/>
          <w:color w:val="auto"/>
          <w:sz w:val="28"/>
          <w:szCs w:val="30"/>
        </w:rPr>
        <w:t>Проблемы беспризорности и бе</w:t>
      </w:r>
      <w:r w:rsidR="00921188" w:rsidRPr="00867453">
        <w:rPr>
          <w:b/>
          <w:color w:val="auto"/>
          <w:sz w:val="28"/>
          <w:szCs w:val="30"/>
        </w:rPr>
        <w:t>знадзорности несовершеннолетних</w:t>
      </w:r>
    </w:p>
    <w:p w:rsidR="00921188" w:rsidRPr="00AD607F" w:rsidRDefault="0092118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Дети до 7 лет практически не уходят из дому. В 8-9 лет это случается обычно из-за педагогической некомпетентности родителей, а также при стремлении некоторых детей к повышенной коммуникативности. Чаще всего побеги из дома совершают подростки в 10-13 лет. К числу причин может относиться отсутствие должной заботы о них родителей, наказание по пустякам.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Основными побудителями к бегству являются: принадлежность к социально неблагополучной семье; стыд за родителей (например, алкоголиков, недостойно себя ведущих с окружающими людьми и т.д.); безразличие родителей к трудностям их детей в школе.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Побеги подростков из дому могут совершаться под влиянием товарищей. В подобных случаях следует не только пресекать бродяжнический образ жизни подростка, но и сделать для него привлекательным пребывание в семье, ученическом коллективе общественной организации.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Подростки могут покинуть родной очаг и из-за излишнего контроля и авторитарного стиля поведения родителей. К этому добавляется тяга к путешествиям. Подчас побег из дому совершают дети с повышенной активностью поведения. Это связано с тем, что их большая живость и неугомонность вызывают негативные реакции со стороны взрослых и часто ведут к конфликту. Кроме того, бродяжничество открывает полный простор для проявления их активности и инициативы.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Дольше всего в побеге остаются не успевающие по ряду учебных предметов подростки. Стеснительные, замкнутые школьники решаются на уход из дому обычно под влиянием более старших и опытных товарищей.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В последние годы в России появилось заметное количество подростков-бомжей. Часто они похищаются членами преступных организаций и используются для рабского труда в сельскохозяйственном производстве, в стихийных рынках, вовлекаются в детскую проституцию и наркоманию, что увеличивает</w:t>
      </w:r>
      <w:r w:rsidR="00643517" w:rsidRPr="00AD607F">
        <w:rPr>
          <w:color w:val="auto"/>
          <w:sz w:val="28"/>
          <w:szCs w:val="30"/>
        </w:rPr>
        <w:t xml:space="preserve"> вероятность распространения </w:t>
      </w:r>
      <w:r w:rsidR="00052F1A" w:rsidRPr="00AD607F">
        <w:rPr>
          <w:color w:val="auto"/>
          <w:sz w:val="28"/>
          <w:szCs w:val="30"/>
        </w:rPr>
        <w:t>СПИДа. Другая опасность -</w:t>
      </w:r>
      <w:r w:rsidRPr="00AD607F">
        <w:rPr>
          <w:color w:val="auto"/>
          <w:sz w:val="28"/>
          <w:szCs w:val="30"/>
        </w:rPr>
        <w:t xml:space="preserve"> хулиганство, мелкие кражи, разбой и вымогательство, вызванные необходимостью иметь кусок хлеба.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Для решения обозначенной проблемы представляется целесообразным сделать следующее: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1. Совершенствовать государственную политику в отношении семьи, так как именно работа с семьей, поддержка ее на всех уровнях - государственном, местном является главным условием профилактики социального сиротства. Необходимо развивать систему комплексной помощи молодым семьям (кредитование, информационная, консультативная и прочие.).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2. Скоординировать действия всех заинтересованных российских ведомств по борьбе с причинами детской беспризорности, в частности Министерству образования организовать социальный патронат «семей риска». Бороться следует с причинами появления этой категории детей.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3. СМИ организовать регулярное освещение данной проблемы в периодических изданиях, на телевидении и радио, формируя соответствующее общественное мнение.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4. Привлечь к обсуждению проблемы гражданских активистов, общественные организации, деятелей культуры и религии.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5. Разработать новый механизм родительской ответственности за ненадлежащее выполнение родительских обязанностей, возможно введение уголовной ответственности в виде обязательных работ.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6. Проанализировать и обобщить положительный опыт регионов по профилактике детской беспризорности и безнадзорности и направить соответствующие рекомендации в регионы с неблагополучной ситуацией.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7. Улучшить систему досуга несовершеннолетних, увеличить количество оздоровительных учреждений для детей.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8. Организовать трудовые и военно-патриотические лагеря для неблагополучных подростков, развивать систему детских общественных организаций типа скаутского движения и ДИМСИ (детские и молодежные социальные инициативы).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9. Развивать сеть реабилитационных учреждений для несовершеннолетних. </w:t>
      </w:r>
    </w:p>
    <w:p w:rsidR="00521850" w:rsidRPr="00AD607F" w:rsidRDefault="00521850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10. Искать и апробировать новые формы работы в плане профилактики безнадзорности, преступности, алкоголизма, наркомании и СПИДа среди несовершеннолетних. </w:t>
      </w:r>
    </w:p>
    <w:p w:rsidR="00521850" w:rsidRPr="00AD607F" w:rsidRDefault="00521850" w:rsidP="00AD607F">
      <w:pPr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>11. Совершенствовать законодательную базу по данной проблеме во избежание отставания ее от реалий жизни.</w:t>
      </w:r>
    </w:p>
    <w:p w:rsidR="00521850" w:rsidRPr="00AD607F" w:rsidRDefault="00521850" w:rsidP="00AD607F">
      <w:pPr>
        <w:spacing w:line="360" w:lineRule="auto"/>
        <w:ind w:firstLine="709"/>
        <w:jc w:val="both"/>
        <w:rPr>
          <w:sz w:val="28"/>
          <w:szCs w:val="30"/>
        </w:rPr>
      </w:pPr>
    </w:p>
    <w:p w:rsidR="003C2878" w:rsidRPr="000936E9" w:rsidRDefault="003C2878" w:rsidP="00AD607F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30"/>
        </w:rPr>
      </w:pPr>
      <w:r w:rsidRPr="000936E9">
        <w:rPr>
          <w:b/>
          <w:bCs/>
          <w:color w:val="auto"/>
          <w:sz w:val="28"/>
          <w:szCs w:val="30"/>
        </w:rPr>
        <w:t>К вопросу о цветодиагностике в социально</w:t>
      </w:r>
      <w:r w:rsidR="00921188" w:rsidRPr="000936E9">
        <w:rPr>
          <w:b/>
          <w:bCs/>
          <w:color w:val="auto"/>
          <w:sz w:val="28"/>
          <w:szCs w:val="30"/>
        </w:rPr>
        <w:t>й работе с безнадзорными детьми</w:t>
      </w:r>
    </w:p>
    <w:p w:rsidR="00921188" w:rsidRPr="00AD607F" w:rsidRDefault="0092118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0936E9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Сегодня технологии арт-терапии прочно входят в систему социальной и социально-педагогической работы с несовершеннолетними группы социального риска, находящихся на учете в специализированных учреждениях: социальных приютах, социально-реабилитационных центрах, школах-интернатах и др. Спектр направлений реализации данной технологии весьма широк. По результатам проводимого нами исследования, в работе с безнадзорными детьми и несовершеннолетними, находящимися в социально-опасном положении и трудной жизненной ситуации, наиболее эффективна, информационно значима цветодиагностика. Это обусловлено рядом факторов: </w:t>
      </w:r>
    </w:p>
    <w:p w:rsidR="000936E9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особым социальным статусом детей данной категории; </w:t>
      </w:r>
    </w:p>
    <w:p w:rsidR="000936E9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характерологическими особенностями развития личности безнадзорного ребенка; </w:t>
      </w:r>
    </w:p>
    <w:p w:rsidR="003C2878" w:rsidRPr="00AD607F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специфическими проблемами, связанными с общением и взаимодействием уличного ребенка со сверстниками</w:t>
      </w:r>
      <w:r w:rsidR="000936E9">
        <w:rPr>
          <w:color w:val="auto"/>
          <w:sz w:val="28"/>
          <w:szCs w:val="30"/>
        </w:rPr>
        <w:t>, родителями, взрослыми людьми.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Наиболее успешно показала себя проективная методика "Цветовое зеркало" - мощный инструмент познания личности. Она позволяет составить целостное представление о характере человека, его интересах и движущих мотивах поведения, о его установках по отношению к миру, к окружающим его людям и, в ряде случаев, определить его психологический тип.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Экспресс-тест "Цветовое зеркало" разработан для диагностики текущего состояния человека, его личностных качеств и особенностей эмоционально-мотивационной сферы; для оценки текущего состояния ребенка и прогноза его психического развития; для определения психологического типа личности (по Юнгу), прогноза сильных и слабых сторон личности конкретного человека. </w:t>
      </w:r>
    </w:p>
    <w:p w:rsidR="000936E9" w:rsidRDefault="003C2878" w:rsidP="000936E9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30"/>
        </w:rPr>
      </w:pPr>
      <w:r w:rsidRPr="00AD607F">
        <w:rPr>
          <w:iCs/>
          <w:color w:val="auto"/>
          <w:sz w:val="28"/>
          <w:szCs w:val="30"/>
        </w:rPr>
        <w:t xml:space="preserve">Теоретической основой теста "Цветовое зеркало" послужили идеи: </w:t>
      </w:r>
    </w:p>
    <w:p w:rsidR="000936E9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И.</w:t>
      </w:r>
      <w:r w:rsidR="00921188" w:rsidRPr="00AD607F">
        <w:rPr>
          <w:color w:val="auto"/>
          <w:sz w:val="28"/>
          <w:szCs w:val="30"/>
        </w:rPr>
        <w:t xml:space="preserve"> </w:t>
      </w:r>
      <w:r w:rsidRPr="00AD607F">
        <w:rPr>
          <w:color w:val="auto"/>
          <w:sz w:val="28"/>
          <w:szCs w:val="30"/>
        </w:rPr>
        <w:t xml:space="preserve">Гете о психологической сущности цвета и его модель цветового круга в форме шестиконечной звезды; </w:t>
      </w:r>
    </w:p>
    <w:p w:rsidR="000936E9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В.М.</w:t>
      </w:r>
      <w:r w:rsidR="00921188" w:rsidRPr="00AD607F">
        <w:rPr>
          <w:color w:val="auto"/>
          <w:sz w:val="28"/>
          <w:szCs w:val="30"/>
        </w:rPr>
        <w:t xml:space="preserve"> </w:t>
      </w:r>
      <w:r w:rsidRPr="00AD607F">
        <w:rPr>
          <w:color w:val="auto"/>
          <w:sz w:val="28"/>
          <w:szCs w:val="30"/>
        </w:rPr>
        <w:t xml:space="preserve">Вундта о ранжировании цветовых стимулов в экспериментальной психологии; </w:t>
      </w:r>
    </w:p>
    <w:p w:rsidR="000936E9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В.</w:t>
      </w:r>
      <w:r w:rsidR="00921188" w:rsidRPr="00AD607F">
        <w:rPr>
          <w:color w:val="auto"/>
          <w:sz w:val="28"/>
          <w:szCs w:val="30"/>
        </w:rPr>
        <w:t xml:space="preserve"> </w:t>
      </w:r>
      <w:r w:rsidRPr="00AD607F">
        <w:rPr>
          <w:color w:val="auto"/>
          <w:sz w:val="28"/>
          <w:szCs w:val="30"/>
        </w:rPr>
        <w:t xml:space="preserve">Кандинского о цветовой символике, о глубоком влиянии на личность воспринимаемых цветов, их оттенков и сочетаний; </w:t>
      </w:r>
    </w:p>
    <w:p w:rsidR="003C2878" w:rsidRPr="00AD607F" w:rsidRDefault="003C2878" w:rsidP="000936E9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К.Г.</w:t>
      </w:r>
      <w:r w:rsidR="00921188" w:rsidRPr="00AD607F">
        <w:rPr>
          <w:color w:val="auto"/>
          <w:sz w:val="28"/>
          <w:szCs w:val="30"/>
        </w:rPr>
        <w:t xml:space="preserve"> </w:t>
      </w:r>
      <w:r w:rsidRPr="00AD607F">
        <w:rPr>
          <w:color w:val="auto"/>
          <w:sz w:val="28"/>
          <w:szCs w:val="30"/>
        </w:rPr>
        <w:t xml:space="preserve">Юнга, разработавшего отличную от всех других, неклиническую типологию личности.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iCs/>
          <w:color w:val="auto"/>
          <w:sz w:val="28"/>
          <w:szCs w:val="30"/>
        </w:rPr>
        <w:t xml:space="preserve">Области применения теста «Цветовое зеркало»: </w:t>
      </w:r>
    </w:p>
    <w:p w:rsidR="003C2878" w:rsidRPr="00AD607F" w:rsidRDefault="003C2878" w:rsidP="00AD607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экспресс-оценка психического здоровья детей и взрослых, </w:t>
      </w:r>
    </w:p>
    <w:p w:rsidR="003C2878" w:rsidRPr="00AD607F" w:rsidRDefault="003C2878" w:rsidP="00AD607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психологическое консультирование, </w:t>
      </w:r>
    </w:p>
    <w:p w:rsidR="003C2878" w:rsidRPr="00AD607F" w:rsidRDefault="003C2878" w:rsidP="00AD607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профессиональная ориентация школьников и взрослых, </w:t>
      </w:r>
    </w:p>
    <w:p w:rsidR="003C2878" w:rsidRPr="00AD607F" w:rsidRDefault="003C2878" w:rsidP="00AD607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профессиональный отбор и профподбор, </w:t>
      </w:r>
    </w:p>
    <w:p w:rsidR="003C2878" w:rsidRPr="00AD607F" w:rsidRDefault="003C2878" w:rsidP="00AD607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формирование кадрового резерва, </w:t>
      </w:r>
    </w:p>
    <w:p w:rsidR="003C2878" w:rsidRPr="00AD607F" w:rsidRDefault="003C2878" w:rsidP="00AD607F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диагностика межличностных отношений в малых группах, трудовых коллективах и др.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«Цветовое зеркало» представляет собой простую и быструю в применении версию полного клинического теста. Методика дает возможность получить специалисту ориентировки несовершеннолетних в самих себе и в характере своих близких. «Цветовое зеркало» позволяет учитывать индивидуальные личностные особенности ребенка в работе с ним, а также динамику их проявлений при проведении коррекционной, социально-педагогической и психосоциальной работы.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В целях изучения структуры и направленности жизненных планов безнадзорных детей, мы использовали данную методику как проф</w:t>
      </w:r>
      <w:r w:rsidR="000936E9">
        <w:rPr>
          <w:color w:val="auto"/>
          <w:sz w:val="28"/>
          <w:szCs w:val="30"/>
        </w:rPr>
        <w:t>илактически-</w:t>
      </w:r>
      <w:r w:rsidRPr="00AD607F">
        <w:rPr>
          <w:color w:val="auto"/>
          <w:sz w:val="28"/>
          <w:szCs w:val="30"/>
        </w:rPr>
        <w:t xml:space="preserve">диагностический экспресс-тест. Он проводился нами в ряде областных и городских социально-реабилитационных центрах </w:t>
      </w:r>
      <w:r w:rsidR="00233118" w:rsidRPr="00AD607F">
        <w:rPr>
          <w:color w:val="auto"/>
          <w:sz w:val="28"/>
          <w:szCs w:val="30"/>
        </w:rPr>
        <w:t>для несовершеннолетних г. Орла.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Возраст исследуемых от 4 до 16 лет. Продол</w:t>
      </w:r>
      <w:r w:rsidR="002A260B" w:rsidRPr="00AD607F">
        <w:rPr>
          <w:color w:val="auto"/>
          <w:sz w:val="28"/>
          <w:szCs w:val="30"/>
        </w:rPr>
        <w:t>жительность выполнения теста 10</w:t>
      </w:r>
      <w:r w:rsidR="00233118" w:rsidRPr="00AD607F">
        <w:rPr>
          <w:color w:val="auto"/>
          <w:sz w:val="28"/>
          <w:szCs w:val="30"/>
        </w:rPr>
        <w:t>-15 минут.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В тест</w:t>
      </w:r>
      <w:r w:rsidR="00233118" w:rsidRPr="00AD607F">
        <w:rPr>
          <w:color w:val="auto"/>
          <w:sz w:val="28"/>
          <w:szCs w:val="30"/>
        </w:rPr>
        <w:t>ировании участвовал 51 ребенок.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I. Возраст от 4 - 7 лет мальчиков было 25,5%, девочек – 17,7 %; от 8 – 11 лет мальчиков – 13,7 %, девочек – 13,7 %; от 14 – 16 лет маль</w:t>
      </w:r>
      <w:r w:rsidR="00233118" w:rsidRPr="00AD607F">
        <w:rPr>
          <w:color w:val="auto"/>
          <w:sz w:val="28"/>
          <w:szCs w:val="30"/>
        </w:rPr>
        <w:t>чиков – 17,7%, девочек – 11,8%.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II. Из полных семей мальчиков было 15,7%, девочек – 15,7 %; из неполных семей (есть или мать, или отец) мальчиков – 41,2%, дево</w:t>
      </w:r>
      <w:r w:rsidR="00233118" w:rsidRPr="00AD607F">
        <w:rPr>
          <w:color w:val="auto"/>
          <w:sz w:val="28"/>
          <w:szCs w:val="30"/>
        </w:rPr>
        <w:t>чек – 27,5 %.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III. В городе проживает 23,5% мальчиков и 21,6% девочек, а в сельской местности – 3</w:t>
      </w:r>
      <w:r w:rsidR="00233118" w:rsidRPr="00AD607F">
        <w:rPr>
          <w:color w:val="auto"/>
          <w:sz w:val="28"/>
          <w:szCs w:val="30"/>
        </w:rPr>
        <w:t>3,3% мальчиков и 21,6% девочек.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IV. Существуют различные причины поступления несовершеннол</w:t>
      </w:r>
      <w:r w:rsidR="00233118" w:rsidRPr="00AD607F">
        <w:rPr>
          <w:color w:val="auto"/>
          <w:sz w:val="28"/>
          <w:szCs w:val="30"/>
        </w:rPr>
        <w:t>етних в реабилитационный центр:</w:t>
      </w:r>
    </w:p>
    <w:p w:rsidR="003C2878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трудная жизненная ситуация наблюдается у 25,5% девочек и 29,4% мальчиков; </w:t>
      </w:r>
    </w:p>
    <w:p w:rsidR="003C2878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оставшихся без попечения мальчиков наблюдается 15,7%; </w:t>
      </w:r>
    </w:p>
    <w:p w:rsidR="003C2878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социально опасное положение в семье у мальчиков 11,8 % и 17,7% у девочек. </w:t>
      </w:r>
    </w:p>
    <w:p w:rsidR="003C2878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Социальный статус родителей: </w:t>
      </w:r>
    </w:p>
    <w:p w:rsidR="003C2878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родители работают у 13,7% мальчиков и 17,6% девочек, </w:t>
      </w:r>
    </w:p>
    <w:p w:rsidR="003C2878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не работают у 15,7% мальчиков и 25,5% девочек, </w:t>
      </w:r>
    </w:p>
    <w:p w:rsidR="003C2878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родители, ограниченны в родительских правах у мальчиков 9,8%, </w:t>
      </w:r>
    </w:p>
    <w:p w:rsidR="00AD607F" w:rsidRPr="00AD607F" w:rsidRDefault="003C2878" w:rsidP="00AD607F">
      <w:pPr>
        <w:pStyle w:val="Default"/>
        <w:numPr>
          <w:ilvl w:val="1"/>
          <w:numId w:val="24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родители находятся в местах лиш</w:t>
      </w:r>
      <w:r w:rsidR="00AD607F" w:rsidRPr="00AD607F">
        <w:rPr>
          <w:color w:val="auto"/>
          <w:sz w:val="28"/>
          <w:szCs w:val="30"/>
        </w:rPr>
        <w:t>ения свободы у 17,6% мальчиков.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Интерес к тесту у каждого ребёнка был разнообразный. У 23,5 % девочек и 29,4 % мальчиков этот тест вызвал желание поиграть, у 13,7 % девочек и 19,6 % мальчиков отсутствовало внимание к тесту. Это говорит о том, что у большинства детей проявлялся интерес к тесту. Для проведения теста необходимо: 23 цветных квадрата, чёрное поле с белым крестом и белое поле с чёрным крестом. Тест проводился с каждым несовершеннолетним индивидуально.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Чтобы понять не только то, что лежит на поверхности, а поставить глубокий диагноз, надо использовать большее количество цветов.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Полученные данные показали, что у большинства несовершеннолетних подростков на первый план выходят склонности работать руками, интерес ко всему живому, речь идёт о способности к практической деятельности. Эти дети очень нервные, почти не могут сосредоточиться на чём – либо. Может быть у них есть виртуозная одарённость, но её надо развивать углублять.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Результаты показывают, что есть дети, у кого налицо активные информационные интересы, они деятельны, умеют формировать свои мысли, впоследствии могли бы стать журналистом или писателем.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Наблюдаются склонности приспосабливаться к обстоятельствам, деловой направленности мышления.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Тесты Фрилинга в аспекте профдиагностики дают полное представление о будущих направлениях в жизни безнадзорных и несовершеннолетних группы социального риска. Проведя это исследование, стало ясно, что с этими детьми надо работать, развивать их логическое мышление и интеллект. </w:t>
      </w:r>
    </w:p>
    <w:p w:rsidR="003C2878" w:rsidRPr="00AD607F" w:rsidRDefault="003C2878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521850" w:rsidRPr="003C6AA7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  <w:r w:rsidRPr="003C6AA7">
        <w:rPr>
          <w:b/>
          <w:bCs/>
          <w:sz w:val="28"/>
          <w:szCs w:val="30"/>
        </w:rPr>
        <w:t>Интегративные показатели жизненног</w:t>
      </w:r>
      <w:r w:rsidR="003C6AA7" w:rsidRPr="003C6AA7">
        <w:rPr>
          <w:b/>
          <w:bCs/>
          <w:sz w:val="28"/>
          <w:szCs w:val="30"/>
        </w:rPr>
        <w:t>о плана безнадзорных подростков</w:t>
      </w:r>
    </w:p>
    <w:p w:rsidR="003C6AA7" w:rsidRPr="00AD607F" w:rsidRDefault="003C6AA7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>Жизненный план является внешним коррелятом сложнейшего процесса овладения безнадзорным подростком своим внутренним миром, оформления его мировоззрения. Это определенная система приспособления к окружающей действительности, впервые осознаваемая ребенком в подростковом возрасте. Так как именно в этот период происходит «осязание» собственной индивидуальности, открытие «Я», установка на сознательное построение своей жизни, постоянное врастание в различные сферы общественной жизни. Параллельно с этим происходят психологические процессы самооценивания,</w:t>
      </w:r>
      <w:r w:rsidR="007E055E">
        <w:rPr>
          <w:sz w:val="28"/>
          <w:szCs w:val="30"/>
        </w:rPr>
        <w:t xml:space="preserve"> формирования самоотношения.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Категория «жизненный план» безнадзорных несовершеннолетних в рамках проводимого нами исследования рассматривается как совокупность трёх основных составляющих: 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 xml:space="preserve">Психолого-социальная. </w:t>
      </w:r>
      <w:r w:rsidRPr="00AD607F">
        <w:rPr>
          <w:sz w:val="28"/>
          <w:szCs w:val="30"/>
        </w:rPr>
        <w:t>По отношению к безнадзорным несовершеннолетним профессиональное самоопределение выступает как активный долговременный процесс формирования личностью своего отношения к профессионально-трудовой сфере и способ его самореализации через согласование внутриличностных и социально- профессиональных потребностей с помощью самоанализа, самопознания и самоориентирования собственных способностей и ценностных ориентаций. В роли внутриличностных детерминирующих факторов профессионального самоопределения выступают: приоритетные интересы безнадзорного подростка в сфере профессионального становления, личностная направленность, темперамент, уровень эмпатии, тип акцентуации личности, стремление к риску в достижении</w:t>
      </w:r>
      <w:r w:rsidR="007E055E">
        <w:rPr>
          <w:sz w:val="28"/>
          <w:szCs w:val="30"/>
        </w:rPr>
        <w:t xml:space="preserve"> целей, потребность аффилиации.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По результатам нашего исследования, в большинстве (89,7%) подростка имеют иждивенческие интересы («пусть другие работают, только не я..»). При этом фактически отсутствует образ социально приемлемого трудового пути кого-нибудь из близких (родителей, родственников и т.д.) 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>Социальная. С</w:t>
      </w:r>
      <w:r w:rsidRPr="00AD607F">
        <w:rPr>
          <w:sz w:val="28"/>
          <w:szCs w:val="30"/>
        </w:rPr>
        <w:t xml:space="preserve">оциально-мотивационная направленность личности обездоленного подростка - динамический процесс формирования мотивов, которые обуславливают выбор жизненного пути, а также определяют возникновение, направление и способы осуществления конкретных форм профессиональной и иных видов деятельности в непосредственной зависимости от возрастных, социально- личностных характеристик безнадзорных несовершеннолетних. 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Детерминирующее влияние на формирование социальной направленности безнадзорных несовершеннолетних подростков оказывает ведущий «мотивационный комплекс личности». 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В процессе формирования социально направленных мотивов «внутренний фильтр» играет ведущую роль. Чем более зрелым в социальном плане является подросток, чем меньшее время он пробыл в уличной среде, с её «безвременным пространством», тем больше его устремлений направлено в будущее, тем больше у него формируется социально позитивных мотивационных установок, связанных с намечаемой жизненной перспективой. 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По своему виду мотивы выбора жизненной перспективы можно разделить на три группы: </w:t>
      </w:r>
    </w:p>
    <w:p w:rsidR="00521850" w:rsidRPr="00AD607F" w:rsidRDefault="00521850" w:rsidP="00AD607F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общая мотивировка; </w:t>
      </w:r>
    </w:p>
    <w:p w:rsidR="00521850" w:rsidRPr="00AD607F" w:rsidRDefault="00521850" w:rsidP="00AD607F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ссылка на пример; </w:t>
      </w:r>
    </w:p>
    <w:p w:rsidR="00521850" w:rsidRPr="00AD607F" w:rsidRDefault="00521850" w:rsidP="00AD607F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немотивированный выбор. </w:t>
      </w:r>
    </w:p>
    <w:p w:rsidR="00521850" w:rsidRPr="00AD607F" w:rsidRDefault="00521850" w:rsidP="003C6AA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AD607F">
        <w:rPr>
          <w:sz w:val="28"/>
          <w:szCs w:val="30"/>
        </w:rPr>
        <w:t>Подавляющее большинство безнадзорных несовершеннолетних подростков осуществляют немотивированный выбор, что обусловлено неспособностью (ввиду различных психосоциальных обстоятельств) к планированию будущей жизни. В других же случаях, когда безнадзорные несовершеннолетние осуществляют, так или иначе, мотивированный выбор, более 50% из них делают это, ориентируясь на перспективу удовлетворения своих потребностей и получения материальной выгоды. Здесь прослеживается потребительское отношение к социальному окружен</w:t>
      </w:r>
      <w:r w:rsidR="003C6AA7">
        <w:rPr>
          <w:sz w:val="28"/>
          <w:szCs w:val="30"/>
        </w:rPr>
        <w:t>ию, государству, жизни в целом.</w:t>
      </w:r>
    </w:p>
    <w:p w:rsidR="00521850" w:rsidRPr="00AD607F" w:rsidRDefault="00521850" w:rsidP="003C6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>Индивидуально</w:t>
      </w:r>
      <w:r w:rsidR="00C57251">
        <w:rPr>
          <w:iCs/>
          <w:sz w:val="28"/>
          <w:szCs w:val="30"/>
        </w:rPr>
        <w:t>–</w:t>
      </w:r>
      <w:r w:rsidRPr="00AD607F">
        <w:rPr>
          <w:iCs/>
          <w:sz w:val="28"/>
          <w:szCs w:val="30"/>
        </w:rPr>
        <w:t>психологическая</w:t>
      </w:r>
      <w:r w:rsidRPr="00AD607F">
        <w:rPr>
          <w:sz w:val="28"/>
          <w:szCs w:val="30"/>
        </w:rPr>
        <w:t>. Ведущим показателем данной составляющей жизненного плана является самооценка как показатель сформированности представлений безнадзорных подростков о себе, их психологической готовности к определению социально - позитивного жиз</w:t>
      </w:r>
      <w:r w:rsidR="003C6AA7">
        <w:rPr>
          <w:sz w:val="28"/>
          <w:szCs w:val="30"/>
        </w:rPr>
        <w:t>ненного плана и его реализации.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На основании этого мы выделяем два основных приоритетных процесса, непосредственно зависящих от самооценки: </w:t>
      </w:r>
    </w:p>
    <w:p w:rsidR="00521850" w:rsidRPr="00AD607F" w:rsidRDefault="00521850" w:rsidP="00AD607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 xml:space="preserve">самовоспитание; </w:t>
      </w:r>
    </w:p>
    <w:p w:rsidR="00521850" w:rsidRPr="00AD607F" w:rsidRDefault="00521850" w:rsidP="00AD607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>прогнозирование своей жизненной позиции</w:t>
      </w:r>
      <w:r w:rsidRPr="00AD607F">
        <w:rPr>
          <w:sz w:val="28"/>
          <w:szCs w:val="30"/>
        </w:rPr>
        <w:t xml:space="preserve">. 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>В процессе исследования нами выделены характеристики трёх уровней адекватности самооценки обе</w:t>
      </w:r>
      <w:r w:rsidR="003C6AA7">
        <w:rPr>
          <w:iCs/>
          <w:sz w:val="28"/>
          <w:szCs w:val="30"/>
        </w:rPr>
        <w:t>здоленного несовершеннолетнего: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 xml:space="preserve">Высокий уровень присущ тем безнадзорным несовершеннолетним, чья самооценка интересов, способностей, личных качеств полностью совпадает с оценкой родителей (или лиц их заменяющих), школьных учителей, воспитателей социально-реабилитационных центров и интернатов, специалистов по социальной работе и отчасти ближайшего социального окружения. Это подтверждается деятельностью с достигнутыми успехами подростка в различных видах занятий и организацией своего свободного времени. Высокая самооценка может быть и у криминально настроенного ребенка, когда одобряемый криминальными авторитетами, он подтверждает свою самооценку «результативностью и успехами», которые в кратчайшее время приводят его в </w:t>
      </w:r>
      <w:r w:rsidR="003C6AA7">
        <w:rPr>
          <w:iCs/>
          <w:sz w:val="28"/>
          <w:szCs w:val="30"/>
        </w:rPr>
        <w:t>колонии для несовершеннолетних.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>Средний уровень наблюдается в том случае, когда подростки частично переоценивают или недооценивают свои возможности по сравнению с оценкой взрослых. Жизненная стратегия определяется на основе познавательного интереса к различным видам деятельнос</w:t>
      </w:r>
      <w:r w:rsidR="003C6AA7">
        <w:rPr>
          <w:iCs/>
          <w:sz w:val="28"/>
          <w:szCs w:val="30"/>
        </w:rPr>
        <w:t>ти без учета своей пригодности.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>Низкий уровень имеет место тогда, когда заметна резкая переоценка или недооценка своих интересов, способностей, личных качеств по сравнению с оценкой учителей, воспитателей, спе</w:t>
      </w:r>
      <w:r w:rsidR="003C6AA7">
        <w:rPr>
          <w:iCs/>
          <w:sz w:val="28"/>
          <w:szCs w:val="30"/>
        </w:rPr>
        <w:t>циалистов по социальной работе.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iCs/>
          <w:sz w:val="28"/>
          <w:szCs w:val="30"/>
        </w:rPr>
        <w:t>Как показало наше исследование, подавляющее большинство безнадзорных несовершеннолетних имеет заниженную самооценку, которая по нашим предположениям может являться изначально заложенной психофизической особенностью ребенка, так и следствием прохождения процесса социализации в крайне неблагоприятной социально-педагогическо</w:t>
      </w:r>
      <w:r w:rsidR="003C6AA7">
        <w:rPr>
          <w:iCs/>
          <w:sz w:val="28"/>
          <w:szCs w:val="30"/>
        </w:rPr>
        <w:t>й и психосоциальной обстановке.</w:t>
      </w:r>
    </w:p>
    <w:p w:rsidR="00521850" w:rsidRPr="00AD607F" w:rsidRDefault="00521850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AD607F">
        <w:rPr>
          <w:sz w:val="28"/>
          <w:szCs w:val="30"/>
        </w:rPr>
        <w:t>Таким образом, категория «жизненный план» выступает для нас как совокупность внутриличностных и психосоциальных особенностей несовершеннолетних, определяющих и характеризующих процесс жизненного самоопределения и социальной зрелости безнадзорного ребенка, и, находящихся в прямой зависимости от социально-педагогических условий протекания процесса его со</w:t>
      </w:r>
      <w:r w:rsidR="003C6AA7">
        <w:rPr>
          <w:sz w:val="28"/>
          <w:szCs w:val="30"/>
        </w:rPr>
        <w:t>циализации и жизнедеятельности.</w:t>
      </w:r>
    </w:p>
    <w:p w:rsidR="00052F1A" w:rsidRDefault="003C6AA7" w:rsidP="00AD607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30"/>
        </w:rPr>
      </w:pPr>
      <w:r>
        <w:rPr>
          <w:b/>
          <w:color w:val="auto"/>
          <w:sz w:val="28"/>
          <w:szCs w:val="30"/>
        </w:rPr>
        <w:br w:type="page"/>
      </w:r>
      <w:r w:rsidR="00052F1A" w:rsidRPr="003C6AA7">
        <w:rPr>
          <w:b/>
          <w:color w:val="auto"/>
          <w:sz w:val="28"/>
          <w:szCs w:val="30"/>
        </w:rPr>
        <w:t>Заключение</w:t>
      </w:r>
    </w:p>
    <w:p w:rsidR="003C6AA7" w:rsidRPr="003C6AA7" w:rsidRDefault="003C6AA7" w:rsidP="00AD607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30"/>
        </w:rPr>
      </w:pPr>
    </w:p>
    <w:p w:rsidR="00052F1A" w:rsidRPr="00AD607F" w:rsidRDefault="00052F1A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 xml:space="preserve">Российская Федерация переживает сложный переходный этап своего социально-экономического развития. В социальной сфере это проявляется ростом таких негативных явлений, как преступность, наркомания, алкоголизм. </w:t>
      </w:r>
    </w:p>
    <w:p w:rsidR="00052F1A" w:rsidRPr="00AD607F" w:rsidRDefault="00052F1A" w:rsidP="00AD607F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При этом последние десятилетие идет тенденция на усиление девиантной активности молодежи и лиц переходного юношеского возраста, существенная часть которых это воспитанники детских домов, домов-интернатов и домов-инвалидов. Незащищенность детей – сирот перед вовлечением их в девиантное поведение усугубляется негативным отношением со стороны других членов общества, поро</w:t>
      </w:r>
      <w:r w:rsidR="003C6AA7">
        <w:rPr>
          <w:color w:val="auto"/>
          <w:sz w:val="28"/>
          <w:szCs w:val="30"/>
        </w:rPr>
        <w:t>жденным мифами различного рода.</w:t>
      </w:r>
    </w:p>
    <w:p w:rsidR="003C2878" w:rsidRDefault="003C6AA7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br w:type="page"/>
      </w:r>
      <w:r w:rsidR="00052F1A" w:rsidRPr="003C6AA7">
        <w:rPr>
          <w:b/>
          <w:bCs/>
          <w:sz w:val="28"/>
          <w:szCs w:val="30"/>
        </w:rPr>
        <w:t>Список литературы</w:t>
      </w:r>
    </w:p>
    <w:p w:rsidR="003C6AA7" w:rsidRPr="003C6AA7" w:rsidRDefault="003C6AA7" w:rsidP="00AD60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C2878" w:rsidRPr="00AD607F" w:rsidRDefault="003C2878" w:rsidP="003C6AA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AD607F">
        <w:rPr>
          <w:sz w:val="28"/>
          <w:szCs w:val="30"/>
        </w:rPr>
        <w:t>Новое начало. Международный комитет по обслуживанию А</w:t>
      </w:r>
      <w:r w:rsidR="00052F1A" w:rsidRPr="00AD607F">
        <w:rPr>
          <w:sz w:val="28"/>
          <w:szCs w:val="30"/>
        </w:rPr>
        <w:t>И. / Лос-Анджелес, Калифорния, 2008.</w:t>
      </w:r>
    </w:p>
    <w:p w:rsidR="003C2878" w:rsidRPr="00AD607F" w:rsidRDefault="003C2878" w:rsidP="003C6AA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AD607F">
        <w:rPr>
          <w:sz w:val="28"/>
          <w:szCs w:val="30"/>
        </w:rPr>
        <w:t>Сельчонок К.В. Психология зависимости/ сост</w:t>
      </w:r>
      <w:r w:rsidR="00052F1A" w:rsidRPr="00AD607F">
        <w:rPr>
          <w:sz w:val="28"/>
          <w:szCs w:val="30"/>
        </w:rPr>
        <w:t>. К.В. Сельчонок. Харвест, 2007.</w:t>
      </w:r>
    </w:p>
    <w:p w:rsidR="003C2878" w:rsidRPr="00AD607F" w:rsidRDefault="003C2878" w:rsidP="003C6AA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AD607F">
        <w:rPr>
          <w:sz w:val="28"/>
          <w:szCs w:val="30"/>
        </w:rPr>
        <w:t xml:space="preserve">Клишина Е.А. Профсоюз «Рулетка». //Свободный курс, 2007, №9. </w:t>
      </w:r>
    </w:p>
    <w:p w:rsidR="003C2878" w:rsidRPr="00AD607F" w:rsidRDefault="00052F1A" w:rsidP="003C6AA7">
      <w:pPr>
        <w:pStyle w:val="Default"/>
        <w:numPr>
          <w:ilvl w:val="0"/>
          <w:numId w:val="23"/>
        </w:numPr>
        <w:spacing w:line="360" w:lineRule="auto"/>
        <w:ind w:left="0" w:firstLine="0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Кондрашенко В.Т. (2008</w:t>
      </w:r>
      <w:r w:rsidR="003C2878" w:rsidRPr="00AD607F">
        <w:rPr>
          <w:color w:val="auto"/>
          <w:sz w:val="28"/>
          <w:szCs w:val="30"/>
        </w:rPr>
        <w:t>) Девиантное поведение у подростков: Диагностика. П</w:t>
      </w:r>
      <w:r w:rsidR="002A260B" w:rsidRPr="00AD607F">
        <w:rPr>
          <w:color w:val="auto"/>
          <w:sz w:val="28"/>
          <w:szCs w:val="30"/>
        </w:rPr>
        <w:t xml:space="preserve">рофилактика. Коррекция.: </w:t>
      </w:r>
      <w:r w:rsidR="003C2878" w:rsidRPr="00AD607F">
        <w:rPr>
          <w:color w:val="auto"/>
          <w:sz w:val="28"/>
          <w:szCs w:val="30"/>
        </w:rPr>
        <w:t xml:space="preserve">Учебное пособие./ В.Т. Кондрашенко, С.А. Игумнов. – Мн.: Аверсов </w:t>
      </w:r>
    </w:p>
    <w:p w:rsidR="003C2878" w:rsidRPr="00AD607F" w:rsidRDefault="00052F1A" w:rsidP="003C6AA7">
      <w:pPr>
        <w:pStyle w:val="Default"/>
        <w:numPr>
          <w:ilvl w:val="0"/>
          <w:numId w:val="23"/>
        </w:numPr>
        <w:spacing w:line="360" w:lineRule="auto"/>
        <w:ind w:left="0" w:firstLine="0"/>
        <w:jc w:val="both"/>
        <w:rPr>
          <w:color w:val="auto"/>
          <w:sz w:val="28"/>
          <w:szCs w:val="30"/>
        </w:rPr>
      </w:pPr>
      <w:r w:rsidRPr="00AD607F">
        <w:rPr>
          <w:color w:val="auto"/>
          <w:sz w:val="28"/>
          <w:szCs w:val="30"/>
        </w:rPr>
        <w:t>Нелидова А.А. (2005</w:t>
      </w:r>
      <w:r w:rsidR="003C2878" w:rsidRPr="00AD607F">
        <w:rPr>
          <w:color w:val="auto"/>
          <w:sz w:val="28"/>
          <w:szCs w:val="30"/>
        </w:rPr>
        <w:t xml:space="preserve">) Психологическое обеспечение социальной адаптации воспитанников детского дома. / А.А. Нелидова, Т.Т. Щелина //Психосоциальный вестник. №2. </w:t>
      </w:r>
    </w:p>
    <w:p w:rsidR="003C2878" w:rsidRPr="003C6AA7" w:rsidRDefault="00052F1A" w:rsidP="003C6AA7">
      <w:pPr>
        <w:pStyle w:val="Default"/>
        <w:numPr>
          <w:ilvl w:val="0"/>
          <w:numId w:val="23"/>
        </w:numPr>
        <w:spacing w:line="360" w:lineRule="auto"/>
        <w:ind w:left="0" w:firstLine="0"/>
        <w:jc w:val="both"/>
        <w:rPr>
          <w:color w:val="auto"/>
          <w:sz w:val="28"/>
          <w:szCs w:val="30"/>
        </w:rPr>
      </w:pPr>
      <w:r w:rsidRPr="003C6AA7">
        <w:rPr>
          <w:color w:val="auto"/>
          <w:sz w:val="28"/>
          <w:szCs w:val="30"/>
        </w:rPr>
        <w:t>Прихонсан А.М. (2007</w:t>
      </w:r>
      <w:r w:rsidR="003C2878" w:rsidRPr="003C6AA7">
        <w:rPr>
          <w:color w:val="auto"/>
          <w:sz w:val="28"/>
          <w:szCs w:val="30"/>
        </w:rPr>
        <w:t>) Психология сиротства./ А</w:t>
      </w:r>
      <w:r w:rsidRPr="003C6AA7">
        <w:rPr>
          <w:color w:val="auto"/>
          <w:sz w:val="28"/>
          <w:szCs w:val="30"/>
        </w:rPr>
        <w:t>.М. Прихонсан, Н.Н. Толстых. – 4</w:t>
      </w:r>
      <w:r w:rsidR="003C2878" w:rsidRPr="003C6AA7">
        <w:rPr>
          <w:color w:val="auto"/>
          <w:sz w:val="28"/>
          <w:szCs w:val="30"/>
        </w:rPr>
        <w:t>-е изд., - СПб.: Питер</w:t>
      </w:r>
      <w:bookmarkStart w:id="0" w:name="_GoBack"/>
      <w:bookmarkEnd w:id="0"/>
    </w:p>
    <w:sectPr w:rsidR="003C2878" w:rsidRPr="003C6AA7" w:rsidSect="00AD607F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1C" w:rsidRDefault="00E4571C">
      <w:r>
        <w:separator/>
      </w:r>
    </w:p>
  </w:endnote>
  <w:endnote w:type="continuationSeparator" w:id="0">
    <w:p w:rsidR="00E4571C" w:rsidRDefault="00E4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1C" w:rsidRDefault="00E4571C">
      <w:r>
        <w:separator/>
      </w:r>
    </w:p>
  </w:footnote>
  <w:footnote w:type="continuationSeparator" w:id="0">
    <w:p w:rsidR="00E4571C" w:rsidRDefault="00E4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51" w:rsidRDefault="00C57251" w:rsidP="00CC3F48">
    <w:pPr>
      <w:pStyle w:val="af"/>
      <w:framePr w:wrap="around" w:vAnchor="text" w:hAnchor="margin" w:xAlign="right" w:y="1"/>
      <w:rPr>
        <w:rStyle w:val="af1"/>
      </w:rPr>
    </w:pPr>
  </w:p>
  <w:p w:rsidR="00C57251" w:rsidRDefault="00C57251" w:rsidP="002A260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43A050"/>
    <w:multiLevelType w:val="hybridMultilevel"/>
    <w:tmpl w:val="7BDC22B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FC9C8CF"/>
    <w:multiLevelType w:val="hybridMultilevel"/>
    <w:tmpl w:val="E022871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D31EAE6"/>
    <w:multiLevelType w:val="hybridMultilevel"/>
    <w:tmpl w:val="C1B813F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E0F5B5B"/>
    <w:multiLevelType w:val="hybridMultilevel"/>
    <w:tmpl w:val="54408551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E1949317"/>
    <w:multiLevelType w:val="hybridMultilevel"/>
    <w:tmpl w:val="7CE331A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E5B75728"/>
    <w:multiLevelType w:val="hybridMultilevel"/>
    <w:tmpl w:val="AF9AEA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4D6C7D3"/>
    <w:multiLevelType w:val="hybridMultilevel"/>
    <w:tmpl w:val="1787805F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FE24F8D2"/>
    <w:multiLevelType w:val="hybridMultilevel"/>
    <w:tmpl w:val="58382A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FE7FA86B"/>
    <w:multiLevelType w:val="hybridMultilevel"/>
    <w:tmpl w:val="8E9300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7729B23"/>
    <w:multiLevelType w:val="hybridMultilevel"/>
    <w:tmpl w:val="0F1E096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95B77E"/>
    <w:multiLevelType w:val="hybridMultilevel"/>
    <w:tmpl w:val="0B68259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1EDD31B"/>
    <w:multiLevelType w:val="hybridMultilevel"/>
    <w:tmpl w:val="6089BE6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BE51CC9"/>
    <w:multiLevelType w:val="hybridMultilevel"/>
    <w:tmpl w:val="0EB0D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F15B5"/>
    <w:multiLevelType w:val="hybridMultilevel"/>
    <w:tmpl w:val="0846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A5004A"/>
    <w:multiLevelType w:val="hybridMultilevel"/>
    <w:tmpl w:val="6CA6CD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DCA3A4E"/>
    <w:multiLevelType w:val="hybridMultilevel"/>
    <w:tmpl w:val="F63CF47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F9658F1"/>
    <w:multiLevelType w:val="hybridMultilevel"/>
    <w:tmpl w:val="0D6C6C7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40F3B0AD"/>
    <w:multiLevelType w:val="hybridMultilevel"/>
    <w:tmpl w:val="F3D5F5D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42A3E82E"/>
    <w:multiLevelType w:val="hybridMultilevel"/>
    <w:tmpl w:val="6BA2E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9AE4229"/>
    <w:multiLevelType w:val="hybridMultilevel"/>
    <w:tmpl w:val="EBB9F782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52B3FE6A"/>
    <w:multiLevelType w:val="hybridMultilevel"/>
    <w:tmpl w:val="6AE05CD7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665B0C4D"/>
    <w:multiLevelType w:val="hybridMultilevel"/>
    <w:tmpl w:val="11CACD2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6C871F7D"/>
    <w:multiLevelType w:val="hybridMultilevel"/>
    <w:tmpl w:val="E5462C8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6CB41541"/>
    <w:multiLevelType w:val="hybridMultilevel"/>
    <w:tmpl w:val="057E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945E71"/>
    <w:multiLevelType w:val="hybridMultilevel"/>
    <w:tmpl w:val="9CD66294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4"/>
  </w:num>
  <w:num w:numId="5">
    <w:abstractNumId w:val="5"/>
  </w:num>
  <w:num w:numId="6">
    <w:abstractNumId w:val="22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10"/>
  </w:num>
  <w:num w:numId="12">
    <w:abstractNumId w:val="14"/>
  </w:num>
  <w:num w:numId="13">
    <w:abstractNumId w:val="20"/>
  </w:num>
  <w:num w:numId="14">
    <w:abstractNumId w:val="19"/>
  </w:num>
  <w:num w:numId="15">
    <w:abstractNumId w:val="8"/>
  </w:num>
  <w:num w:numId="16">
    <w:abstractNumId w:val="17"/>
  </w:num>
  <w:num w:numId="17">
    <w:abstractNumId w:val="11"/>
  </w:num>
  <w:num w:numId="18">
    <w:abstractNumId w:val="3"/>
  </w:num>
  <w:num w:numId="19">
    <w:abstractNumId w:val="6"/>
  </w:num>
  <w:num w:numId="20">
    <w:abstractNumId w:val="13"/>
  </w:num>
  <w:num w:numId="21">
    <w:abstractNumId w:val="24"/>
  </w:num>
  <w:num w:numId="22">
    <w:abstractNumId w:val="12"/>
  </w:num>
  <w:num w:numId="23">
    <w:abstractNumId w:val="23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50"/>
    <w:rsid w:val="00052F1A"/>
    <w:rsid w:val="000936E9"/>
    <w:rsid w:val="0022235D"/>
    <w:rsid w:val="00224BC1"/>
    <w:rsid w:val="00233118"/>
    <w:rsid w:val="002A260B"/>
    <w:rsid w:val="00357C53"/>
    <w:rsid w:val="003C2878"/>
    <w:rsid w:val="003C6AA7"/>
    <w:rsid w:val="004A1066"/>
    <w:rsid w:val="00521850"/>
    <w:rsid w:val="005925A0"/>
    <w:rsid w:val="00631E42"/>
    <w:rsid w:val="00637269"/>
    <w:rsid w:val="00643517"/>
    <w:rsid w:val="00790368"/>
    <w:rsid w:val="007E055E"/>
    <w:rsid w:val="00867453"/>
    <w:rsid w:val="008D262E"/>
    <w:rsid w:val="00921188"/>
    <w:rsid w:val="00AD607F"/>
    <w:rsid w:val="00C57251"/>
    <w:rsid w:val="00CC3F48"/>
    <w:rsid w:val="00E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637262-D3EF-4C78-A436-6B4ADB1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Default"/>
    <w:next w:val="Default"/>
    <w:link w:val="10"/>
    <w:uiPriority w:val="99"/>
    <w:qFormat/>
    <w:rsid w:val="00521850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5218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521850"/>
    <w:rPr>
      <w:color w:val="auto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Default"/>
    <w:next w:val="Default"/>
    <w:link w:val="20"/>
    <w:uiPriority w:val="99"/>
    <w:rsid w:val="00521850"/>
    <w:rPr>
      <w:color w:val="auto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52185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Ломоносов_название Знак Знак Знак"/>
    <w:basedOn w:val="Default"/>
    <w:next w:val="Default"/>
    <w:uiPriority w:val="99"/>
    <w:rsid w:val="00521850"/>
    <w:rPr>
      <w:color w:val="auto"/>
    </w:rPr>
  </w:style>
  <w:style w:type="paragraph" w:customStyle="1" w:styleId="a8">
    <w:name w:val="Ломоносов_ВУЗ_мэйл"/>
    <w:basedOn w:val="Default"/>
    <w:next w:val="Default"/>
    <w:uiPriority w:val="99"/>
    <w:rsid w:val="00521850"/>
    <w:rPr>
      <w:color w:val="auto"/>
    </w:rPr>
  </w:style>
  <w:style w:type="paragraph" w:styleId="a9">
    <w:name w:val="Plain Text"/>
    <w:basedOn w:val="Default"/>
    <w:next w:val="Default"/>
    <w:link w:val="aa"/>
    <w:uiPriority w:val="99"/>
    <w:rsid w:val="00521850"/>
    <w:rPr>
      <w:color w:val="auto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emography">
    <w:name w:val="demography_начало"/>
    <w:basedOn w:val="Default"/>
    <w:next w:val="Default"/>
    <w:uiPriority w:val="99"/>
    <w:rsid w:val="00521850"/>
    <w:rPr>
      <w:color w:val="auto"/>
    </w:rPr>
  </w:style>
  <w:style w:type="paragraph" w:styleId="ab">
    <w:name w:val="Title"/>
    <w:basedOn w:val="Default"/>
    <w:next w:val="Default"/>
    <w:link w:val="ac"/>
    <w:uiPriority w:val="99"/>
    <w:qFormat/>
    <w:rsid w:val="00521850"/>
    <w:rPr>
      <w:color w:val="auto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omabstact">
    <w:name w:val="lom_abstact"/>
    <w:basedOn w:val="Default"/>
    <w:next w:val="Default"/>
    <w:uiPriority w:val="99"/>
    <w:rsid w:val="00521850"/>
    <w:rPr>
      <w:color w:val="auto"/>
    </w:rPr>
  </w:style>
  <w:style w:type="paragraph" w:customStyle="1" w:styleId="ad">
    <w:name w:val="основной"/>
    <w:basedOn w:val="Default"/>
    <w:next w:val="Default"/>
    <w:uiPriority w:val="99"/>
    <w:rsid w:val="00521850"/>
    <w:rPr>
      <w:color w:val="auto"/>
    </w:rPr>
  </w:style>
  <w:style w:type="paragraph" w:styleId="ae">
    <w:name w:val="Normal (Web)"/>
    <w:basedOn w:val="Default"/>
    <w:next w:val="Default"/>
    <w:uiPriority w:val="99"/>
    <w:rsid w:val="00521850"/>
    <w:rPr>
      <w:color w:val="auto"/>
    </w:rPr>
  </w:style>
  <w:style w:type="paragraph" w:styleId="3">
    <w:name w:val="Body Text Indent 3"/>
    <w:basedOn w:val="a"/>
    <w:link w:val="30"/>
    <w:uiPriority w:val="99"/>
    <w:rsid w:val="005218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HTML">
    <w:name w:val="HTML Preformatted"/>
    <w:basedOn w:val="Default"/>
    <w:next w:val="Default"/>
    <w:link w:val="HTML0"/>
    <w:uiPriority w:val="99"/>
    <w:rsid w:val="00521850"/>
    <w:rPr>
      <w:color w:val="auto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Iauiue">
    <w:name w:val="Iau.iue"/>
    <w:basedOn w:val="Default"/>
    <w:next w:val="Default"/>
    <w:uiPriority w:val="99"/>
    <w:rsid w:val="00521850"/>
    <w:rPr>
      <w:color w:val="auto"/>
    </w:rPr>
  </w:style>
  <w:style w:type="paragraph" w:styleId="af">
    <w:name w:val="header"/>
    <w:basedOn w:val="a"/>
    <w:link w:val="af0"/>
    <w:uiPriority w:val="99"/>
    <w:rsid w:val="002A26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uiPriority w:val="99"/>
    <w:rsid w:val="002A260B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4A1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4A106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Социологический анализ поведения потребителей инъекционных наркотиков (на примере исследований в Алтайском крае) </vt:lpstr>
    </vt:vector>
  </TitlesOfParts>
  <Company>ussr</Company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Социологический анализ поведения потребителей инъекционных наркотиков (на примере исследований в Алтайском крае) </dc:title>
  <dc:subject/>
  <dc:creator>user</dc:creator>
  <cp:keywords/>
  <dc:description/>
  <cp:lastModifiedBy>admin</cp:lastModifiedBy>
  <cp:revision>2</cp:revision>
  <dcterms:created xsi:type="dcterms:W3CDTF">2014-02-21T19:09:00Z</dcterms:created>
  <dcterms:modified xsi:type="dcterms:W3CDTF">2014-02-21T19:09:00Z</dcterms:modified>
</cp:coreProperties>
</file>