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57" w:rsidRDefault="004C2E40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Инициатива США</w:t>
      </w:r>
      <w:r>
        <w:br/>
      </w:r>
      <w:r>
        <w:rPr>
          <w:b/>
          <w:bCs/>
        </w:rPr>
        <w:t>2 Суть соглашения</w:t>
      </w:r>
      <w:r>
        <w:br/>
      </w:r>
      <w:r>
        <w:rPr>
          <w:b/>
          <w:bCs/>
        </w:rPr>
        <w:t>3 Современный статус</w:t>
      </w:r>
      <w:r>
        <w:br/>
      </w:r>
      <w:r>
        <w:rPr>
          <w:b/>
          <w:bCs/>
        </w:rPr>
        <w:t>4 Изгнание сербов из Сараева</w:t>
      </w:r>
      <w:r>
        <w:br/>
      </w:r>
      <w:r>
        <w:rPr>
          <w:b/>
          <w:bCs/>
        </w:rPr>
        <w:t>5 Округ Брчко и нарушение Дейтонского соглашения</w:t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Дейтонское соглашение </w:t>
      </w:r>
    </w:p>
    <w:p w:rsidR="00BD1357" w:rsidRDefault="004C2E4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D1357" w:rsidRDefault="004C2E40">
      <w:pPr>
        <w:pStyle w:val="a3"/>
      </w:pPr>
      <w:r>
        <w:t>Де́йтонское соглаше́ние — соглашение о прекращении огня, разделении враждующих сторон и обособлении территорий, положившее конец гражданской войне в Республике Босния и Герцеговина 1992—1995 гг. Согласовано в ноябре 1995 года на военной базе США в Дейтоне (штат Огайо), подписано 14 декабря 1995 года в Париже лидером боснийцев Алиёй Изетбеговичем, президентом Сербии Слободаном Милошевичем и президентом Хорватии Франьо Туджманом.</w:t>
      </w:r>
    </w:p>
    <w:p w:rsidR="00BD1357" w:rsidRDefault="004C2E40">
      <w:pPr>
        <w:pStyle w:val="21"/>
        <w:pageBreakBefore/>
        <w:numPr>
          <w:ilvl w:val="0"/>
          <w:numId w:val="0"/>
        </w:numPr>
      </w:pPr>
      <w:r>
        <w:t>1. Инициатива США</w:t>
      </w:r>
    </w:p>
    <w:p w:rsidR="00BD1357" w:rsidRDefault="004C2E40">
      <w:pPr>
        <w:pStyle w:val="a3"/>
      </w:pPr>
      <w:r>
        <w:t>Мирные переговоры проходили при активном участии США. США предложили создание боснийско-хорватской федерации. Договор о прекращении Хорватско-боснийского конфликта и создании Федерации Боснии и Герцеговины был подписан в Вашингтоне и Вене в марте 1994 года премьер-министром Республики Босния и Герцеговина Харисом Силайджичем, министром иностранных дел Хорватии Мате Граничем и президентом Герцег-Босны Крешимиром Зубаком. Боснийские сербы отказались присоединиться к этому договору.</w:t>
      </w:r>
    </w:p>
    <w:p w:rsidR="00BD1357" w:rsidRDefault="004C2E40">
      <w:pPr>
        <w:pStyle w:val="a3"/>
      </w:pPr>
      <w:r>
        <w:t>Непосредственно перед подписанием Дейтонского соглашения, в августе-сентябре 1995 года авиация НАТО провела воздушную операцию «Обдуманная сила» против боснийских сербов, которая сыграла роль в остановке сербского наступления и некотором изменении военной ситуации в пользу боснийско-хорватских сил.</w:t>
      </w:r>
    </w:p>
    <w:p w:rsidR="00BD1357" w:rsidRDefault="004C2E40">
      <w:pPr>
        <w:pStyle w:val="a3"/>
      </w:pPr>
      <w:r>
        <w:t>Переговоры в Дейтоне шли при участии стран-гарантов: США, России, Германии, Великобритании и Франции.</w:t>
      </w:r>
    </w:p>
    <w:p w:rsidR="00BD1357" w:rsidRDefault="004C2E40">
      <w:pPr>
        <w:pStyle w:val="21"/>
        <w:pageBreakBefore/>
        <w:numPr>
          <w:ilvl w:val="0"/>
          <w:numId w:val="0"/>
        </w:numPr>
      </w:pPr>
      <w:r>
        <w:t>2. Суть соглашения</w:t>
      </w:r>
    </w:p>
    <w:p w:rsidR="00BD1357" w:rsidRDefault="004C2E40">
      <w:pPr>
        <w:pStyle w:val="a3"/>
      </w:pPr>
      <w:r>
        <w:t>Соглашение состояло из общей части и одиннадцати приложений. На территорию Республики Босния и Герцеговина вводился контингент войск НАТО — 60 тысяч солдат, половина из которых — американцы.</w:t>
      </w:r>
    </w:p>
    <w:p w:rsidR="00BD1357" w:rsidRDefault="004C2E40">
      <w:pPr>
        <w:pStyle w:val="a3"/>
      </w:pPr>
      <w:r>
        <w:t>Предусматривалось, что государство Босния и Герцеговина должно состоять из двух частей — Федерации Боснии и Герцеговины и Республики Сербской. Столицей осталось Сараево. Житель Республики Босния и Герцеговина мог быть гражданином как объединённой республики, так и одного из двух образований. Сербы получили 49 % территории, боснийцы и хорваты — 51 %.</w:t>
      </w:r>
    </w:p>
    <w:p w:rsidR="00BD1357" w:rsidRDefault="004C2E40">
      <w:pPr>
        <w:pStyle w:val="a3"/>
      </w:pPr>
      <w:r>
        <w:t>Горажде отходило боснийцам, оно соединялось с Сараево коридором, который контролировали международные силы. Сараево и прилегающие к нему сербские районы переходили в боснийскую часть. Точное прохождение границы внутри района Брчко должна была определить Арбитражная комиссия.</w:t>
      </w:r>
    </w:p>
    <w:p w:rsidR="00BD1357" w:rsidRDefault="004C2E40">
      <w:pPr>
        <w:pStyle w:val="a3"/>
      </w:pPr>
      <w:r>
        <w:t>Соглашение запретило обвинённым Международным трибуналом по бывшей Югославии занимать государственные должности на территории Республики Босния и Герцеговина. Таким образом от власти были отстранены Радован Караджич, Ратко Младич, Дарио Кордич и другие лидеры боснийских сербов и хорватов.</w:t>
      </w:r>
    </w:p>
    <w:p w:rsidR="00BD1357" w:rsidRDefault="004C2E40">
      <w:pPr>
        <w:pStyle w:val="a3"/>
      </w:pPr>
      <w:r>
        <w:t>Функции главы государства передавались Президиуму, состоящему из трёх человек — по одному от каждого народа.</w:t>
      </w:r>
    </w:p>
    <w:p w:rsidR="00BD1357" w:rsidRDefault="004C2E40">
      <w:pPr>
        <w:pStyle w:val="a3"/>
      </w:pPr>
      <w:r>
        <w:t>Законодательная власть должна была принадлежать Парламентской скупщине, состоящей из Палаты народов и Палаты представителей. Треть депутатов избирается от Республики Сербской, две трети — от Федерации Боснии и Герцеговины. При этом вводилось «вето народа»: если большинство депутатов, избранных от одного из трёх народов, голосовали против того или иного предложения, оно считалось отвергнутым, несмотря на позицию других двух народов.</w:t>
      </w:r>
    </w:p>
    <w:p w:rsidR="00BD1357" w:rsidRDefault="004C2E40">
      <w:pPr>
        <w:pStyle w:val="a3"/>
      </w:pPr>
      <w:r>
        <w:t>В целом, полномочия центральных властей, по соглашению, были весьма ограниченными. Реальная власть передавалась органам Федерации и Республики Сербской. Вся система должна была работать под наблюдением Высокого представителя по Боснии и Герцеговине.</w:t>
      </w:r>
    </w:p>
    <w:p w:rsidR="00BD1357" w:rsidRDefault="004C2E40">
      <w:pPr>
        <w:pStyle w:val="21"/>
        <w:pageBreakBefore/>
        <w:numPr>
          <w:ilvl w:val="0"/>
          <w:numId w:val="0"/>
        </w:numPr>
      </w:pPr>
      <w:r>
        <w:t>3. Современный статус</w:t>
      </w:r>
    </w:p>
    <w:p w:rsidR="00BD1357" w:rsidRDefault="004C2E40">
      <w:pPr>
        <w:pStyle w:val="a3"/>
      </w:pPr>
      <w:r>
        <w:t>Дейтонское соглашение заложило основу конституционного устройства Боснии и Герцеговины, которое сохраняется до сегодняшнего дня. Созданная ими система считается громоздкой и малоэффективной, но до восстановления взаимного доверия между тремя народами её отмена затруднительна. В последние годы западные страны более активно призывают к пересмотру Дейтонской системы и введению традиционной конституции. Этот план, в частности, позволил бы ускорить сближение Боснии и Герцеговины с Европейским союзом. Однако на сегодня согласие по нему не достигнуто, причём в большей степени за перемены выступают боснийцы и хорваты.</w:t>
      </w:r>
    </w:p>
    <w:p w:rsidR="00BD1357" w:rsidRDefault="004C2E40">
      <w:pPr>
        <w:pStyle w:val="21"/>
        <w:pageBreakBefore/>
        <w:numPr>
          <w:ilvl w:val="0"/>
          <w:numId w:val="0"/>
        </w:numPr>
      </w:pPr>
      <w:r>
        <w:t>4. Изгнание сербов из Сараева</w:t>
      </w:r>
    </w:p>
    <w:p w:rsidR="00BD1357" w:rsidRDefault="004C2E40">
      <w:pPr>
        <w:pStyle w:val="a3"/>
      </w:pPr>
      <w:r>
        <w:t>К моменту заключения Дейтонского соглашения в городе Сараево было от 120 до 150 тыс. сербов. После передачи Сараева Федерации Боснии и Герцеговины он был очищен мусульманами от сербов. Таким образом, следствием Дейтонского соглашения стало изгнание сербов.</w:t>
      </w:r>
    </w:p>
    <w:p w:rsidR="00BD1357" w:rsidRDefault="004C2E40">
      <w:pPr>
        <w:pStyle w:val="21"/>
        <w:pageBreakBefore/>
        <w:numPr>
          <w:ilvl w:val="0"/>
          <w:numId w:val="0"/>
        </w:numPr>
      </w:pPr>
      <w:r>
        <w:t>5. Округ Брчко и нарушение Дейтонского соглашения</w:t>
      </w:r>
    </w:p>
    <w:p w:rsidR="00BD1357" w:rsidRDefault="004C2E40">
      <w:pPr>
        <w:pStyle w:val="a3"/>
      </w:pPr>
      <w:r>
        <w:t>Статья 5 Приложения 2 Дейтонского соглашения гласит, что третейский суд в лице 3 судей должен в обозначенные сроки определить точную границу между Республикой Сербской и Федерацией Боснии и Герцеговины в её спорной части, проходящей через округ Брчко,</w:t>
      </w:r>
      <w:r>
        <w:rPr>
          <w:position w:val="10"/>
        </w:rPr>
        <w:t>[1]</w:t>
      </w:r>
      <w:r>
        <w:t xml:space="preserve"> который к тому времени уже был разделён на сербскую (48 %, включая город Брчко) и боснийско-хорватскую (52 %) части.</w:t>
      </w:r>
    </w:p>
    <w:p w:rsidR="00BD1357" w:rsidRDefault="004C2E40">
      <w:pPr>
        <w:pStyle w:val="a3"/>
      </w:pPr>
      <w:r>
        <w:t>Вместо этого суд вынес решение, в котором сохранил округ Брчко в виде единой административной единицы в составе Боснии и Герцеговины, наделил его статусом автономии и таким образом фактически исключил его из состава как Федерации Боснии и Герцеговины, так и Республики Сербской. При этом территория последней потеряла свою непрерывность, оказавшись разделённой на 2 части.</w:t>
      </w:r>
    </w:p>
    <w:p w:rsidR="00BD1357" w:rsidRDefault="00BD1357">
      <w:pPr>
        <w:pStyle w:val="a3"/>
      </w:pPr>
    </w:p>
    <w:p w:rsidR="00BD1357" w:rsidRDefault="004C2E4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BD1357" w:rsidRDefault="004C2E40">
      <w:pPr>
        <w:pStyle w:val="a3"/>
        <w:numPr>
          <w:ilvl w:val="0"/>
          <w:numId w:val="1"/>
        </w:numPr>
        <w:tabs>
          <w:tab w:val="left" w:pos="707"/>
        </w:tabs>
      </w:pPr>
      <w:r>
        <w:t>The General Framework Agreement: Annex 2 // Article V: Arbitration for the Brcko Area</w:t>
      </w:r>
    </w:p>
    <w:p w:rsidR="00BD1357" w:rsidRDefault="004C2E40">
      <w:pPr>
        <w:pStyle w:val="a3"/>
        <w:spacing w:after="0"/>
      </w:pPr>
      <w:r>
        <w:t>Источник: http://ru.wikipedia.org/wiki/Дейтонское_соглашение</w:t>
      </w:r>
      <w:bookmarkStart w:id="0" w:name="_GoBack"/>
      <w:bookmarkEnd w:id="0"/>
    </w:p>
    <w:sectPr w:rsidR="00BD135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E40"/>
    <w:rsid w:val="004C2E40"/>
    <w:rsid w:val="006C3B73"/>
    <w:rsid w:val="00BD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AC290-4B56-480E-A1E6-6A652100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4553</Characters>
  <Application>Microsoft Office Word</Application>
  <DocSecurity>0</DocSecurity>
  <Lines>37</Lines>
  <Paragraphs>10</Paragraphs>
  <ScaleCrop>false</ScaleCrop>
  <Company>diakov.net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2014-08-17T17:54:00Z</dcterms:created>
  <dcterms:modified xsi:type="dcterms:W3CDTF">2014-08-17T17:54:00Z</dcterms:modified>
</cp:coreProperties>
</file>