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42" w:rsidRDefault="00B1154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Дипломатическое и консульское право.</w:t>
      </w:r>
    </w:p>
    <w:p w:rsidR="00B11542" w:rsidRDefault="00B1154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внешних сношений государств.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 внешних сношений – это государственные органы, посредством которого осуществляются связи государства с иными субъектами международного права: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Внутригосударственные: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Общей компетенции: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государства – принимает верительные и отзывные грамоты аккредитуемых при нем дипломатических представителей; подписывает ратификационные грамоты; руководит внешней политикой (в президентских республиках, например, США).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Парламент – ратифицирует международные договоры, ведает вопросами войны и мира.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Правительство – осуществляет меры по обеспечению реализации внешней политики, в частности, путем заключения межправительственных соглашений. В парламентских республиках и конституционных монархиях практическими полномочиями по руководству внешней политикой обладает глава правительства (например, премьер-министр Соединенного Королевства).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Специальные органы: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1.2.1 Министерство иностранных дел (в США – государственный департамент). 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1.2.2 Таможенные, пограничные и иные подобные органы.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Зарубежные органы: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Постоянные – дипломатические представительства, консульские учреждения, торговые и иные представительства в иностранных государствах, постоянные представительства при международных организациях.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 Временные – государственные делегации на сессиях высших органов международных организаций (например, на сессии Генеральной Ассамблеи ООН) и международных конференциях, специальные миссии. 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Дипломатические представительства: понятие, система, функции.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Дипломатическое представительство – это орган аккредитующего государства, учрежденный на территории государства пребывания для поддержания дипломатических отношений между ними.</w:t>
      </w:r>
    </w:p>
    <w:p w:rsidR="00B11542" w:rsidRDefault="00B1154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дипломатических представительств: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Посольства – дипломатические представительства высшего уровня, возглавляются чрезвычайным и полномочным послом, аккредитуемым при главе государства. К посольствам приравниваются возглавляемые нунцием дипломатические представительства Ватикана – нунциатуры.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Миссии – дипломатические представительства, возглавляемые чрезвычайными и полномочными посланниками.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Иные официальные дипломатические представительства.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 дипломатического представительства</w:t>
      </w:r>
      <w:r>
        <w:rPr>
          <w:rStyle w:val="a3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>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Представительство аккредитующего государства в государстве пребывания.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в государстве пребывания интересов аккредитующего государства и его граждан в пределах, допускаемых международным правом.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Ведение переговоров с правительством государства пребывания.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Выяснение всеми законными средствами условий и событий в государстве пребывания и сообщение о них правительству аккредитующего государства.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Поощрение дружественных отношений между аккредитующим государством и государством пребывания и развитие их взаимоотношений в области экономики, науки и культуры. 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назначения главы дипломатического представительства необходимо последовательно выполнить следующие формальности: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Запрос агремана – согласия государства пребывания на назначение данного лица главой дипломатического представительства.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Издание, после получения агремана, акта, оформляющего назначение главы представительства.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Вручение верительных грамот, то есть документа, удостоверяющего официальный статус главы дипломатического представительства. Например, верительная грамота чрезвычайного и полномочного посла Российской Федерации в Соединенном Королевстве подписывается Его Превосходительством Президентом Российской Федерации и вручается Ее Величеству Королеве Соединенного Королевства Великобритании и Северной Ирландии.</w:t>
      </w:r>
    </w:p>
    <w:p w:rsidR="00B11542" w:rsidRDefault="00B1154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Дипломатические привилегии и иммунитеты.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пишет проф. П.И. Савицкий, "привилегии, то есть преимущества, и иммунитеты как совокупность особых прав, характеризующих невосприимчивость к юрисдикции, предоставляются как зарубежным органам внешних сношений, так и их главам и сотрудникам"</w:t>
      </w:r>
      <w:r>
        <w:rPr>
          <w:rStyle w:val="a3"/>
          <w:color w:val="000000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>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привилегии и иммунитеты дипломатического представительства: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Помещения дипломатического представительства неприкосновенны, допуск в них властей государства пребывания осуществляется только с разрешения главы дипломатического представительства. Также неприкосновенны имущество, находящееся в дипломатическом представительстве, а также принадлежащие представительству средства передвижения</w:t>
      </w:r>
      <w:r>
        <w:rPr>
          <w:rStyle w:val="a3"/>
          <w:color w:val="000000"/>
          <w:sz w:val="24"/>
          <w:szCs w:val="24"/>
        </w:rPr>
        <w:footnoteReference w:id="3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Архивы и документы дипломатического представительства неприкосновенны, вне зависимости от места их нахождения</w:t>
      </w:r>
      <w:r>
        <w:rPr>
          <w:rStyle w:val="a3"/>
          <w:color w:val="000000"/>
          <w:sz w:val="24"/>
          <w:szCs w:val="24"/>
        </w:rPr>
        <w:footnoteReference w:id="4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Официальная корреспонденция дипломатического представительства неприкосновенна, не допускается вскрытие либо задержание дипломатической почты</w:t>
      </w:r>
      <w:r>
        <w:rPr>
          <w:rStyle w:val="a3"/>
          <w:color w:val="000000"/>
          <w:sz w:val="24"/>
          <w:szCs w:val="24"/>
        </w:rPr>
        <w:footnoteReference w:id="5"/>
      </w:r>
      <w:r>
        <w:rPr>
          <w:color w:val="000000"/>
          <w:sz w:val="24"/>
          <w:szCs w:val="24"/>
        </w:rPr>
        <w:t xml:space="preserve">. 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Вознаграждения и сборы, взимаемые дипломатическим представительством при выполнении своих официальных обязанностей, освобождаются от всех налогов, сборов и пошлин</w:t>
      </w:r>
      <w:r>
        <w:rPr>
          <w:rStyle w:val="a3"/>
          <w:color w:val="000000"/>
          <w:sz w:val="24"/>
          <w:szCs w:val="24"/>
        </w:rPr>
        <w:footnoteReference w:id="6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Дипломатическое представительство и его глава вправе пользоваться флагом и эмблемой аккредитующего государства на помещениях представительства, включая резиденцию главы представительства, а также на его средствах передвижения</w:t>
      </w:r>
      <w:r>
        <w:rPr>
          <w:rStyle w:val="a3"/>
          <w:color w:val="000000"/>
          <w:sz w:val="24"/>
          <w:szCs w:val="24"/>
        </w:rPr>
        <w:footnoteReference w:id="7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привилегии и иммунитеты главы дипломатического представительства и дипломатических агентов: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Личность дипломатического агента неприкосновенна, он не подлежит аресту или задержанию в какой бы то ни было форме</w:t>
      </w:r>
      <w:r>
        <w:rPr>
          <w:rStyle w:val="a3"/>
          <w:color w:val="000000"/>
          <w:sz w:val="24"/>
          <w:szCs w:val="24"/>
        </w:rPr>
        <w:footnoteReference w:id="8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Частная резиденция дипломатического агента неприкосновенна, так же как и помещение дипломатического представительства</w:t>
      </w:r>
      <w:r>
        <w:rPr>
          <w:rStyle w:val="a3"/>
          <w:color w:val="000000"/>
          <w:sz w:val="24"/>
          <w:szCs w:val="24"/>
        </w:rPr>
        <w:footnoteReference w:id="9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Бумаги и корреспонденция дипломатического агента неприкосновенны, так же как и документация дипломатического представительства и дипломатическая почта</w:t>
      </w:r>
      <w:r>
        <w:rPr>
          <w:rStyle w:val="a3"/>
          <w:color w:val="000000"/>
          <w:sz w:val="24"/>
          <w:szCs w:val="24"/>
        </w:rPr>
        <w:footnoteReference w:id="10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Дипломатический агент по общему правилу пользуется иммунитетом от гражданской и уголовной юрисдикции страны пребывания, кроме случаев, когда он действует на территории государства пребывания как частное лицо (например, при осуществлении коммерческой деятельности на территории государства пребывания за пределами своих официальных функций)</w:t>
      </w:r>
      <w:r>
        <w:rPr>
          <w:rStyle w:val="a3"/>
          <w:color w:val="000000"/>
          <w:sz w:val="24"/>
          <w:szCs w:val="24"/>
        </w:rPr>
        <w:footnoteReference w:id="11"/>
      </w:r>
      <w:r>
        <w:rPr>
          <w:color w:val="000000"/>
          <w:sz w:val="24"/>
          <w:szCs w:val="24"/>
        </w:rPr>
        <w:t>. От иммунитета дипломатического агента может отказаться аккредитующее государство</w:t>
      </w:r>
      <w:r>
        <w:rPr>
          <w:rStyle w:val="a3"/>
          <w:color w:val="000000"/>
          <w:sz w:val="24"/>
          <w:szCs w:val="24"/>
        </w:rPr>
        <w:footnoteReference w:id="12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Дипломатические агенты по общему правилу пользуются свободой передвижения на территории государства пребывания</w:t>
      </w:r>
      <w:r>
        <w:rPr>
          <w:rStyle w:val="a3"/>
          <w:color w:val="000000"/>
          <w:sz w:val="24"/>
          <w:szCs w:val="24"/>
        </w:rPr>
        <w:footnoteReference w:id="13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подчеркивается в преамбуле Венской конвенции о дипломатических сношениях, дипломатические "привилегии и иммунитеты предоставляются не для выгод отдельных лиц, а для обеспечения эффективного осуществления функций дипломатических представительств как органов, представляющих государства".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Совершение дипломатическим агентом серьезного правонарушения, в частности, преступления, может стать основанием для объявления его нежелательным лицом на территории государства пребывания (</w:t>
      </w:r>
      <w:r>
        <w:rPr>
          <w:color w:val="000000"/>
          <w:sz w:val="24"/>
          <w:szCs w:val="24"/>
          <w:lang w:val="en-US"/>
        </w:rPr>
        <w:t>persona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grata</w:t>
      </w:r>
      <w:r>
        <w:rPr>
          <w:color w:val="000000"/>
          <w:sz w:val="24"/>
          <w:szCs w:val="24"/>
        </w:rPr>
        <w:t>). В таком случае аккредитующее государство должно в кратчайшие сроки отозвать такое лицо. Нужно помнить, что дипломатический иммунитет не освобождает дипломатического агента от юрисдикции, в том числе уголовной, аккредитующего государства.</w:t>
      </w:r>
    </w:p>
    <w:p w:rsidR="00B11542" w:rsidRDefault="00B1154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Постоянное представительство государства при международной организации.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международных межправительственных организациях создаются постоянные представительства государств-членов.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Постоянное представительство государства при международной организации учреждается в соответствии с ее учредительным актом и осуществляет следующие основные функции</w:t>
      </w:r>
      <w:r>
        <w:rPr>
          <w:rStyle w:val="a3"/>
          <w:color w:val="000000"/>
          <w:sz w:val="24"/>
          <w:szCs w:val="24"/>
        </w:rPr>
        <w:footnoteReference w:id="14"/>
      </w:r>
      <w:r>
        <w:rPr>
          <w:color w:val="000000"/>
          <w:sz w:val="24"/>
          <w:szCs w:val="24"/>
        </w:rPr>
        <w:t>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представительства посылающего государства в международной организации.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Поддержание связи между посылающим государством и международной организацией.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Ведение переговоров с международной организацией и в ее рамках.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Выяснение осуществляемой в международной организации деятельности и сообщение о ней правительству посылающего государства.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участия посылающего государства в деятельности международной организации.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интересов посылающего государства по отношению к международной организации.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Содействие осуществлению целей и принципов международной организации путем сотрудничества с международной организацией и в ее рамках. 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Посылающее государство может по своему усмотрению назначать сотрудников своего постоянного представительства при международной организации. Глава постоянного представительства обычно уполномочивается правительством посылающего государства и к нему неприменимы такие процедуры назначения главы дипломатического представительства как запрос агремана, вручение верительных грамот и аккредитование в государстве пребывания.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постоянного представительства государства при международной организации и дипломатические сотрудники постоянного представительства пользуются дипломатическими привилегиями и иммунитетами.</w:t>
      </w:r>
    </w:p>
    <w:p w:rsidR="00B11542" w:rsidRDefault="00B1154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Специальные миссии.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Специальная миссия – "временная миссия, по своему характеру представляющая государство, направляемая одним государством в другое с согласия последнего для совместного рассмотрения определенных вопросов или для выполнения в отношении его определенной задачи"</w:t>
      </w:r>
      <w:r>
        <w:rPr>
          <w:rStyle w:val="a3"/>
          <w:color w:val="000000"/>
          <w:sz w:val="24"/>
          <w:szCs w:val="24"/>
        </w:rPr>
        <w:footnoteReference w:id="15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указывает Я. Броунли, функции специальных миссий "бывают весьма разнообразными; примерами могут служить присутствие главы правительства в его официальном качестве на похоронах за границей, визит министра иностранных дел соответствующему министру другого государства для переговоров и визит правительственной торговой делегации для ведения официальных деловых переговоров"</w:t>
      </w:r>
      <w:r>
        <w:rPr>
          <w:rStyle w:val="a3"/>
          <w:color w:val="000000"/>
          <w:sz w:val="24"/>
          <w:szCs w:val="24"/>
        </w:rPr>
        <w:footnoteReference w:id="16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Специальные миссии отличаются многообразие их форм и видов. Например, в России существуют институты специальных представителей Президента РФ по определенным вопросам и послов по особым поручениям. 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Дипломатический персонал специальной миссии по общему правилу пользуется дипломатическими привилегиями и иммунитетами.</w:t>
      </w:r>
    </w:p>
    <w:p w:rsidR="00B11542" w:rsidRDefault="00B1154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Консульские учреждения: понятие, порядок внутреннего функционирования.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Консульские учреждения выполняют за рубежом консульские функции в основном правового плана, в частности</w:t>
      </w:r>
      <w:r>
        <w:rPr>
          <w:rStyle w:val="a3"/>
          <w:color w:val="000000"/>
          <w:sz w:val="24"/>
          <w:szCs w:val="24"/>
        </w:rPr>
        <w:footnoteReference w:id="17"/>
      </w:r>
      <w:r>
        <w:rPr>
          <w:color w:val="000000"/>
          <w:sz w:val="24"/>
          <w:szCs w:val="24"/>
        </w:rPr>
        <w:t>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Выдают паспорта гражданам представляемого государства и визы лицам, желающим поехать в представляемое государство.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Осуществляют нотариальные действия.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Регистрируют акты гражданского состояния граждан представляемого государства.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Передают судебные и прочие документы, исполняют судебные поручения.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Осуществляют надзор и инспектирование судов и самолетов, зарегистрированных в представляемом государстве.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Оказывают помощь и содействие гражданам представляемого государства, в том числе по правовым вопросам в государственных учреждениях и судах государства пребывания.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Расследуют происшествия, имевшие место на борту судна, зарегистрированного в представляемом государстве и находящегося в порту государства пребывания.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Консульские функции осуществляются консульским учреждением в пределах консульского округа, включающего в себя всю или часть территории государства пребывания. Например, консульским округом большинства генеральных консульств и консульств иностранных государств, находящихся в Санкт-Петербурге, является территория Северо-Западного федерального округа России.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Предусмотрены 4 вида консульских учреждений: генеральные консульства, консульства, вице-консульства и консульские агентства. Также консульские отделы работают в составе посольств.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консульского учреждения (генеральный консул, консул, вице-консул, консульский агент) получает от представляемого государства консульский патент</w:t>
      </w:r>
      <w:r>
        <w:rPr>
          <w:rStyle w:val="a3"/>
          <w:color w:val="000000"/>
          <w:sz w:val="24"/>
          <w:szCs w:val="24"/>
        </w:rPr>
        <w:footnoteReference w:id="18"/>
      </w:r>
      <w:r>
        <w:rPr>
          <w:color w:val="000000"/>
          <w:sz w:val="24"/>
          <w:szCs w:val="24"/>
        </w:rPr>
        <w:t>; а страна, принимающая консула, выдает ему специальное разрешение на исполнения обязанностей консула - консульскую экзекватуру</w:t>
      </w:r>
      <w:r>
        <w:rPr>
          <w:rStyle w:val="a3"/>
          <w:color w:val="000000"/>
          <w:sz w:val="24"/>
          <w:szCs w:val="24"/>
        </w:rPr>
        <w:footnoteReference w:id="19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Консульские привилегии и иммунитеты.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Нормы, касающиеся консульских привилегий и иммунитетов, содержатся, помимо Венской конвенции о консульских сношениях, также в двусторонних консульских конвенциях. 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Консульские привилегии и иммунитеты: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привилегии и иммунитеты консульских учреждений: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Неприкосновенность консульских помещений, вместе с тем, власти государства пребывания вправе вступать в консульские помещения "в случае пожара или другого стихийного бедствия, требующего безотлагательных мер защиты"</w:t>
      </w:r>
      <w:r>
        <w:rPr>
          <w:rStyle w:val="a3"/>
          <w:color w:val="000000"/>
          <w:sz w:val="24"/>
          <w:szCs w:val="24"/>
        </w:rPr>
        <w:footnoteReference w:id="20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Неприкосновенность консульских архивов и документов</w:t>
      </w:r>
      <w:r>
        <w:rPr>
          <w:rStyle w:val="a3"/>
          <w:color w:val="000000"/>
          <w:sz w:val="24"/>
          <w:szCs w:val="24"/>
        </w:rPr>
        <w:footnoteReference w:id="21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Консульские сборы и пошлины, взимаемые консульским учреждением с граждан представляемого государства, освобождаются в государстве пребывания от всех налогов, сборов и пошлин</w:t>
      </w:r>
      <w:r>
        <w:rPr>
          <w:rStyle w:val="a3"/>
          <w:color w:val="000000"/>
          <w:sz w:val="24"/>
          <w:szCs w:val="24"/>
        </w:rPr>
        <w:footnoteReference w:id="22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Власти государства пребывания обязаны незамедлительно уведомить консульское учреждение о смерти гражданина представляемого государства, о необходимости установления опеки и попечительства над гражданином представляемого государства, об авариях судов и самолетов, зарегистрированных в представляемом консульским учреждением государстве</w:t>
      </w:r>
      <w:r>
        <w:rPr>
          <w:rStyle w:val="a3"/>
          <w:color w:val="000000"/>
          <w:sz w:val="24"/>
          <w:szCs w:val="24"/>
        </w:rPr>
        <w:footnoteReference w:id="23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Консульское учреждение вправе пользоваться своим государственным флагом и гербом, государственный флаг вывешивается на здании консульского учреждения, государственный герб укрепляется на здании консульского учреждения, на его входных дверях, а также на резиденции главы консульского учреждения, на его средствах передвижения</w:t>
      </w:r>
      <w:r>
        <w:rPr>
          <w:rStyle w:val="a3"/>
          <w:color w:val="000000"/>
          <w:sz w:val="24"/>
          <w:szCs w:val="24"/>
        </w:rPr>
        <w:footnoteReference w:id="24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привилегии и иммунитеты консульских должностных лиц: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Консульские должностные лица не подлежат ни аресту, ни предварительному заключению, иначе как на основании постановлений компетентных судебных властей в случае совершения тяжких преступлений</w:t>
      </w:r>
      <w:r>
        <w:rPr>
          <w:rStyle w:val="a3"/>
          <w:color w:val="000000"/>
          <w:sz w:val="24"/>
          <w:szCs w:val="24"/>
        </w:rPr>
        <w:footnoteReference w:id="25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Консульские должностные лица, консульские служащие и члены их семей, проживающие вместе с ними, освобождаются от всех обязанностей, предусмотренных законами и правилами государства пребывания в отношении регистрации иностранцев, и от получения разрешения на жительство</w:t>
      </w:r>
      <w:r>
        <w:rPr>
          <w:rStyle w:val="a3"/>
          <w:color w:val="000000"/>
          <w:sz w:val="24"/>
          <w:szCs w:val="24"/>
        </w:rPr>
        <w:footnoteReference w:id="26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Работники консульского учреждения в том, что касается выполнения работы для представляемого государства, освобождаются от любых обязанностей, связанных с получением разрешения на работу, установленных законодательством и правилами государствами пребывания о найме на работу иностранцев</w:t>
      </w:r>
      <w:r>
        <w:rPr>
          <w:rStyle w:val="a3"/>
          <w:color w:val="000000"/>
          <w:sz w:val="24"/>
          <w:szCs w:val="24"/>
        </w:rPr>
        <w:footnoteReference w:id="27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Консульские должностные лица и консульские служащие обладают иммунитетом от юрисдикции государства пребывания в связи с осуществлением ими консульских функций, за исключением гражданского иска, вытекающего из договора, по которому данные лица не приняли на себя обязательств в качестве агента представляемого государства; либо иска третьей стороны за вред, причиненный несчастным случаем в государстве пребывания, вызванным дорожным транспортным происшествием, судном или самолетом</w:t>
      </w:r>
      <w:r>
        <w:rPr>
          <w:rStyle w:val="a3"/>
          <w:color w:val="000000"/>
          <w:sz w:val="24"/>
          <w:szCs w:val="24"/>
        </w:rPr>
        <w:footnoteReference w:id="28"/>
      </w:r>
      <w:r>
        <w:rPr>
          <w:color w:val="000000"/>
          <w:sz w:val="24"/>
          <w:szCs w:val="24"/>
        </w:rPr>
        <w:t>. В отличие от дипломатических агентов, работники консульского учреждения обязаны давать свидетельские показания</w:t>
      </w:r>
      <w:r>
        <w:rPr>
          <w:rStyle w:val="a3"/>
          <w:color w:val="000000"/>
          <w:sz w:val="24"/>
          <w:szCs w:val="24"/>
        </w:rPr>
        <w:footnoteReference w:id="29"/>
      </w:r>
      <w:r>
        <w:rPr>
          <w:color w:val="000000"/>
          <w:sz w:val="24"/>
          <w:szCs w:val="24"/>
        </w:rPr>
        <w:t>. От консульского иммунитета может отказаться представляемое государство</w:t>
      </w:r>
      <w:r>
        <w:rPr>
          <w:rStyle w:val="a3"/>
          <w:color w:val="000000"/>
          <w:sz w:val="24"/>
          <w:szCs w:val="24"/>
        </w:rPr>
        <w:footnoteReference w:id="30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Консульские должностные лица и консульские служащие, а также члены их семей, проживающие вместе с ними, освобождаются по общему правилу от все налогов, сборов и пошлин, личных и имущественных</w:t>
      </w:r>
      <w:r>
        <w:rPr>
          <w:rStyle w:val="a3"/>
          <w:color w:val="000000"/>
          <w:sz w:val="24"/>
          <w:szCs w:val="24"/>
        </w:rPr>
        <w:footnoteReference w:id="31"/>
      </w:r>
      <w:r>
        <w:rPr>
          <w:color w:val="000000"/>
          <w:sz w:val="24"/>
          <w:szCs w:val="24"/>
        </w:rPr>
        <w:t>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подчеркивается в преамбуле Венской конвенции о консульских сношениях, консульские "привилегии и иммунитеты предоставляются не для выгод отдельных лиц, а для обеспечения эффективного осуществления консульскими учреждениями функций от имени их государств".</w:t>
      </w:r>
    </w:p>
    <w:p w:rsidR="00B11542" w:rsidRDefault="00B1154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Международное право: Учебник для вузов. – 2-е изд., изм. и доп. / Отв. ред. проф. Г.В. 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Броунли Я. Международное право. Книга Первая (пер. С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Андрианова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ред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вступительная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статья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Тункина</w:t>
      </w:r>
      <w:r>
        <w:rPr>
          <w:color w:val="000000"/>
          <w:sz w:val="24"/>
          <w:szCs w:val="24"/>
          <w:lang w:val="en-US"/>
        </w:rPr>
        <w:t xml:space="preserve">) 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>., 1977 (first published: Brownlie J. Principles of Public International Law. Second Edition. Oxford, 1973).</w:t>
      </w:r>
    </w:p>
    <w:p w:rsidR="00B11542" w:rsidRDefault="00B115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11542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42" w:rsidRDefault="00B11542">
      <w:r>
        <w:separator/>
      </w:r>
    </w:p>
  </w:endnote>
  <w:endnote w:type="continuationSeparator" w:id="0">
    <w:p w:rsidR="00B11542" w:rsidRDefault="00B1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42" w:rsidRDefault="00B11542">
      <w:r>
        <w:separator/>
      </w:r>
    </w:p>
  </w:footnote>
  <w:footnote w:type="continuationSeparator" w:id="0">
    <w:p w:rsidR="00B11542" w:rsidRDefault="00B11542">
      <w:r>
        <w:continuationSeparator/>
      </w:r>
    </w:p>
  </w:footnote>
  <w:footnote w:id="1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ст.3 Венской конвенции о дипломатических сношениях. </w:t>
      </w:r>
    </w:p>
  </w:footnote>
  <w:footnote w:id="2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i/>
          <w:iCs/>
        </w:rPr>
        <w:t>1</w:t>
      </w:r>
      <w:r>
        <w:t>, с.297.</w:t>
      </w:r>
    </w:p>
  </w:footnote>
  <w:footnote w:id="3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ст.22 Венской конвенции о дипломатических сношениях.</w:t>
      </w:r>
    </w:p>
  </w:footnote>
  <w:footnote w:id="4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ст.24 Венской конвенции о дипломатических сношениях.</w:t>
      </w:r>
    </w:p>
  </w:footnote>
  <w:footnote w:id="5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пп.2,3 ст.27 Венской конвенции о дипломатических сношениях.</w:t>
      </w:r>
    </w:p>
  </w:footnote>
  <w:footnote w:id="6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ст.28 Венской конвенции о дипломатических сношениях.</w:t>
      </w:r>
    </w:p>
  </w:footnote>
  <w:footnote w:id="7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ст.20 Венской конвенции о дипломатических сношениях.</w:t>
      </w:r>
    </w:p>
  </w:footnote>
  <w:footnote w:id="8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ст.29 Венской конвенции о дипломатических сношениях.</w:t>
      </w:r>
    </w:p>
  </w:footnote>
  <w:footnote w:id="9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п.1 ст.30 Венской конвенции о дипломатических сношениях.</w:t>
      </w:r>
    </w:p>
  </w:footnote>
  <w:footnote w:id="10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п.2 ст.30 Венской конвенции о дипломатических сношениях.</w:t>
      </w:r>
    </w:p>
  </w:footnote>
  <w:footnote w:id="11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п.1 ст.31 Венской конвенции о дипломатических сношениях.</w:t>
      </w:r>
    </w:p>
  </w:footnote>
  <w:footnote w:id="12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пп.1,2 ст.32 Венской конвенции о дипломатических сношениях.</w:t>
      </w:r>
    </w:p>
  </w:footnote>
  <w:footnote w:id="13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ст.26 Венской конвенции о дипломатических сношениях.</w:t>
      </w:r>
    </w:p>
  </w:footnote>
  <w:footnote w:id="14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ст.ст.5-6 Венской конвенции о представительстве государств в их отношениях с международными организациями универсального характера.</w:t>
      </w:r>
    </w:p>
  </w:footnote>
  <w:footnote w:id="15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п. "а" ст.1 Конвенции о специальных миссиях. </w:t>
      </w:r>
    </w:p>
  </w:footnote>
  <w:footnote w:id="16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i/>
          <w:iCs/>
        </w:rPr>
        <w:t>2</w:t>
      </w:r>
      <w:r>
        <w:t>, с.505.</w:t>
      </w:r>
    </w:p>
  </w:footnote>
  <w:footnote w:id="17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ст.5 Венской конвенции о консульских сношениях.</w:t>
      </w:r>
    </w:p>
  </w:footnote>
  <w:footnote w:id="18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ст.11 Венской конвенции о консульских сношениях.</w:t>
      </w:r>
    </w:p>
  </w:footnote>
  <w:footnote w:id="19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ст.12 Венской конвенции о консульских сношениях.</w:t>
      </w:r>
    </w:p>
  </w:footnote>
  <w:footnote w:id="20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ст.31 Венской конвенции о консульских сношениях.</w:t>
      </w:r>
    </w:p>
  </w:footnote>
  <w:footnote w:id="21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ст.33 Венской конвенции о консульских сношениях.</w:t>
      </w:r>
    </w:p>
  </w:footnote>
  <w:footnote w:id="22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ст.39 Венской конвенции о консульских сношениях.</w:t>
      </w:r>
    </w:p>
  </w:footnote>
  <w:footnote w:id="23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ст.37 Венской конвенции о консульских сношениях.</w:t>
      </w:r>
    </w:p>
  </w:footnote>
  <w:footnote w:id="24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ст.29 Венской конвенции о консульских сношениях.</w:t>
      </w:r>
    </w:p>
  </w:footnote>
  <w:footnote w:id="25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пп.1,2 ст.41 Венской конвенции о консульских сношениях.</w:t>
      </w:r>
    </w:p>
  </w:footnote>
  <w:footnote w:id="26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п.1 ст.46 Венской конвенции о консульских сношениях.</w:t>
      </w:r>
    </w:p>
  </w:footnote>
  <w:footnote w:id="27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п.1 ст.47 Венской конвенции о консульских сношениях.</w:t>
      </w:r>
    </w:p>
  </w:footnote>
  <w:footnote w:id="28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ст.43 Венской конвенции о консульских сношениях.</w:t>
      </w:r>
    </w:p>
  </w:footnote>
  <w:footnote w:id="29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ст.44 Венской конвенции о консульских сношениях. </w:t>
      </w:r>
    </w:p>
  </w:footnote>
  <w:footnote w:id="30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ст.45 Венской конвенции о консульских сношениях.</w:t>
      </w:r>
    </w:p>
  </w:footnote>
  <w:footnote w:id="31">
    <w:p w:rsidR="00B11542" w:rsidRDefault="00B11542">
      <w:pPr>
        <w:pStyle w:val="a5"/>
      </w:pPr>
      <w:r>
        <w:rPr>
          <w:rStyle w:val="a3"/>
        </w:rPr>
        <w:footnoteRef/>
      </w:r>
      <w:r>
        <w:t xml:space="preserve"> См.: ст.49 Венской конвенции о консульских сношениях.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C8F"/>
    <w:multiLevelType w:val="multilevel"/>
    <w:tmpl w:val="B854F790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025B1163"/>
    <w:multiLevelType w:val="hybridMultilevel"/>
    <w:tmpl w:val="A73AF0E6"/>
    <w:lvl w:ilvl="0" w:tplc="F32EC25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D21BF4"/>
    <w:multiLevelType w:val="multilevel"/>
    <w:tmpl w:val="E54AEC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053868ED"/>
    <w:multiLevelType w:val="hybridMultilevel"/>
    <w:tmpl w:val="9F0E6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4D5B8E"/>
    <w:multiLevelType w:val="hybridMultilevel"/>
    <w:tmpl w:val="3822EBA4"/>
    <w:lvl w:ilvl="0" w:tplc="A7CCBC1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1427FF"/>
    <w:multiLevelType w:val="hybridMultilevel"/>
    <w:tmpl w:val="F26C9D4C"/>
    <w:lvl w:ilvl="0" w:tplc="05B2C182">
      <w:numFmt w:val="none"/>
      <w:lvlText w:val=""/>
      <w:lvlJc w:val="left"/>
      <w:pPr>
        <w:tabs>
          <w:tab w:val="num" w:pos="360"/>
        </w:tabs>
      </w:pPr>
    </w:lvl>
    <w:lvl w:ilvl="1" w:tplc="16AC277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92744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385F0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E0449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4BEB0B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027BE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221A0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124A8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CA02C6"/>
    <w:multiLevelType w:val="hybridMultilevel"/>
    <w:tmpl w:val="29E0CBE4"/>
    <w:lvl w:ilvl="0" w:tplc="C8B2FE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8403F80"/>
    <w:multiLevelType w:val="hybridMultilevel"/>
    <w:tmpl w:val="BA944020"/>
    <w:lvl w:ilvl="0" w:tplc="434892C2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C344787"/>
    <w:multiLevelType w:val="hybridMultilevel"/>
    <w:tmpl w:val="A94C7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926AEC"/>
    <w:multiLevelType w:val="hybridMultilevel"/>
    <w:tmpl w:val="7F901EF8"/>
    <w:lvl w:ilvl="0" w:tplc="7D2A298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E877B81"/>
    <w:multiLevelType w:val="hybridMultilevel"/>
    <w:tmpl w:val="BC8A8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D63C3E"/>
    <w:multiLevelType w:val="hybridMultilevel"/>
    <w:tmpl w:val="199A7182"/>
    <w:lvl w:ilvl="0" w:tplc="AD66B6D2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385BE6"/>
    <w:multiLevelType w:val="hybridMultilevel"/>
    <w:tmpl w:val="EC0C4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173FBF"/>
    <w:multiLevelType w:val="multilevel"/>
    <w:tmpl w:val="DEA4C5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4">
    <w:nsid w:val="1B93181E"/>
    <w:multiLevelType w:val="hybridMultilevel"/>
    <w:tmpl w:val="A9E2CC04"/>
    <w:lvl w:ilvl="0" w:tplc="220C9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C2A231B"/>
    <w:multiLevelType w:val="hybridMultilevel"/>
    <w:tmpl w:val="55726DA0"/>
    <w:lvl w:ilvl="0" w:tplc="A6C0AE5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0B320D6"/>
    <w:multiLevelType w:val="hybridMultilevel"/>
    <w:tmpl w:val="9788CA32"/>
    <w:lvl w:ilvl="0" w:tplc="4FCA852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52B100B"/>
    <w:multiLevelType w:val="hybridMultilevel"/>
    <w:tmpl w:val="AC9C47C6"/>
    <w:lvl w:ilvl="0" w:tplc="5A1A0ACC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599152C"/>
    <w:multiLevelType w:val="hybridMultilevel"/>
    <w:tmpl w:val="F800BD52"/>
    <w:lvl w:ilvl="0" w:tplc="20C449E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A3A1E88"/>
    <w:multiLevelType w:val="multilevel"/>
    <w:tmpl w:val="740667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0">
    <w:nsid w:val="376448DC"/>
    <w:multiLevelType w:val="hybridMultilevel"/>
    <w:tmpl w:val="091EFCCA"/>
    <w:lvl w:ilvl="0" w:tplc="4EEE8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8DC0C3B"/>
    <w:multiLevelType w:val="hybridMultilevel"/>
    <w:tmpl w:val="210ACE02"/>
    <w:lvl w:ilvl="0" w:tplc="48E04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9EC40F5"/>
    <w:multiLevelType w:val="hybridMultilevel"/>
    <w:tmpl w:val="9FE0C7E4"/>
    <w:lvl w:ilvl="0" w:tplc="D7AED02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AF04953"/>
    <w:multiLevelType w:val="hybridMultilevel"/>
    <w:tmpl w:val="F16426DE"/>
    <w:lvl w:ilvl="0" w:tplc="A80A07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956F9B"/>
    <w:multiLevelType w:val="hybridMultilevel"/>
    <w:tmpl w:val="FC6456B2"/>
    <w:lvl w:ilvl="0" w:tplc="550AB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EE50951"/>
    <w:multiLevelType w:val="hybridMultilevel"/>
    <w:tmpl w:val="E90E6656"/>
    <w:lvl w:ilvl="0" w:tplc="FF342A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0D27159"/>
    <w:multiLevelType w:val="hybridMultilevel"/>
    <w:tmpl w:val="8C8EAB52"/>
    <w:lvl w:ilvl="0" w:tplc="A7E23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2021245"/>
    <w:multiLevelType w:val="hybridMultilevel"/>
    <w:tmpl w:val="414EA4EA"/>
    <w:lvl w:ilvl="0" w:tplc="A8822F1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4BA4E46"/>
    <w:multiLevelType w:val="hybridMultilevel"/>
    <w:tmpl w:val="2242B6CE"/>
    <w:lvl w:ilvl="0" w:tplc="3418E95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6F57016"/>
    <w:multiLevelType w:val="hybridMultilevel"/>
    <w:tmpl w:val="0FF463A6"/>
    <w:lvl w:ilvl="0" w:tplc="2B90AFD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B960D3B"/>
    <w:multiLevelType w:val="hybridMultilevel"/>
    <w:tmpl w:val="A90CB3D4"/>
    <w:lvl w:ilvl="0" w:tplc="EA66CDD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13062C6"/>
    <w:multiLevelType w:val="hybridMultilevel"/>
    <w:tmpl w:val="BE3A6496"/>
    <w:lvl w:ilvl="0" w:tplc="5A22328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4B6094F"/>
    <w:multiLevelType w:val="hybridMultilevel"/>
    <w:tmpl w:val="B4C6B662"/>
    <w:lvl w:ilvl="0" w:tplc="4970B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4F0213"/>
    <w:multiLevelType w:val="hybridMultilevel"/>
    <w:tmpl w:val="933A935A"/>
    <w:lvl w:ilvl="0" w:tplc="023E4D8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E64A64"/>
    <w:multiLevelType w:val="hybridMultilevel"/>
    <w:tmpl w:val="C5F6191A"/>
    <w:lvl w:ilvl="0" w:tplc="09E03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8154500"/>
    <w:multiLevelType w:val="hybridMultilevel"/>
    <w:tmpl w:val="51B62A42"/>
    <w:lvl w:ilvl="0" w:tplc="093A44D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A6D2146"/>
    <w:multiLevelType w:val="multilevel"/>
    <w:tmpl w:val="01A0B6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7">
    <w:nsid w:val="6E6B3C99"/>
    <w:multiLevelType w:val="multilevel"/>
    <w:tmpl w:val="00C6E83E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8">
    <w:nsid w:val="6F3F0C26"/>
    <w:multiLevelType w:val="hybridMultilevel"/>
    <w:tmpl w:val="46C68D0C"/>
    <w:lvl w:ilvl="0" w:tplc="59B4D6CE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126168"/>
    <w:multiLevelType w:val="hybridMultilevel"/>
    <w:tmpl w:val="A87652D4"/>
    <w:lvl w:ilvl="0" w:tplc="CE148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714104B"/>
    <w:multiLevelType w:val="multilevel"/>
    <w:tmpl w:val="1BA638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1">
    <w:nsid w:val="78EF3E5F"/>
    <w:multiLevelType w:val="hybridMultilevel"/>
    <w:tmpl w:val="9536A456"/>
    <w:lvl w:ilvl="0" w:tplc="7A78C88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99938E1"/>
    <w:multiLevelType w:val="multilevel"/>
    <w:tmpl w:val="963AC42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10"/>
  </w:num>
  <w:num w:numId="3">
    <w:abstractNumId w:val="33"/>
  </w:num>
  <w:num w:numId="4">
    <w:abstractNumId w:val="8"/>
  </w:num>
  <w:num w:numId="5">
    <w:abstractNumId w:val="12"/>
  </w:num>
  <w:num w:numId="6">
    <w:abstractNumId w:val="3"/>
  </w:num>
  <w:num w:numId="7">
    <w:abstractNumId w:val="24"/>
  </w:num>
  <w:num w:numId="8">
    <w:abstractNumId w:val="32"/>
  </w:num>
  <w:num w:numId="9">
    <w:abstractNumId w:val="11"/>
  </w:num>
  <w:num w:numId="10">
    <w:abstractNumId w:val="1"/>
  </w:num>
  <w:num w:numId="11">
    <w:abstractNumId w:val="5"/>
  </w:num>
  <w:num w:numId="12">
    <w:abstractNumId w:val="37"/>
  </w:num>
  <w:num w:numId="13">
    <w:abstractNumId w:val="21"/>
  </w:num>
  <w:num w:numId="14">
    <w:abstractNumId w:val="0"/>
  </w:num>
  <w:num w:numId="15">
    <w:abstractNumId w:val="14"/>
  </w:num>
  <w:num w:numId="16">
    <w:abstractNumId w:val="22"/>
  </w:num>
  <w:num w:numId="17">
    <w:abstractNumId w:val="20"/>
  </w:num>
  <w:num w:numId="18">
    <w:abstractNumId w:val="26"/>
  </w:num>
  <w:num w:numId="19">
    <w:abstractNumId w:val="9"/>
  </w:num>
  <w:num w:numId="20">
    <w:abstractNumId w:val="15"/>
  </w:num>
  <w:num w:numId="21">
    <w:abstractNumId w:val="39"/>
  </w:num>
  <w:num w:numId="22">
    <w:abstractNumId w:val="34"/>
  </w:num>
  <w:num w:numId="23">
    <w:abstractNumId w:val="6"/>
  </w:num>
  <w:num w:numId="24">
    <w:abstractNumId w:val="16"/>
  </w:num>
  <w:num w:numId="25">
    <w:abstractNumId w:val="40"/>
  </w:num>
  <w:num w:numId="26">
    <w:abstractNumId w:val="42"/>
  </w:num>
  <w:num w:numId="27">
    <w:abstractNumId w:val="18"/>
  </w:num>
  <w:num w:numId="28">
    <w:abstractNumId w:val="23"/>
  </w:num>
  <w:num w:numId="29">
    <w:abstractNumId w:val="13"/>
  </w:num>
  <w:num w:numId="30">
    <w:abstractNumId w:val="4"/>
  </w:num>
  <w:num w:numId="31">
    <w:abstractNumId w:val="29"/>
  </w:num>
  <w:num w:numId="32">
    <w:abstractNumId w:val="31"/>
  </w:num>
  <w:num w:numId="33">
    <w:abstractNumId w:val="19"/>
  </w:num>
  <w:num w:numId="34">
    <w:abstractNumId w:val="35"/>
  </w:num>
  <w:num w:numId="35">
    <w:abstractNumId w:val="27"/>
  </w:num>
  <w:num w:numId="36">
    <w:abstractNumId w:val="30"/>
  </w:num>
  <w:num w:numId="37">
    <w:abstractNumId w:val="25"/>
  </w:num>
  <w:num w:numId="38">
    <w:abstractNumId w:val="7"/>
  </w:num>
  <w:num w:numId="39">
    <w:abstractNumId w:val="2"/>
  </w:num>
  <w:num w:numId="40">
    <w:abstractNumId w:val="28"/>
  </w:num>
  <w:num w:numId="41">
    <w:abstractNumId w:val="17"/>
  </w:num>
  <w:num w:numId="42">
    <w:abstractNumId w:val="4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4C8"/>
    <w:rsid w:val="008809AE"/>
    <w:rsid w:val="0096754D"/>
    <w:rsid w:val="00B11542"/>
    <w:rsid w:val="00F5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EF6A37-E64D-4B6C-95AA-A73F61C4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footnote text"/>
    <w:basedOn w:val="a"/>
    <w:link w:val="a6"/>
    <w:uiPriority w:val="99"/>
  </w:style>
  <w:style w:type="character" w:customStyle="1" w:styleId="a6">
    <w:name w:val="Текст сноски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9292</Words>
  <Characters>5297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Дипломатическое и консульское право</vt:lpstr>
    </vt:vector>
  </TitlesOfParts>
  <Company>PERSONAL COMPUTERS</Company>
  <LinksUpToDate>false</LinksUpToDate>
  <CharactersWithSpaces>14560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Дипломатическое и консульское право</dc:title>
  <dc:subject/>
  <dc:creator>USER</dc:creator>
  <cp:keywords/>
  <dc:description/>
  <cp:lastModifiedBy>admin</cp:lastModifiedBy>
  <cp:revision>2</cp:revision>
  <dcterms:created xsi:type="dcterms:W3CDTF">2014-01-26T07:10:00Z</dcterms:created>
  <dcterms:modified xsi:type="dcterms:W3CDTF">2014-01-26T07:10:00Z</dcterms:modified>
</cp:coreProperties>
</file>