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642" w:rsidRPr="00910D7B" w:rsidRDefault="00702642" w:rsidP="008A186D">
      <w:pPr>
        <w:spacing w:line="360" w:lineRule="auto"/>
        <w:jc w:val="center"/>
        <w:rPr>
          <w:b/>
          <w:sz w:val="28"/>
          <w:szCs w:val="28"/>
        </w:rPr>
      </w:pPr>
      <w:r w:rsidRPr="008A186D">
        <w:rPr>
          <w:b/>
          <w:sz w:val="28"/>
          <w:szCs w:val="28"/>
        </w:rPr>
        <w:t>Введение</w:t>
      </w:r>
    </w:p>
    <w:p w:rsidR="008A186D" w:rsidRPr="00910D7B" w:rsidRDefault="008A186D" w:rsidP="008A186D">
      <w:pPr>
        <w:spacing w:line="360" w:lineRule="auto"/>
        <w:jc w:val="center"/>
        <w:rPr>
          <w:b/>
          <w:sz w:val="28"/>
          <w:szCs w:val="28"/>
        </w:rPr>
      </w:pPr>
    </w:p>
    <w:p w:rsidR="00702642" w:rsidRPr="008A186D" w:rsidRDefault="00702642" w:rsidP="008A186D">
      <w:pPr>
        <w:spacing w:line="360" w:lineRule="auto"/>
        <w:ind w:firstLine="720"/>
        <w:jc w:val="both"/>
        <w:rPr>
          <w:sz w:val="28"/>
          <w:szCs w:val="28"/>
        </w:rPr>
      </w:pPr>
      <w:r w:rsidRPr="008A186D">
        <w:rPr>
          <w:sz w:val="28"/>
          <w:szCs w:val="28"/>
        </w:rPr>
        <w:t xml:space="preserve">Печень - центральная лаборатория организма, где обезвреживаются и выводятся с желчью все вредные и ядовитые вещества, поступающие из желудочно-кишечного тракта и внешней среды. При хорошей функции печени все органы и системы организма работают исправно. </w:t>
      </w:r>
    </w:p>
    <w:p w:rsidR="00702642" w:rsidRPr="008A186D" w:rsidRDefault="00702642" w:rsidP="008A186D">
      <w:pPr>
        <w:spacing w:line="360" w:lineRule="auto"/>
        <w:ind w:firstLine="720"/>
        <w:jc w:val="both"/>
        <w:rPr>
          <w:sz w:val="28"/>
          <w:szCs w:val="28"/>
        </w:rPr>
      </w:pPr>
      <w:r w:rsidRPr="008A186D">
        <w:rPr>
          <w:sz w:val="28"/>
          <w:szCs w:val="28"/>
        </w:rPr>
        <w:t>Некоторые яды (алкоголь, табак, лекарства, соли тяжелых металлов) вирусы, бактерии, нарушают работу печеночных клеток, что ведет к нарушению жирового, белкового, углеводного обмена, отложению холестерина, липидов и извести в печени - гепатит, цирроз, жировая дистрофия; в желчных путях и желчном пузыре - желчно-каменная болезнь, холангит, холецистит; в поджелудочной железе - склероз поджелудочной железы, панкреатит; в сосудах - ишемическая болезнь, инфаркт, инсульт, параличи, в суставах - полиартрит, подагра и развивается ряд тяжелых заболеваний.</w:t>
      </w:r>
    </w:p>
    <w:p w:rsidR="008A186D" w:rsidRDefault="00702642" w:rsidP="008A186D">
      <w:pPr>
        <w:spacing w:line="360" w:lineRule="auto"/>
        <w:ind w:firstLine="720"/>
        <w:jc w:val="both"/>
        <w:rPr>
          <w:sz w:val="28"/>
          <w:szCs w:val="28"/>
        </w:rPr>
      </w:pPr>
      <w:r w:rsidRPr="008A186D">
        <w:rPr>
          <w:sz w:val="28"/>
          <w:szCs w:val="28"/>
        </w:rPr>
        <w:t>Цель реферата – дать определение дискенизии.</w:t>
      </w:r>
    </w:p>
    <w:p w:rsidR="00702642" w:rsidRPr="008A186D" w:rsidRDefault="008A186D" w:rsidP="008A186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2642" w:rsidRPr="008A186D">
        <w:rPr>
          <w:sz w:val="28"/>
          <w:szCs w:val="28"/>
        </w:rPr>
        <w:t xml:space="preserve">Дискенизия желчевыводящих путей (правильное название холецистит)- это функциональные нарушения моторики желчного пузыря и желчевыводящих путей, которые проявляются различного характера болями в правом подреберье. Чаще всего дискенизии являются результатом нарушения нейрогуморальной регуляции желчевыведения и патологических импульсов из соседних органов, а также перенесенного острого гепатита. </w:t>
      </w:r>
    </w:p>
    <w:p w:rsidR="00702642" w:rsidRPr="008A186D" w:rsidRDefault="00702642" w:rsidP="008A186D">
      <w:pPr>
        <w:spacing w:line="360" w:lineRule="auto"/>
        <w:ind w:firstLine="720"/>
        <w:jc w:val="both"/>
        <w:rPr>
          <w:sz w:val="28"/>
          <w:szCs w:val="28"/>
        </w:rPr>
      </w:pPr>
      <w:r w:rsidRPr="008A186D">
        <w:rPr>
          <w:sz w:val="28"/>
          <w:szCs w:val="28"/>
        </w:rPr>
        <w:t xml:space="preserve">Дискенизия желчевыводящих путей несколько устаревший термин. В настоящее время выделяют дискенизию сфинктера Одди и желчного пузыря. В зависимости от тонуса желчевыводящих путей выделяют гипертонически-гиперкинетическую (с повышенным тонусом) и гипотонически-гипокинетическую (с пониженным тонусом) формы. </w:t>
      </w:r>
    </w:p>
    <w:p w:rsidR="00702642" w:rsidRDefault="00702642" w:rsidP="008A186D">
      <w:pPr>
        <w:spacing w:line="360" w:lineRule="auto"/>
        <w:ind w:firstLine="720"/>
        <w:jc w:val="both"/>
        <w:rPr>
          <w:sz w:val="28"/>
          <w:szCs w:val="28"/>
        </w:rPr>
      </w:pPr>
      <w:r w:rsidRPr="008A186D">
        <w:rPr>
          <w:sz w:val="28"/>
          <w:szCs w:val="28"/>
        </w:rPr>
        <w:t>Разграничить эти 2 формы необходимо, т.к. способы лечения их разнятся. Проще всего это сделать с помощью ульразвукового исследования желчного пузыря (узи).</w:t>
      </w:r>
    </w:p>
    <w:p w:rsidR="00910D7B" w:rsidRPr="008A186D" w:rsidRDefault="00910D7B" w:rsidP="00910D7B">
      <w:pPr>
        <w:spacing w:line="360" w:lineRule="auto"/>
        <w:ind w:firstLine="720"/>
        <w:jc w:val="center"/>
        <w:rPr>
          <w:sz w:val="28"/>
          <w:szCs w:val="28"/>
        </w:rPr>
      </w:pPr>
    </w:p>
    <w:p w:rsidR="00702642" w:rsidRDefault="00702642" w:rsidP="00910D7B">
      <w:pPr>
        <w:spacing w:line="360" w:lineRule="auto"/>
        <w:ind w:firstLine="720"/>
        <w:jc w:val="center"/>
        <w:rPr>
          <w:sz w:val="28"/>
          <w:szCs w:val="28"/>
        </w:rPr>
      </w:pPr>
      <w:r w:rsidRPr="008A186D">
        <w:rPr>
          <w:sz w:val="28"/>
          <w:szCs w:val="28"/>
        </w:rPr>
        <w:t>Лечение дискенизии желчевыводяших путей</w:t>
      </w:r>
    </w:p>
    <w:p w:rsidR="00910D7B" w:rsidRPr="008A186D" w:rsidRDefault="00910D7B" w:rsidP="00910D7B">
      <w:pPr>
        <w:spacing w:line="360" w:lineRule="auto"/>
        <w:ind w:firstLine="720"/>
        <w:jc w:val="center"/>
        <w:rPr>
          <w:sz w:val="28"/>
          <w:szCs w:val="28"/>
        </w:rPr>
      </w:pPr>
    </w:p>
    <w:p w:rsidR="00702642" w:rsidRPr="008A186D" w:rsidRDefault="00702642" w:rsidP="008A186D">
      <w:pPr>
        <w:spacing w:line="360" w:lineRule="auto"/>
        <w:ind w:firstLine="720"/>
        <w:jc w:val="both"/>
        <w:rPr>
          <w:sz w:val="28"/>
          <w:szCs w:val="28"/>
        </w:rPr>
      </w:pPr>
      <w:r w:rsidRPr="008A186D">
        <w:rPr>
          <w:sz w:val="28"/>
          <w:szCs w:val="28"/>
        </w:rPr>
        <w:t xml:space="preserve">При гипертонически-гиперкинетической форме рекомендуются следующие сборы: </w:t>
      </w:r>
    </w:p>
    <w:p w:rsidR="00702642" w:rsidRPr="008A186D" w:rsidRDefault="00702642" w:rsidP="008A186D">
      <w:pPr>
        <w:spacing w:line="360" w:lineRule="auto"/>
        <w:ind w:firstLine="720"/>
        <w:jc w:val="both"/>
        <w:rPr>
          <w:sz w:val="28"/>
          <w:szCs w:val="28"/>
        </w:rPr>
      </w:pPr>
      <w:r w:rsidRPr="008A186D">
        <w:rPr>
          <w:sz w:val="28"/>
          <w:szCs w:val="28"/>
        </w:rPr>
        <w:t xml:space="preserve">цветки бессмертника, лист березы, трава душицы, трава зверобоя, цветки календулы, трава мяты - поровну </w:t>
      </w:r>
    </w:p>
    <w:p w:rsidR="00702642" w:rsidRPr="008A186D" w:rsidRDefault="00702642" w:rsidP="008A186D">
      <w:pPr>
        <w:spacing w:line="360" w:lineRule="auto"/>
        <w:ind w:firstLine="720"/>
        <w:jc w:val="both"/>
        <w:rPr>
          <w:sz w:val="28"/>
          <w:szCs w:val="28"/>
        </w:rPr>
      </w:pPr>
      <w:r w:rsidRPr="008A186D">
        <w:rPr>
          <w:sz w:val="28"/>
          <w:szCs w:val="28"/>
        </w:rPr>
        <w:t xml:space="preserve">трава тысячелистника, плоды укропа, шишки хмеля, трава чистотела, плоды шиповника, трава полыни - поровну </w:t>
      </w:r>
    </w:p>
    <w:p w:rsidR="00702642" w:rsidRPr="008A186D" w:rsidRDefault="00702642" w:rsidP="008A186D">
      <w:pPr>
        <w:spacing w:line="360" w:lineRule="auto"/>
        <w:ind w:firstLine="720"/>
        <w:jc w:val="both"/>
        <w:rPr>
          <w:sz w:val="28"/>
          <w:szCs w:val="28"/>
        </w:rPr>
      </w:pPr>
      <w:r w:rsidRPr="008A186D">
        <w:rPr>
          <w:sz w:val="28"/>
          <w:szCs w:val="28"/>
        </w:rPr>
        <w:t xml:space="preserve">почки березы, трава душицы, трава зверобоя, цветки бессмертника, курильский чай, трава полыни - поровну </w:t>
      </w:r>
    </w:p>
    <w:p w:rsidR="00702642" w:rsidRPr="008A186D" w:rsidRDefault="00702642" w:rsidP="008A186D">
      <w:pPr>
        <w:spacing w:line="360" w:lineRule="auto"/>
        <w:ind w:firstLine="720"/>
        <w:jc w:val="both"/>
        <w:rPr>
          <w:sz w:val="28"/>
          <w:szCs w:val="28"/>
        </w:rPr>
      </w:pPr>
      <w:r w:rsidRPr="008A186D">
        <w:rPr>
          <w:sz w:val="28"/>
          <w:szCs w:val="28"/>
        </w:rPr>
        <w:t xml:space="preserve">плоды шиповника, трава мяты, трава чистотела, трава душицы, корень валерианы, цветки василька, плоды укропа -поровну </w:t>
      </w:r>
    </w:p>
    <w:p w:rsidR="00702642" w:rsidRPr="008A186D" w:rsidRDefault="00702642" w:rsidP="008A186D">
      <w:pPr>
        <w:spacing w:line="360" w:lineRule="auto"/>
        <w:ind w:firstLine="720"/>
        <w:jc w:val="both"/>
        <w:rPr>
          <w:sz w:val="28"/>
          <w:szCs w:val="28"/>
        </w:rPr>
      </w:pPr>
      <w:r w:rsidRPr="008A186D">
        <w:rPr>
          <w:sz w:val="28"/>
          <w:szCs w:val="28"/>
        </w:rPr>
        <w:t xml:space="preserve">цветки ромашки, цветки календулы, шишки хмеля, плоды укропа, трава мяты, трава тысячелистника - поровну </w:t>
      </w:r>
    </w:p>
    <w:p w:rsidR="00702642" w:rsidRPr="008A186D" w:rsidRDefault="00702642" w:rsidP="008A186D">
      <w:pPr>
        <w:spacing w:line="360" w:lineRule="auto"/>
        <w:ind w:firstLine="720"/>
        <w:jc w:val="both"/>
        <w:rPr>
          <w:sz w:val="28"/>
          <w:szCs w:val="28"/>
        </w:rPr>
      </w:pPr>
      <w:r w:rsidRPr="008A186D">
        <w:rPr>
          <w:sz w:val="28"/>
          <w:szCs w:val="28"/>
        </w:rPr>
        <w:t xml:space="preserve">шишки хмеля, трава чистотела, трава тысячелистника, трава мяты, трава зверобоя, цветки ромашки - поровну </w:t>
      </w:r>
    </w:p>
    <w:p w:rsidR="00702642" w:rsidRPr="008A186D" w:rsidRDefault="00702642" w:rsidP="008A186D">
      <w:pPr>
        <w:spacing w:line="360" w:lineRule="auto"/>
        <w:ind w:firstLine="720"/>
        <w:jc w:val="both"/>
        <w:rPr>
          <w:sz w:val="28"/>
          <w:szCs w:val="28"/>
        </w:rPr>
      </w:pPr>
      <w:r w:rsidRPr="008A186D">
        <w:rPr>
          <w:sz w:val="28"/>
          <w:szCs w:val="28"/>
        </w:rPr>
        <w:t xml:space="preserve">При гипотонически-гипокинетической форме дискенизий показаны следующие сборы: </w:t>
      </w:r>
    </w:p>
    <w:p w:rsidR="00702642" w:rsidRPr="008A186D" w:rsidRDefault="00702642" w:rsidP="008A186D">
      <w:pPr>
        <w:spacing w:line="360" w:lineRule="auto"/>
        <w:ind w:firstLine="720"/>
        <w:jc w:val="both"/>
        <w:rPr>
          <w:sz w:val="28"/>
          <w:szCs w:val="28"/>
        </w:rPr>
      </w:pPr>
      <w:r w:rsidRPr="008A186D">
        <w:rPr>
          <w:sz w:val="28"/>
          <w:szCs w:val="28"/>
        </w:rPr>
        <w:t xml:space="preserve">почки березы, лист кипрея, корень или трава цикория, плоды шиповника, кукурузные рыльца, плоды кориандра - поровну </w:t>
      </w:r>
    </w:p>
    <w:p w:rsidR="00702642" w:rsidRPr="008A186D" w:rsidRDefault="00702642" w:rsidP="008A186D">
      <w:pPr>
        <w:spacing w:line="360" w:lineRule="auto"/>
        <w:ind w:firstLine="720"/>
        <w:jc w:val="both"/>
        <w:rPr>
          <w:sz w:val="28"/>
          <w:szCs w:val="28"/>
        </w:rPr>
      </w:pPr>
      <w:r w:rsidRPr="008A186D">
        <w:rPr>
          <w:sz w:val="28"/>
          <w:szCs w:val="28"/>
        </w:rPr>
        <w:t xml:space="preserve">трава мяты, плоды клюквы, трава душицы, трава зверобоя, трава золототысячника, плоды кориандра - поровну </w:t>
      </w:r>
    </w:p>
    <w:p w:rsidR="00702642" w:rsidRPr="008A186D" w:rsidRDefault="00702642" w:rsidP="008A186D">
      <w:pPr>
        <w:spacing w:line="360" w:lineRule="auto"/>
        <w:ind w:firstLine="720"/>
        <w:jc w:val="both"/>
        <w:rPr>
          <w:sz w:val="28"/>
          <w:szCs w:val="28"/>
        </w:rPr>
      </w:pPr>
      <w:r w:rsidRPr="008A186D">
        <w:rPr>
          <w:sz w:val="28"/>
          <w:szCs w:val="28"/>
        </w:rPr>
        <w:t xml:space="preserve">цветки пижмы, плоды кориандра, цветки ромашки, корень или трава цикория, трава мяты, трава зверобоя, корень ревеня </w:t>
      </w:r>
    </w:p>
    <w:p w:rsidR="00702642" w:rsidRPr="008A186D" w:rsidRDefault="00702642" w:rsidP="008A186D">
      <w:pPr>
        <w:spacing w:line="360" w:lineRule="auto"/>
        <w:ind w:firstLine="720"/>
        <w:jc w:val="both"/>
        <w:rPr>
          <w:sz w:val="28"/>
          <w:szCs w:val="28"/>
        </w:rPr>
      </w:pPr>
      <w:r w:rsidRPr="008A186D">
        <w:rPr>
          <w:sz w:val="28"/>
          <w:szCs w:val="28"/>
        </w:rPr>
        <w:t xml:space="preserve">трава мяты, корень ревеня, трава золототысячника, трава горечавки, трава душицы, корень одуванчика - поровну </w:t>
      </w:r>
    </w:p>
    <w:p w:rsidR="00702642" w:rsidRPr="008A186D" w:rsidRDefault="00702642" w:rsidP="008A186D">
      <w:pPr>
        <w:spacing w:line="360" w:lineRule="auto"/>
        <w:ind w:firstLine="720"/>
        <w:jc w:val="both"/>
        <w:rPr>
          <w:sz w:val="28"/>
          <w:szCs w:val="28"/>
        </w:rPr>
      </w:pPr>
      <w:r w:rsidRPr="008A186D">
        <w:rPr>
          <w:sz w:val="28"/>
          <w:szCs w:val="28"/>
        </w:rPr>
        <w:t xml:space="preserve">корень одуванчика, корень ревеня, цветки пижмы, плоды шиповника, трава тысячелистника, плоды кориандра - поровну </w:t>
      </w:r>
    </w:p>
    <w:p w:rsidR="00702642" w:rsidRPr="008A186D" w:rsidRDefault="00702642" w:rsidP="008A186D">
      <w:pPr>
        <w:spacing w:line="360" w:lineRule="auto"/>
        <w:ind w:firstLine="720"/>
        <w:jc w:val="both"/>
        <w:rPr>
          <w:sz w:val="28"/>
          <w:szCs w:val="28"/>
        </w:rPr>
      </w:pPr>
      <w:r w:rsidRPr="008A186D">
        <w:rPr>
          <w:sz w:val="28"/>
          <w:szCs w:val="28"/>
        </w:rPr>
        <w:t xml:space="preserve">Для детей рекомендуют готовить настои и отвары в следующей суточной дозе сухого лекарственного сбора: до 1 года - 1/2 - 1 ч. ложка, от 1 до 3 лет - 1 ч. ложка, от 3 до 6 лет - 1 десертная ложка, от 6 до 10 лет - 1 ст. ложка, старше 10 лет и взрослым - 2 ст. ложки сбора. </w:t>
      </w:r>
    </w:p>
    <w:p w:rsidR="00702642" w:rsidRPr="008A186D" w:rsidRDefault="00702642" w:rsidP="008A186D">
      <w:pPr>
        <w:spacing w:line="360" w:lineRule="auto"/>
        <w:ind w:firstLine="720"/>
        <w:jc w:val="both"/>
        <w:rPr>
          <w:sz w:val="28"/>
          <w:szCs w:val="28"/>
        </w:rPr>
      </w:pPr>
      <w:r w:rsidRPr="008A186D">
        <w:rPr>
          <w:sz w:val="28"/>
          <w:szCs w:val="28"/>
        </w:rPr>
        <w:t xml:space="preserve">Приготовление сборов: 2 столовых ложки предварительно измельченного (в кофемолке или мясорубке) сбора залить 1 литром кипятка, довести до кипения, кипятить на медленном огне 10 минут в закрытой посуде, слить вместе с травой в термос, настаивать ночь. Принять в течение дня по 100-150 мл за 30 минут до еды. Для улучшения вкуса можно добавить мед, сахар, варенье. Курс непрерывного лечения - 3-4 месяца. После чего перейти на 4 недельные курсы 4-5 раз в год. </w:t>
      </w:r>
    </w:p>
    <w:p w:rsidR="00702642" w:rsidRPr="008A186D" w:rsidRDefault="00702642" w:rsidP="008A186D">
      <w:pPr>
        <w:spacing w:line="360" w:lineRule="auto"/>
        <w:ind w:firstLine="720"/>
        <w:jc w:val="both"/>
        <w:rPr>
          <w:sz w:val="28"/>
          <w:szCs w:val="28"/>
        </w:rPr>
      </w:pPr>
      <w:r w:rsidRPr="008A186D">
        <w:rPr>
          <w:sz w:val="28"/>
          <w:szCs w:val="28"/>
        </w:rPr>
        <w:t xml:space="preserve">Сборы трав могут применяться в сочетании с другими лекарствами. </w:t>
      </w:r>
    </w:p>
    <w:p w:rsidR="00702642" w:rsidRPr="008A186D" w:rsidRDefault="00702642" w:rsidP="008A186D">
      <w:pPr>
        <w:spacing w:line="360" w:lineRule="auto"/>
        <w:ind w:firstLine="720"/>
        <w:jc w:val="both"/>
        <w:rPr>
          <w:sz w:val="28"/>
          <w:szCs w:val="28"/>
        </w:rPr>
      </w:pPr>
      <w:r w:rsidRPr="008A186D">
        <w:rPr>
          <w:sz w:val="28"/>
          <w:szCs w:val="28"/>
        </w:rPr>
        <w:t>Улучшение при фитотерапии наступает через 2-3 недели регулярного приема трав. Однако стойкий эффект может быть достигнут лишь в случае длительного и регулярного применения трав. Перед тем, как принимать тот или иной сбор, желательно ознакомиться с противопоказаниями к травам, входящим в состав этого сбора.</w:t>
      </w:r>
    </w:p>
    <w:p w:rsidR="006870E2" w:rsidRPr="008A186D" w:rsidRDefault="006870E2" w:rsidP="008A186D">
      <w:pPr>
        <w:spacing w:line="360" w:lineRule="auto"/>
        <w:ind w:firstLine="720"/>
        <w:jc w:val="both"/>
        <w:rPr>
          <w:sz w:val="28"/>
          <w:szCs w:val="28"/>
        </w:rPr>
      </w:pPr>
      <w:r w:rsidRPr="008A186D">
        <w:rPr>
          <w:sz w:val="28"/>
          <w:szCs w:val="28"/>
        </w:rPr>
        <w:t>При дискенизии желчных путей, а также многих других заболевания</w:t>
      </w:r>
      <w:r w:rsidR="002C0ADB" w:rsidRPr="008A186D">
        <w:rPr>
          <w:sz w:val="28"/>
          <w:szCs w:val="28"/>
        </w:rPr>
        <w:t>х</w:t>
      </w:r>
      <w:r w:rsidRPr="008A186D">
        <w:rPr>
          <w:sz w:val="28"/>
          <w:szCs w:val="28"/>
        </w:rPr>
        <w:t xml:space="preserve"> рекомендуются занятия тайцзицюань. Тайцзицюань - это древнее искусство в настоящее время всё больше находит приверженцев, которые видят в нём оздоровительный эффект, а также средство для снятия стресса. Широко применяется в китайских и западноевропейских клиниках, в отделениях реабилитации. В нашей стране этот вопрос</w:t>
      </w:r>
      <w:r w:rsidR="002C0ADB" w:rsidRPr="008A186D">
        <w:rPr>
          <w:sz w:val="28"/>
          <w:szCs w:val="28"/>
        </w:rPr>
        <w:t xml:space="preserve"> не изучен. Регулярные занятия т</w:t>
      </w:r>
      <w:r w:rsidRPr="008A186D">
        <w:rPr>
          <w:sz w:val="28"/>
          <w:szCs w:val="28"/>
        </w:rPr>
        <w:t xml:space="preserve">айцзицюань полезны для оздоровления нервной системы, при заболеваниях органов дыхания, сердечно-сосудистой и пищеварительной систем, улучшают обмен веществ, </w:t>
      </w:r>
      <w:r w:rsidR="00655145" w:rsidRPr="008A186D">
        <w:rPr>
          <w:sz w:val="28"/>
          <w:szCs w:val="28"/>
        </w:rPr>
        <w:t>способствуют</w:t>
      </w:r>
      <w:r w:rsidRPr="008A186D">
        <w:rPr>
          <w:sz w:val="28"/>
          <w:szCs w:val="28"/>
        </w:rPr>
        <w:t xml:space="preserve"> укреплению мышц, суставов и сухожилий. Медленные шаги с чередованием напряжения и расслабления мышц голени, с постоянным переносом веса тела с одной ноги на другую способствуют улучшению кровоснабжению и лимфообращению в нижних конечностях. </w:t>
      </w:r>
    </w:p>
    <w:p w:rsidR="006870E2" w:rsidRPr="008A186D" w:rsidRDefault="006870E2" w:rsidP="008A186D">
      <w:pPr>
        <w:spacing w:line="360" w:lineRule="auto"/>
        <w:ind w:firstLine="720"/>
        <w:jc w:val="both"/>
        <w:rPr>
          <w:sz w:val="28"/>
          <w:szCs w:val="28"/>
        </w:rPr>
      </w:pPr>
      <w:r w:rsidRPr="008A186D">
        <w:rPr>
          <w:sz w:val="28"/>
          <w:szCs w:val="28"/>
        </w:rPr>
        <w:t xml:space="preserve">Медленные расслабленные движения, из комплекса </w:t>
      </w:r>
      <w:r w:rsidR="002C0ADB" w:rsidRPr="008A186D">
        <w:rPr>
          <w:sz w:val="28"/>
          <w:szCs w:val="28"/>
        </w:rPr>
        <w:t>т</w:t>
      </w:r>
      <w:r w:rsidRPr="008A186D">
        <w:rPr>
          <w:sz w:val="28"/>
          <w:szCs w:val="28"/>
        </w:rPr>
        <w:t xml:space="preserve">айцзицюань, по округлой траектории в сочетании с дыханием и концентрацией внимания на биологически активных точках помогают утром настроиться и мобилизироваться к предстоящей работе, а вечером снимают усталость и напряжение после трудового дня, подготавливают организм ко сну благодаря нормализующему влиянию на тонус центральной нервной системы (ЦНС), антистрессовому воздействию. Улучшается центральное и периферическое кровообращение в органах и тканях. В результате нормализуется обмен веществ в организме человека. Ритмичное изменение внутрибрюшного давления при правильном диафрагмальном дыхании способствует усилению кровообращения в органах брюшной полости, движению крови по нижней полой вене к сердцу. Одновременно осуществляется своеобразный ритмичный массаж органов брюшной полости, что оказывает благоприятное воздействие на их функцию. </w:t>
      </w:r>
    </w:p>
    <w:p w:rsidR="006870E2" w:rsidRPr="008A186D" w:rsidRDefault="006870E2" w:rsidP="008A186D">
      <w:pPr>
        <w:spacing w:line="360" w:lineRule="auto"/>
        <w:ind w:firstLine="720"/>
        <w:jc w:val="both"/>
        <w:rPr>
          <w:sz w:val="28"/>
          <w:szCs w:val="28"/>
        </w:rPr>
      </w:pPr>
      <w:r w:rsidRPr="008A186D">
        <w:rPr>
          <w:sz w:val="28"/>
          <w:szCs w:val="28"/>
        </w:rPr>
        <w:t xml:space="preserve">Повышение собственной чувствительности организма, концентрация внимания на биологически-активных точках улучшают кровообращение, способствуют профилактике заболеваний, увеличению продолжительности жизни человека. </w:t>
      </w:r>
    </w:p>
    <w:p w:rsidR="008A186D" w:rsidRDefault="006870E2" w:rsidP="008A186D">
      <w:pPr>
        <w:spacing w:line="360" w:lineRule="auto"/>
        <w:ind w:firstLine="720"/>
        <w:jc w:val="both"/>
        <w:rPr>
          <w:sz w:val="28"/>
          <w:szCs w:val="28"/>
        </w:rPr>
      </w:pPr>
      <w:r w:rsidRPr="008A186D">
        <w:rPr>
          <w:sz w:val="28"/>
          <w:szCs w:val="28"/>
        </w:rPr>
        <w:t xml:space="preserve">Тайцзицюань могут заниматься мужчины и женщины любого возраста. Режим тренировок должен строиться с учётом состояния здоровья и физической подготовленности занимающегося. </w:t>
      </w:r>
    </w:p>
    <w:p w:rsidR="00702642" w:rsidRPr="008A186D" w:rsidRDefault="008A186D" w:rsidP="008A186D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655145" w:rsidRPr="008A186D">
        <w:rPr>
          <w:b/>
          <w:sz w:val="28"/>
          <w:szCs w:val="28"/>
        </w:rPr>
        <w:t>С</w:t>
      </w:r>
      <w:r w:rsidR="00702642" w:rsidRPr="008A186D">
        <w:rPr>
          <w:b/>
          <w:sz w:val="28"/>
          <w:szCs w:val="28"/>
        </w:rPr>
        <w:t>писок литературы</w:t>
      </w:r>
    </w:p>
    <w:p w:rsidR="008A186D" w:rsidRPr="008A186D" w:rsidRDefault="008A186D" w:rsidP="008A186D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6870E2" w:rsidRPr="008A186D" w:rsidRDefault="006870E2" w:rsidP="008A186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A186D">
        <w:rPr>
          <w:sz w:val="28"/>
          <w:szCs w:val="28"/>
        </w:rPr>
        <w:t>Болезни и методы их лечения. - М., 1993.</w:t>
      </w:r>
    </w:p>
    <w:p w:rsidR="006870E2" w:rsidRPr="008A186D" w:rsidRDefault="006870E2" w:rsidP="008A186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A186D">
        <w:rPr>
          <w:sz w:val="28"/>
          <w:szCs w:val="28"/>
        </w:rPr>
        <w:t xml:space="preserve">Клиническая иммунология и аллергология. Под редакцией Г.Лорора-младшего и соавтр. – М.: Практика, 2000. </w:t>
      </w:r>
    </w:p>
    <w:p w:rsidR="00E57262" w:rsidRPr="008A186D" w:rsidRDefault="00655145" w:rsidP="008A186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A186D">
        <w:rPr>
          <w:sz w:val="28"/>
          <w:szCs w:val="28"/>
        </w:rPr>
        <w:t>Оздоровительные аспекты при занятиях тайцзицюань. – М., 1999.</w:t>
      </w:r>
      <w:bookmarkStart w:id="0" w:name="_GoBack"/>
      <w:bookmarkEnd w:id="0"/>
    </w:p>
    <w:sectPr w:rsidR="00E57262" w:rsidRPr="008A186D" w:rsidSect="008A186D">
      <w:headerReference w:type="even" r:id="rId7"/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81C" w:rsidRDefault="00B3581C">
      <w:r>
        <w:separator/>
      </w:r>
    </w:p>
  </w:endnote>
  <w:endnote w:type="continuationSeparator" w:id="0">
    <w:p w:rsidR="00B3581C" w:rsidRDefault="00B3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86D" w:rsidRDefault="008A186D" w:rsidP="00E416DC">
    <w:pPr>
      <w:pStyle w:val="a8"/>
      <w:framePr w:wrap="around" w:vAnchor="text" w:hAnchor="margin" w:xAlign="right" w:y="1"/>
      <w:rPr>
        <w:rStyle w:val="a7"/>
      </w:rPr>
    </w:pPr>
  </w:p>
  <w:p w:rsidR="008A186D" w:rsidRDefault="008A186D" w:rsidP="008A186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86D" w:rsidRDefault="009D2731" w:rsidP="00E416DC">
    <w:pPr>
      <w:pStyle w:val="a8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8A186D" w:rsidRDefault="008A186D" w:rsidP="008A186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81C" w:rsidRDefault="00B3581C">
      <w:r>
        <w:separator/>
      </w:r>
    </w:p>
  </w:footnote>
  <w:footnote w:type="continuationSeparator" w:id="0">
    <w:p w:rsidR="00B3581C" w:rsidRDefault="00B35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ADB" w:rsidRDefault="002C0ADB" w:rsidP="00655145">
    <w:pPr>
      <w:pStyle w:val="a5"/>
      <w:framePr w:wrap="around" w:vAnchor="text" w:hAnchor="margin" w:xAlign="center" w:y="1"/>
      <w:rPr>
        <w:rStyle w:val="a7"/>
      </w:rPr>
    </w:pPr>
  </w:p>
  <w:p w:rsidR="002C0ADB" w:rsidRDefault="002C0AD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C5654"/>
    <w:multiLevelType w:val="multilevel"/>
    <w:tmpl w:val="3164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DD6300"/>
    <w:multiLevelType w:val="multilevel"/>
    <w:tmpl w:val="685E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40D1DD5"/>
    <w:multiLevelType w:val="multilevel"/>
    <w:tmpl w:val="3B16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6F7C59"/>
    <w:multiLevelType w:val="hybridMultilevel"/>
    <w:tmpl w:val="794CF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5AF1805"/>
    <w:multiLevelType w:val="hybridMultilevel"/>
    <w:tmpl w:val="F0D49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1579"/>
    <w:rsid w:val="001F11A7"/>
    <w:rsid w:val="002C0ADB"/>
    <w:rsid w:val="002C33F4"/>
    <w:rsid w:val="00396EE6"/>
    <w:rsid w:val="00655145"/>
    <w:rsid w:val="006870E2"/>
    <w:rsid w:val="00702642"/>
    <w:rsid w:val="008A186D"/>
    <w:rsid w:val="008E0F09"/>
    <w:rsid w:val="00910D7B"/>
    <w:rsid w:val="009D2731"/>
    <w:rsid w:val="00B3581C"/>
    <w:rsid w:val="00BE1959"/>
    <w:rsid w:val="00E416DC"/>
    <w:rsid w:val="00E57262"/>
    <w:rsid w:val="00EA6CD3"/>
    <w:rsid w:val="00F7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5FB2D0-CF6E-4D7B-84F0-3053C97D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ko-KR"/>
    </w:rPr>
  </w:style>
  <w:style w:type="paragraph" w:styleId="2">
    <w:name w:val="heading 2"/>
    <w:basedOn w:val="a"/>
    <w:link w:val="20"/>
    <w:uiPriority w:val="99"/>
    <w:qFormat/>
    <w:rsid w:val="007026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  <w:style w:type="paragraph" w:styleId="a3">
    <w:name w:val="Normal (Web)"/>
    <w:basedOn w:val="a"/>
    <w:uiPriority w:val="99"/>
    <w:rsid w:val="00702642"/>
    <w:pPr>
      <w:spacing w:before="100" w:beforeAutospacing="1" w:after="100" w:afterAutospacing="1"/>
    </w:pPr>
  </w:style>
  <w:style w:type="character" w:styleId="a4">
    <w:name w:val="Hyperlink"/>
    <w:uiPriority w:val="99"/>
    <w:rsid w:val="00702642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6551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  <w:lang w:eastAsia="ko-KR"/>
    </w:rPr>
  </w:style>
  <w:style w:type="character" w:styleId="a7">
    <w:name w:val="page number"/>
    <w:uiPriority w:val="99"/>
    <w:rsid w:val="00655145"/>
    <w:rPr>
      <w:rFonts w:cs="Times New Roman"/>
    </w:rPr>
  </w:style>
  <w:style w:type="paragraph" w:styleId="a8">
    <w:name w:val="footer"/>
    <w:basedOn w:val="a"/>
    <w:link w:val="a9"/>
    <w:uiPriority w:val="99"/>
    <w:rsid w:val="008A18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6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1041">
          <w:marLeft w:val="0"/>
          <w:marRight w:val="-25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61042">
              <w:marLeft w:val="0"/>
              <w:marRight w:val="25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044">
                  <w:marLeft w:val="257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</vt:lpstr>
    </vt:vector>
  </TitlesOfParts>
  <Company>1</Company>
  <LinksUpToDate>false</LinksUpToDate>
  <CharactersWithSpaces>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</dc:title>
  <dc:subject/>
  <dc:creator>Марина</dc:creator>
  <cp:keywords/>
  <dc:description/>
  <cp:lastModifiedBy>admin</cp:lastModifiedBy>
  <cp:revision>2</cp:revision>
  <cp:lastPrinted>2005-06-12T22:25:00Z</cp:lastPrinted>
  <dcterms:created xsi:type="dcterms:W3CDTF">2014-02-24T23:14:00Z</dcterms:created>
  <dcterms:modified xsi:type="dcterms:W3CDTF">2014-02-24T23:14:00Z</dcterms:modified>
</cp:coreProperties>
</file>