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23E" w:rsidRPr="00DD6D3A" w:rsidRDefault="006B023E" w:rsidP="006B023E">
      <w:pPr>
        <w:jc w:val="center"/>
        <w:rPr>
          <w:b/>
          <w:bCs/>
          <w:sz w:val="28"/>
          <w:szCs w:val="28"/>
        </w:rPr>
      </w:pPr>
      <w:r w:rsidRPr="00DD6D3A">
        <w:rPr>
          <w:b/>
          <w:bCs/>
          <w:sz w:val="28"/>
          <w:szCs w:val="28"/>
        </w:rPr>
        <w:t>Министерство внутренних дел Российской Федерации</w:t>
      </w:r>
    </w:p>
    <w:p w:rsidR="006B023E" w:rsidRPr="00DD6D3A" w:rsidRDefault="006B023E" w:rsidP="006B023E">
      <w:pPr>
        <w:jc w:val="center"/>
        <w:rPr>
          <w:b/>
          <w:bCs/>
          <w:sz w:val="28"/>
          <w:szCs w:val="28"/>
        </w:rPr>
      </w:pPr>
      <w:r w:rsidRPr="00DD6D3A">
        <w:rPr>
          <w:b/>
          <w:bCs/>
          <w:sz w:val="28"/>
          <w:szCs w:val="28"/>
        </w:rPr>
        <w:t>Белгородский юридический институт</w:t>
      </w:r>
    </w:p>
    <w:p w:rsidR="006B023E" w:rsidRPr="00DD6D3A" w:rsidRDefault="006B023E" w:rsidP="006B023E">
      <w:pPr>
        <w:jc w:val="center"/>
        <w:rPr>
          <w:b/>
          <w:bCs/>
          <w:sz w:val="28"/>
          <w:szCs w:val="28"/>
        </w:rPr>
      </w:pPr>
    </w:p>
    <w:p w:rsidR="006B023E" w:rsidRPr="00DD6D3A" w:rsidRDefault="006B023E" w:rsidP="006B023E">
      <w:pPr>
        <w:jc w:val="center"/>
        <w:rPr>
          <w:b/>
          <w:bCs/>
          <w:sz w:val="28"/>
          <w:szCs w:val="28"/>
        </w:rPr>
      </w:pPr>
    </w:p>
    <w:p w:rsidR="006B023E" w:rsidRPr="00DD6D3A" w:rsidRDefault="006B023E" w:rsidP="006B023E">
      <w:pPr>
        <w:jc w:val="center"/>
        <w:rPr>
          <w:b/>
          <w:bCs/>
          <w:sz w:val="28"/>
          <w:szCs w:val="28"/>
        </w:rPr>
      </w:pPr>
    </w:p>
    <w:p w:rsidR="006B023E" w:rsidRPr="00DD6D3A" w:rsidRDefault="006B023E" w:rsidP="006B023E">
      <w:pPr>
        <w:jc w:val="center"/>
        <w:rPr>
          <w:b/>
          <w:bCs/>
          <w:sz w:val="28"/>
          <w:szCs w:val="28"/>
        </w:rPr>
      </w:pPr>
    </w:p>
    <w:p w:rsidR="006B023E" w:rsidRPr="00DD6D3A" w:rsidRDefault="006B023E" w:rsidP="006B023E">
      <w:pPr>
        <w:jc w:val="center"/>
        <w:rPr>
          <w:b/>
          <w:bCs/>
          <w:spacing w:val="4"/>
          <w:sz w:val="28"/>
          <w:szCs w:val="28"/>
        </w:rPr>
      </w:pPr>
      <w:r w:rsidRPr="00DD6D3A">
        <w:rPr>
          <w:b/>
          <w:bCs/>
          <w:spacing w:val="4"/>
          <w:sz w:val="28"/>
          <w:szCs w:val="28"/>
        </w:rPr>
        <w:t xml:space="preserve">Кафедра </w:t>
      </w:r>
      <w:r w:rsidRPr="00DD6D3A">
        <w:rPr>
          <w:b/>
          <w:bCs/>
          <w:color w:val="000000"/>
          <w:sz w:val="28"/>
          <w:szCs w:val="28"/>
        </w:rPr>
        <w:t>гражданско-правовых дисциплин</w:t>
      </w:r>
    </w:p>
    <w:p w:rsidR="006B023E" w:rsidRPr="00DD6D3A" w:rsidRDefault="006B023E" w:rsidP="006B023E">
      <w:pPr>
        <w:jc w:val="center"/>
        <w:rPr>
          <w:b/>
          <w:bCs/>
          <w:spacing w:val="4"/>
          <w:sz w:val="28"/>
          <w:szCs w:val="28"/>
        </w:rPr>
      </w:pPr>
    </w:p>
    <w:p w:rsidR="006B023E" w:rsidRPr="00DD6D3A" w:rsidRDefault="006B023E" w:rsidP="006B023E">
      <w:pPr>
        <w:jc w:val="center"/>
        <w:rPr>
          <w:b/>
          <w:bCs/>
          <w:spacing w:val="4"/>
          <w:sz w:val="28"/>
          <w:szCs w:val="28"/>
        </w:rPr>
      </w:pPr>
    </w:p>
    <w:p w:rsidR="006B023E" w:rsidRPr="00DD6D3A" w:rsidRDefault="006B023E" w:rsidP="006B023E">
      <w:pPr>
        <w:pStyle w:val="1"/>
        <w:rPr>
          <w:sz w:val="28"/>
          <w:szCs w:val="28"/>
        </w:rPr>
      </w:pPr>
      <w:r w:rsidRPr="00DD6D3A">
        <w:rPr>
          <w:sz w:val="28"/>
          <w:szCs w:val="28"/>
        </w:rPr>
        <w:t>Дисциплина</w:t>
      </w:r>
      <w:r w:rsidR="00DD6D3A">
        <w:rPr>
          <w:sz w:val="28"/>
          <w:szCs w:val="28"/>
        </w:rPr>
        <w:t xml:space="preserve"> </w:t>
      </w:r>
      <w:r w:rsidRPr="00DD6D3A">
        <w:rPr>
          <w:sz w:val="28"/>
          <w:szCs w:val="28"/>
        </w:rPr>
        <w:t>«Гражданское право»</w:t>
      </w:r>
    </w:p>
    <w:p w:rsidR="006B023E" w:rsidRPr="00DD6D3A" w:rsidRDefault="006B023E" w:rsidP="006B023E">
      <w:pPr>
        <w:jc w:val="center"/>
        <w:rPr>
          <w:b/>
          <w:bCs/>
          <w:spacing w:val="3"/>
          <w:sz w:val="28"/>
          <w:szCs w:val="28"/>
          <w:u w:val="single"/>
        </w:rPr>
      </w:pPr>
    </w:p>
    <w:p w:rsidR="006B023E" w:rsidRPr="00DD6D3A" w:rsidRDefault="006B023E" w:rsidP="006B023E">
      <w:pPr>
        <w:jc w:val="center"/>
        <w:rPr>
          <w:b/>
          <w:bCs/>
          <w:spacing w:val="3"/>
          <w:sz w:val="28"/>
          <w:szCs w:val="28"/>
          <w:u w:val="single"/>
        </w:rPr>
      </w:pPr>
    </w:p>
    <w:p w:rsidR="006B023E" w:rsidRPr="00DD6D3A" w:rsidRDefault="006B023E" w:rsidP="006B023E">
      <w:pPr>
        <w:jc w:val="center"/>
        <w:rPr>
          <w:b/>
          <w:bCs/>
          <w:spacing w:val="3"/>
          <w:sz w:val="28"/>
          <w:szCs w:val="28"/>
          <w:u w:val="single"/>
        </w:rPr>
      </w:pPr>
    </w:p>
    <w:p w:rsidR="006B023E" w:rsidRPr="00DD6D3A" w:rsidRDefault="006B023E" w:rsidP="006B023E">
      <w:pPr>
        <w:pStyle w:val="2"/>
        <w:jc w:val="center"/>
        <w:rPr>
          <w:b w:val="0"/>
          <w:bCs w:val="0"/>
          <w:i/>
          <w:iCs/>
        </w:rPr>
      </w:pPr>
      <w:r w:rsidRPr="00DD6D3A">
        <w:rPr>
          <w:b w:val="0"/>
          <w:bCs w:val="0"/>
          <w:i/>
          <w:iCs/>
        </w:rPr>
        <w:t>Реферат</w:t>
      </w:r>
    </w:p>
    <w:p w:rsidR="006B023E" w:rsidRPr="00DD6D3A" w:rsidRDefault="006B023E" w:rsidP="006B023E">
      <w:pPr>
        <w:rPr>
          <w:sz w:val="28"/>
          <w:szCs w:val="28"/>
        </w:rPr>
      </w:pPr>
    </w:p>
    <w:p w:rsidR="006B023E" w:rsidRDefault="006B023E" w:rsidP="006B023E">
      <w:pPr>
        <w:pStyle w:val="11"/>
        <w:spacing w:before="0" w:beforeAutospacing="0" w:after="0" w:afterAutospacing="0"/>
        <w:rPr>
          <w:rFonts w:ascii="Times New Roman" w:eastAsia="Times New Roman" w:hAnsi="Times New Roman" w:cs="Times New Roman"/>
          <w:sz w:val="28"/>
          <w:szCs w:val="28"/>
        </w:rPr>
      </w:pPr>
    </w:p>
    <w:p w:rsidR="00DD6D3A" w:rsidRDefault="00DD6D3A" w:rsidP="00DD6D3A">
      <w:pPr>
        <w:pStyle w:val="a3"/>
      </w:pPr>
    </w:p>
    <w:p w:rsidR="00DD6D3A" w:rsidRPr="00DD6D3A" w:rsidRDefault="00DD6D3A" w:rsidP="00DD6D3A">
      <w:pPr>
        <w:pStyle w:val="a3"/>
      </w:pPr>
    </w:p>
    <w:p w:rsidR="006B023E" w:rsidRPr="00DD6D3A" w:rsidRDefault="006B023E" w:rsidP="006B023E">
      <w:pPr>
        <w:rPr>
          <w:sz w:val="28"/>
          <w:szCs w:val="28"/>
        </w:rPr>
      </w:pPr>
    </w:p>
    <w:p w:rsidR="006B023E" w:rsidRPr="00DD6D3A" w:rsidRDefault="006B023E" w:rsidP="006B023E">
      <w:pPr>
        <w:jc w:val="center"/>
        <w:rPr>
          <w:sz w:val="28"/>
          <w:szCs w:val="28"/>
        </w:rPr>
      </w:pPr>
      <w:r w:rsidRPr="00DD6D3A">
        <w:rPr>
          <w:sz w:val="28"/>
          <w:szCs w:val="28"/>
        </w:rPr>
        <w:t>На Тему: «ДОГОВОР ХРАНЕНИЯ»</w:t>
      </w:r>
    </w:p>
    <w:p w:rsidR="006B023E" w:rsidRPr="00DD6D3A" w:rsidRDefault="006B023E" w:rsidP="006B023E">
      <w:pPr>
        <w:jc w:val="center"/>
        <w:rPr>
          <w:sz w:val="28"/>
          <w:szCs w:val="28"/>
        </w:rPr>
      </w:pPr>
    </w:p>
    <w:p w:rsidR="006B023E" w:rsidRPr="00DD6D3A" w:rsidRDefault="006B023E" w:rsidP="006B023E">
      <w:pPr>
        <w:rPr>
          <w:sz w:val="28"/>
          <w:szCs w:val="28"/>
        </w:rPr>
      </w:pPr>
    </w:p>
    <w:p w:rsidR="006B023E" w:rsidRPr="00DD6D3A" w:rsidRDefault="006B023E" w:rsidP="006B023E">
      <w:pPr>
        <w:rPr>
          <w:sz w:val="28"/>
          <w:szCs w:val="28"/>
        </w:rPr>
      </w:pPr>
    </w:p>
    <w:p w:rsidR="006B023E" w:rsidRPr="00DD6D3A" w:rsidRDefault="006B023E" w:rsidP="006B023E">
      <w:pPr>
        <w:ind w:left="6300"/>
        <w:rPr>
          <w:sz w:val="28"/>
          <w:szCs w:val="28"/>
          <w:u w:val="single"/>
        </w:rPr>
      </w:pPr>
      <w:r w:rsidRPr="00DD6D3A">
        <w:rPr>
          <w:b/>
          <w:bCs/>
          <w:i/>
          <w:iCs/>
          <w:sz w:val="28"/>
          <w:szCs w:val="28"/>
          <w:u w:val="single"/>
        </w:rPr>
        <w:t>Подготовил:</w:t>
      </w:r>
      <w:r w:rsidRPr="00DD6D3A">
        <w:rPr>
          <w:sz w:val="28"/>
          <w:szCs w:val="28"/>
          <w:u w:val="single"/>
        </w:rPr>
        <w:t xml:space="preserve"> </w:t>
      </w:r>
    </w:p>
    <w:p w:rsidR="006B023E" w:rsidRPr="00DD6D3A" w:rsidRDefault="006B023E" w:rsidP="006B023E">
      <w:pPr>
        <w:ind w:left="6300"/>
        <w:rPr>
          <w:sz w:val="28"/>
          <w:szCs w:val="28"/>
        </w:rPr>
      </w:pPr>
      <w:r w:rsidRPr="00DD6D3A">
        <w:rPr>
          <w:sz w:val="28"/>
          <w:szCs w:val="28"/>
        </w:rPr>
        <w:t>Слушатель 345 группы</w:t>
      </w:r>
    </w:p>
    <w:p w:rsidR="006B023E" w:rsidRPr="00DD6D3A" w:rsidRDefault="006B023E" w:rsidP="006B023E">
      <w:pPr>
        <w:ind w:left="6300"/>
        <w:rPr>
          <w:sz w:val="28"/>
          <w:szCs w:val="28"/>
        </w:rPr>
      </w:pPr>
      <w:r w:rsidRPr="00DD6D3A">
        <w:rPr>
          <w:sz w:val="28"/>
          <w:szCs w:val="28"/>
        </w:rPr>
        <w:t>Конев П.Л.</w:t>
      </w:r>
    </w:p>
    <w:p w:rsidR="006B023E" w:rsidRPr="00DD6D3A" w:rsidRDefault="006B023E" w:rsidP="006B023E">
      <w:pPr>
        <w:ind w:left="6300"/>
        <w:rPr>
          <w:sz w:val="28"/>
          <w:szCs w:val="28"/>
        </w:rPr>
      </w:pPr>
    </w:p>
    <w:p w:rsidR="006B023E" w:rsidRPr="00DD6D3A" w:rsidRDefault="006B023E" w:rsidP="006B023E">
      <w:pPr>
        <w:ind w:left="6300"/>
        <w:rPr>
          <w:sz w:val="28"/>
          <w:szCs w:val="28"/>
        </w:rPr>
      </w:pPr>
    </w:p>
    <w:p w:rsidR="006B023E" w:rsidRPr="00DD6D3A" w:rsidRDefault="006B023E" w:rsidP="006B023E">
      <w:pPr>
        <w:ind w:left="6300"/>
        <w:rPr>
          <w:b/>
          <w:bCs/>
          <w:i/>
          <w:iCs/>
          <w:sz w:val="28"/>
          <w:szCs w:val="28"/>
          <w:u w:val="single"/>
        </w:rPr>
      </w:pPr>
      <w:r w:rsidRPr="00DD6D3A">
        <w:rPr>
          <w:b/>
          <w:bCs/>
          <w:i/>
          <w:iCs/>
          <w:sz w:val="28"/>
          <w:szCs w:val="28"/>
          <w:u w:val="single"/>
        </w:rPr>
        <w:t>Проверил:</w:t>
      </w:r>
    </w:p>
    <w:p w:rsidR="006B023E" w:rsidRPr="00DD6D3A" w:rsidRDefault="006B023E" w:rsidP="006B023E">
      <w:pPr>
        <w:pStyle w:val="7"/>
        <w:tabs>
          <w:tab w:val="clear" w:pos="5954"/>
          <w:tab w:val="left" w:pos="4678"/>
        </w:tabs>
        <w:ind w:left="6300" w:firstLine="0"/>
      </w:pPr>
      <w:r w:rsidRPr="00DD6D3A">
        <w:t>Преподаватеть кафедры</w:t>
      </w:r>
    </w:p>
    <w:p w:rsidR="006B023E" w:rsidRPr="00DD6D3A" w:rsidRDefault="006B023E" w:rsidP="006B023E">
      <w:pPr>
        <w:ind w:left="6300"/>
        <w:rPr>
          <w:sz w:val="28"/>
          <w:szCs w:val="28"/>
        </w:rPr>
      </w:pPr>
      <w:r w:rsidRPr="00DD6D3A">
        <w:rPr>
          <w:sz w:val="28"/>
          <w:szCs w:val="28"/>
        </w:rPr>
        <w:t>Стеклов И.А.</w:t>
      </w:r>
    </w:p>
    <w:p w:rsidR="006B023E" w:rsidRPr="00DD6D3A" w:rsidRDefault="006B023E" w:rsidP="006B023E">
      <w:pPr>
        <w:jc w:val="center"/>
        <w:rPr>
          <w:b/>
          <w:bCs/>
          <w:sz w:val="28"/>
          <w:szCs w:val="28"/>
        </w:rPr>
      </w:pPr>
    </w:p>
    <w:p w:rsidR="006B023E" w:rsidRDefault="006B023E" w:rsidP="006B023E">
      <w:pPr>
        <w:jc w:val="center"/>
        <w:rPr>
          <w:b/>
          <w:bCs/>
          <w:sz w:val="28"/>
          <w:szCs w:val="28"/>
        </w:rPr>
      </w:pPr>
    </w:p>
    <w:p w:rsidR="00DD6D3A" w:rsidRDefault="00DD6D3A" w:rsidP="006B023E">
      <w:pPr>
        <w:jc w:val="center"/>
        <w:rPr>
          <w:b/>
          <w:bCs/>
          <w:sz w:val="28"/>
          <w:szCs w:val="28"/>
        </w:rPr>
      </w:pPr>
    </w:p>
    <w:p w:rsidR="00DD6D3A" w:rsidRDefault="00DD6D3A" w:rsidP="006B023E">
      <w:pPr>
        <w:jc w:val="center"/>
        <w:rPr>
          <w:b/>
          <w:bCs/>
          <w:sz w:val="28"/>
          <w:szCs w:val="28"/>
        </w:rPr>
      </w:pPr>
    </w:p>
    <w:p w:rsidR="00DD6D3A" w:rsidRDefault="00DD6D3A" w:rsidP="006B023E">
      <w:pPr>
        <w:jc w:val="center"/>
        <w:rPr>
          <w:b/>
          <w:bCs/>
          <w:sz w:val="28"/>
          <w:szCs w:val="28"/>
        </w:rPr>
      </w:pPr>
    </w:p>
    <w:p w:rsidR="00DD6D3A" w:rsidRDefault="00DD6D3A" w:rsidP="006B023E">
      <w:pPr>
        <w:jc w:val="center"/>
        <w:rPr>
          <w:b/>
          <w:bCs/>
          <w:sz w:val="28"/>
          <w:szCs w:val="28"/>
        </w:rPr>
      </w:pPr>
    </w:p>
    <w:p w:rsidR="00DD6D3A" w:rsidRDefault="00DD6D3A" w:rsidP="006B023E">
      <w:pPr>
        <w:jc w:val="center"/>
        <w:rPr>
          <w:b/>
          <w:bCs/>
          <w:sz w:val="28"/>
          <w:szCs w:val="28"/>
        </w:rPr>
      </w:pPr>
    </w:p>
    <w:p w:rsidR="00DD6D3A" w:rsidRDefault="00DD6D3A" w:rsidP="006B023E">
      <w:pPr>
        <w:jc w:val="center"/>
        <w:rPr>
          <w:b/>
          <w:bCs/>
          <w:sz w:val="28"/>
          <w:szCs w:val="28"/>
        </w:rPr>
      </w:pPr>
    </w:p>
    <w:p w:rsidR="00DD6D3A" w:rsidRPr="00DD6D3A" w:rsidRDefault="00DD6D3A" w:rsidP="006B023E">
      <w:pPr>
        <w:jc w:val="center"/>
        <w:rPr>
          <w:b/>
          <w:bCs/>
          <w:sz w:val="28"/>
          <w:szCs w:val="28"/>
        </w:rPr>
      </w:pPr>
    </w:p>
    <w:p w:rsidR="006B023E" w:rsidRPr="00DD6D3A" w:rsidRDefault="006B023E" w:rsidP="006B023E">
      <w:pPr>
        <w:jc w:val="center"/>
        <w:rPr>
          <w:b/>
          <w:bCs/>
          <w:sz w:val="28"/>
          <w:szCs w:val="28"/>
        </w:rPr>
      </w:pPr>
    </w:p>
    <w:p w:rsidR="00DD6D3A" w:rsidRDefault="006B023E" w:rsidP="006B023E">
      <w:pPr>
        <w:jc w:val="center"/>
        <w:rPr>
          <w:b/>
          <w:bCs/>
          <w:sz w:val="28"/>
          <w:szCs w:val="28"/>
        </w:rPr>
      </w:pPr>
      <w:r w:rsidRPr="00DD6D3A">
        <w:rPr>
          <w:b/>
          <w:bCs/>
          <w:sz w:val="28"/>
          <w:szCs w:val="28"/>
        </w:rPr>
        <w:t>Белгород 2008</w:t>
      </w:r>
    </w:p>
    <w:p w:rsidR="006B023E" w:rsidRPr="00DD6D3A" w:rsidRDefault="00DD6D3A" w:rsidP="00DD6D3A">
      <w:pPr>
        <w:spacing w:line="360" w:lineRule="auto"/>
        <w:ind w:firstLine="709"/>
        <w:jc w:val="both"/>
        <w:rPr>
          <w:sz w:val="28"/>
          <w:szCs w:val="28"/>
        </w:rPr>
      </w:pPr>
      <w:r>
        <w:br w:type="page"/>
      </w:r>
      <w:r w:rsidR="006B023E" w:rsidRPr="00DD6D3A">
        <w:rPr>
          <w:sz w:val="28"/>
          <w:szCs w:val="28"/>
        </w:rPr>
        <w:t>§ 1. Общие положения</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1. Гражданско-правовой институт хранения имеет достаточно широкую сферу применения. Значительная распространенность отношений, связанных с хранением имущества, как в быту, так и при предпринимательской деятельности, обусловливается тем, что у обладателя вещи нередко возникает необходимость в обеспечении ее сохранности и целостности, исключении возможностей присвоения вещи третьими лицами и оказания на нее негативных воздействий извне. При этом для более эффективного сбережения вещи целесообразна ее передача другому лицу - хранителю. Соответствующие отношения обычно возникают на основании договора хранения. Их правовое регулирование осуществляется гл. 47 ГК, которая содержит три группы правовых норм: общие положения, применяемые ко всем видам хранения, если самим ГК или другими законами не установлено иное (§ 1); правила, закрепляющие особенности хранения на товарном складе (§ 2); особые нормы, регламентирующие специальные виды хранения (§ 3).</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Кроме того, хранение может выступать в качестве элемента смешанного договора. При этом правила гл. 47 ГК о хранении подлежат применению к соответствующей части такого договора, если иное не вытекает из соглашения сторон или существа смешанного договора (п. 3 ст. 421 ГК). Основаниями возникновения отношений по хранению имущества также могут служить отдельные виды гражданско-правовых договоров, имеющие иную, нежели обеспечение сохранности вещи, направленность (купли-продажи, подряда, перевозки, комиссии и др.). Обязанности по хранению вещей представляют собой неотъемлемый элемент таких договоров и самостоятельного значения не имеют. Примером могут служить обязанности перевозчика обеспечить сохранность принятого груза в процессе перевозки до выдачи грузополучателю. В таких случаях отношения по поводу хранения имущества регулируются правилами о соответствующих договорах, и нормы гл. 47 ГК к ним не применяются.</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Обязательства по хранению могут возникнуть на основании закона (ст. 906 ГК). В частности, нашедший потерянную вещь вправе хранить ее у себя, сдать на хранение в милицию, орган местного самоуправления или указанному ими лицу (п. 3 ст. 227 ГК); обязательно обеспечивается сохранность вещественных доказательств - предметов, которые могут служить средством установления обстоятельств, имеющих значение для судебного дела (ст. 74 ГПК, ст. 77 АПК), и др. Такие обязательства прежде всего регламентируются нормами закона, в силу которого возникают, а правила гл. 47 ГК применяются к складывающимся отношениям, только если специальными законами не установлено иное.</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2. По договору хранения одна сторона, именуемая хранителем, обязуется хранить вещь, переданную ей другой стороной, именуемой поклажедателем, и возвратить эту вещь в сохранности (п. 1 ст. 886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Как следует из определения, договор хранения относится к категории реальных. Это означает, что для признания договора заключенным, помимо согласования его существенных условий, необходима фактическая передача имущества хранителю. Данное правило носит общий характер.</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Вместе с тем п. 2 ст. 886 ГК допускает возможность совершения и консенсуального договора хранения, предусматривающего обязанность хранителя принять вещь от поклажедателя в установленные сроки в будущем. Права и обязанности у сторон по такому договору возникают с момента его заключения. В силу прямого указания закона консенсуальный характер может иметь только тот договор, по которому хранителем выступает коммерческая организация либо некоммерческая, осуществляющая хранение в качестве одной из целей профессиональной деятельности (профессиональный хранитель).</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По поводу возмездности хранения существуют различные мнения, что обусловлено недостаточной четкостью норм ГК. В научной и учебной литературе достаточно распространена точка зрения, согласно которой систематическое толкование ст. 896, 897, 924 ГК позволяет говорить о том, что договор хранения презюмируется возмездным, если иное не установлено самим договором, правовыми актами или не вытекает из существа обязательства &lt;*&gt;. Вместе с тем существует и иное мнение. В качестве основного аргумента своей позиции авторы используют общее определение хранения, содержащееся в ст. 886 ГК. Поскольку какие-либо указания на оплату поклажедателем оказываемых ему услуг в данной норме отсутствуют, формулируется вывод о безвозмездности договора &lt;**&gt;.</w:t>
      </w:r>
    </w:p>
    <w:p w:rsidR="006B023E" w:rsidRPr="00DD6D3A" w:rsidRDefault="006B023E" w:rsidP="00DD6D3A">
      <w:pPr>
        <w:pStyle w:val="ConsPlusNonformat"/>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См.: Гражданское право. Учебник / Под ред. А.П. Сергеева, Ю.К. Толстого. Т. 2. М., 2003. С. 703 - 704.</w:t>
      </w:r>
    </w:p>
    <w:p w:rsidR="006B023E" w:rsidRPr="00DD6D3A" w:rsidRDefault="006B023E" w:rsidP="00DD6D3A">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КонсультантПлюс: примечание.</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Комментарий к Гражданскому кодексу Российской Федерации, части второй (постатейный) (под ред. О.Н. Садикова) включен в информационный банк согласно публикации - М.: Юридическая фирма "КОНТРАКТ", Издательский Дом "ИНФРА-М", 2004 (издание четвертое, исправленное и дополненное).</w:t>
      </w:r>
    </w:p>
    <w:p w:rsidR="006B023E" w:rsidRPr="00DD6D3A" w:rsidRDefault="006B023E" w:rsidP="00DD6D3A">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См.: Суворов С. Договор хранения // Российская юстиция. 1998. N 6. С. 12; Комментарий к Гражданскому кодексу Российской Федерации, части второй (постатейный) / Под ред. О.Н. Садикова. М., 2003. С. 577.</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Анализ норм гл. 47 ГК позволяет сделать вывод о том, что ни презумпция возмездности, ни презумпция безвозмездности договора хранения ими прямо не предусматривается. Вместе с тем согласно п. 3 ст. 423 ГК любой гражданско-правовой договор предполагается возмездным, если из закона, иных правовых актов, содержания или существа договора не вытекает иное. Это правило в полной мере применимо и к договору хранения, т.е. если безвозмездность отношений хранения не устанавливается правовой нормой (например, п. 1 ст. 924 ГК содержит общее правило о безвозмездности хранения в гардеробах), договором или логически не вытекает из его существа (это может иметь место при заключении бытовых договоров хранения между гражданами), договор хранения следует считать возмездным, и хранитель вправе требовать оплаты оказанных им услуг.</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Из определения договора, содержащегося в ст. 886 ГК, следует, что безвозмездный и реальный договор хранения является односторонним. Обязанности по нему возникают у хранителя, а права - у поклажедателя. Вместе с тем анализ других норм гл. 47 ГК позволяет сделать вывод о том, что на поклажедателя все-таки возлагается обязанность по истечении срока хранения взять вещь обратно (ст. 899 ГК). Это обстоятельство, по мнению ряда авторов, свидетельствует о двустороннем характере безвозмездного договора хранения &lt;*&gt;. Вместе с тем для признания договора двусторонним недостаточно, чтобы обе его стороны обладали обязанностями, необходимо чтобы эти обязанности были встречными. В теории гражданского права встречной признается лишь та обязанность, которая имеет характер встречного удовлетворения &lt;**&gt;. Обязанность же поклажедателя, состоящая в принятии надлежащего исполнения, встречной не является, а потому реальный и безвозмездный договор хранения не может квалифицироваться как двусторонний.</w:t>
      </w:r>
    </w:p>
    <w:p w:rsidR="006B023E" w:rsidRPr="00DD6D3A" w:rsidRDefault="006B023E" w:rsidP="00DD6D3A">
      <w:pPr>
        <w:pStyle w:val="ConsPlusNonformat"/>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См.: Гражданское право. Учебник / Под ред. А.П. Сергеева, Ю.К. Толстого. Т. 2. С. 704.</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Подробнее см.: Агарков М.М. Обязательство по советскому гражданскому праву. М., 1940. С. 67.</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В возмездном договоре хранения у поклажедателя всегда имеется обязанность по оплате услуг хранителя, причем она носит встречный характер по отношению к обязанности хранителя обеспечить сохранность вещи. Это позволяет отнести возмездный договор хранения к числу двусторонних.</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3. Сторонами договора хранения являются поклажедатель и хранитель. По общему правилу, поклажедателями могут быть любые правоспособные лица. Вместе с тем в отдельных видах хранения круг поклажедателей ограничивается - в их качестве могут выступать только граждане, в том числе не обладающие дееспособностью в полном объеме. Это касается хранения в гардеробах, камерах хранения транспортных организаций и др. Для сдачи имущества на хранение гостинице также требуется, чтобы гражданин проживал в ней.</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Обычно в качестве поклажедателя выступает собственник передаваемой на хранение вещи, поскольку в большинстве случаев именно он заинтересован в обеспечении ее целостности и неприкосновенности. Вместе с тем действующим законодательством не исключается возможность передачи на хранение чужих вещей лицами, которые владеют ими на основании закона или договора, т.е. титульными владельцами (арендаторами, перевозчиками, комиссионерами и др.).</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Хранителями могут быть физические и юридические лица, отвечающие законодательно установленным требованиям. Граждане по общему правилу должны быть дееспособными, хотя не исключается возможность участия в договоре лиц, не имеющих полной дееспособности, если хранение носит характер мелкой бытовой сделки.</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Коммерческие организации, обладающие общей правоспособностью, признаются профессиональными хранителями и могут участвовать в любых договорах хранения, в том числе консенсуальных. По сути, аналогичным статусом обладает и гражданин, осуществляющий предпринимательскую деятельность без образования юридического лица, ибо к ней применяются правила, регулирующие деятельность коммерческих юридических лиц, если иное не вытекает из закона, иных правовых актов или существа возникающих отношений (п. 3 ст. 23 ГК). Государственные и муниципальные унитарные предприятия могут осуществлять деятельность по хранению, если это соответствует целям и задачам, ради которых они были созданы.</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Некоммерческие организации вправе оказывать услуги по хранению только с учетом объема имеющейся у них специальной правоспособности. Если некоммерческая организация осуществляет хранение в качестве одной из целей профессиональной деятельности, она может признаваться профессиональным хранителем.</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В ряде случаев деятельность по обеспечению сохранности отдельных видов имущества подлежит лицензированию. Соответственно, для участия в договоре в качестве хранителя лицо должно обладать необходимой лицензией. Так, согласно ст. 17 Федерального закона от 8 августа 2001 г. "О лицензировании отдельных видов деятельности" к числу лицензируемых отнесено хранение нефти, газа и продуктов их переработки; взрывчатых материалов промышленного назначения; наркотических средств и психотропных веществ.</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Кроме того, при передаче на хранение вещей отдельных видов или в особых условиях законом может ограничиваться либо прямо определяться круг возможных хранителей. К примеру, входящие в состав наследственного имущества валютные ценности, драгоценные металлы и камни, изделия из них и не требующие управления ценные бумаги могут быть переданы нотариусом на хранение только банку (п. 2 ст. 1172 ГК). Материальные ценности, составляющие государственный резерв &lt;*&gt;, могут передаваться на хранение только Федеральному агентству по государственным резервам, его территориальным органам и организациям, входящим в единую федеральную систему государственного материального резерва &lt;**&gt;. Согласно ст. 7 Федерального закона от 22 апреля 1996 г. "О рынке ценных бумаг" оказание услуг по хранению сертификатов ценных бумаг осуществляется депозитариями. В этом качестве может выступить юридическое лицо, созданное в форме акционерного общества, общества с ограниченной ответственностью, некоммерческой организации или федерального государственного унитарного предприятия, имеющее лицензию на депозитарную деятельность &lt;***&gt;.</w:t>
      </w:r>
    </w:p>
    <w:p w:rsidR="006B023E" w:rsidRPr="00DD6D3A" w:rsidRDefault="006B023E" w:rsidP="00DD6D3A">
      <w:pPr>
        <w:pStyle w:val="ConsPlusNonformat"/>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В состав государственного резерва включаются запасы материальных ценностей для мобилизационных нужд РФ, запасы стратегических материалов и товаров, запасы материальных ценностей для обеспечения неотложных работ при ликвидации последствий чрезвычайных ситуаций. См. ст. 1 Федерального закона от 29 декабря 1994 г. "О государственном материальном резерве" // СЗ РФ. 1995. N 1. Ст. 3.</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См.: п. 1 Постановления Правительства РФ от 8 сентября 1999 г. N 1014 "Вопросы Российского агентства по государственным резервам" // СЗ РФ. 1999. N 37. Ст. 4504.</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См.: п. 8.1 Положения о лицензировании различных видов профессиональной деятельности на рынке ценных бумаг Российской Федерации, утвержденного Постановлением ФКЦБ России от 23 ноября 1998 г. N 50 // Вестник ФКЦБ России. 1998. N 11; 2002. N 11.</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4. Форма договора хранения определяется в соответствии со ст. 887 ГК и общими правилами о сделках, подлежащих простому письменному оформлению (ст. 161 ГК). Реальный договор хранения должен быть совершен в простой письменной форме, если его субъектами выступают юридические лица либо юридическое лицо и гражданин, а также если он заключается между гражданами и стоимость передаваемой на хранение вещи превышает более чем в 10 раз минимальный размер оплаты труда.</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Консенсуальный договор, предусматривающий обязанность принять вещь на хранение в будущем, должен быть заключен в простой письменной форме независимо от состава его участников и стоимости передаваемой вещи.</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В силу специального указания закона простая письменная форма договора считается соблюденной, если принятие вещи на хранение удостоверено хранителем посредством выдачи поклажедателю: а) сохранной расписки, квитанции, свидетельства или иного документа, подписанного хранителем; б) номерного жетона (номера), иного знака, если такая форма подтверждения приема вещей на хранение предусмотрена законом или правовым актом либо обычна для данного вида хранения (п. 2 ст. 887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В частности, п. 1 ст. 912 ГК прямо указывает, что товарный склад в подтверждение принятия товара на хранение выдает один из складских документов - двойное или простое складское свидетельство либо складскую квитанцию. Согласно п. 2 ст. 919 ГК заключение договора хранения в ломбарде удостоверяется выдачей поклажедателю именной сохранной квитанции, а заключение договора хранения ценностей в банке - выдачей именного сохранного документа (п. 2 ст. 921 ГК). Квитанция или номерной жетон выдается поклажедателю в случае передачи имущества на хранение в камеру хранения транспортной организации (п. 2 ст. 923 ГК). Принятие вещей на хранение гардеробом на практике обычно удостоверяется выдачей поклажедателю номерка или жетона. Что касается хранения вещей в гостиницах, то оно вообще может осуществляться без особого оформления и выдачи специальных документов (п. 1 ст. 925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По общему правилу, которое применимо и к договору хранения, несоблюдение простой письменной формы сделки не влечет ее недействительности, однако в случае возникновения спора стороны лишаются права ссылаться на свидетельские показания в подтверждение факта совершения сделки и ее условий (п. 1 ст. 162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В исключение из этого положения абз. 3 п. 1 ст. 887 ГК допускает возможность использования свидетельских показаний в качестве средства доказывания факта и условий передачи вещи на хранение, если она осуществлялась при чрезвычайных обстоятельствах (пожаре, стихийном бедствии, внезапной болезни, угрозе нападения и т.п.), исключающих реальную возможность надлежащего оформления договора или делающих это в значительной степени затруднительным. При несоблюдении простой письменной формы договора хранения, заключенного в обычных условиях гражданского оборота, использование свидетельских показаний допустимо только в случае, когда сам факт заключения договора сторонами не отрицается, а спор возник относительно тождества вещи, принятой на хранение и возвращаемой хранителем.</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5. Предмет договора хранения - оказание услуг по обеспечению сохранности имущества, переданного поклажедателем. Как известно, услуги представляют собой действия, не имеющие материального результата, который можно было бы отделить от самого процесса совершения действия. В данном случае полезный результат услуги состоит в том, что в период ее оказания обеспечивается целостность вещи, предотвращается ее утрата, влияние на нее вредных воздействий и присвоение ее третьими лицами.</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От предмета договора следует отличать его объект, в качестве которого выступают предметы материального мира, передаваемые на хранение. Круг возможных объектов хранения ГК не определяется, но, как правило, это движимые вещи, включая деньги и ценные бумаги. Вместе с тем для вещей, ограниченных в обороте, специальными правовыми актами могут устанавливаться особые правила, касающиеся возможности их передачи и принятия на хранение &lt;*&gt;.</w:t>
      </w:r>
    </w:p>
    <w:p w:rsidR="006B023E" w:rsidRPr="00DD6D3A" w:rsidRDefault="006B023E" w:rsidP="00DD6D3A">
      <w:pPr>
        <w:pStyle w:val="ConsPlusNonformat"/>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Так, согласно ст. 20 Федерального закона от 8 января 1998 г. "О наркотических средствах и психотропных веществах" (СЗ РФ. 1998. N 2. Ст. 219) хранение наркотических средств и психотропных веществ может осуществляться юридическими лицами в порядке, установленном Правительством РФ, в специально оборудованных помещениях при наличии соответствующей лицензии только в целях, предусмотренных этим Законом. Хранение указанных веществ независимо от их количества в каких-то иных целях запрещается.</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В настоящее время спорным является вопрос о возможности передачи на хранение движимых одушевленных вещей - животных, ибо в большинстве случаев обеспечение их сохранности предполагает и необходимость содержания (ухода, кормления, лечения и др.). Одни авторы полагают, что поскольку лицо, принявшее животных на хранение, выполняет многие дополнительные к хранению обязанности, возникающие отношения хранением не являются. Их следует квалифицировать как возмездное оказание услуг, регулируемое гл. 39 ГК &lt;*&gt;. Другие ученые не исключают возможности оказания услуг по хранению в отношении животных, обосновывая свою позицию тем, что хранитель обязан принимать все необходимые меры в целях обеспечения сохранности вещи. Применительно к животным это как раз и выражается в деятельности по их содержанию &lt;**&gt;.</w:t>
      </w:r>
    </w:p>
    <w:p w:rsidR="006B023E" w:rsidRPr="00DD6D3A" w:rsidRDefault="006B023E" w:rsidP="00DD6D3A">
      <w:pPr>
        <w:pStyle w:val="ConsPlusNonformat"/>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См.: Комментарий к Гражданскому кодексу Российской Федерации, части второй (постатейный) / Под ред. О.Н. Садикова. С. 577.</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См.: Брагинский М.И. Договор хранения. М., 1999. С. 75 - 76.</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Передача на хранение недвижимости прямо не запрещается, однако физические свойства такого имущества, в большинстве случаев исключающие возможность перемещения с целью вручения хранителю, не позволяют применять к отношениям по обеспечению его сохранности нормы гл. 47 ГК о хранении &lt;*&gt;.</w:t>
      </w:r>
    </w:p>
    <w:p w:rsidR="006B023E" w:rsidRPr="00DD6D3A" w:rsidRDefault="006B023E" w:rsidP="00DD6D3A">
      <w:pPr>
        <w:pStyle w:val="ConsPlusNonformat"/>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В науке гражданского права данная точка зрения наиболее распространена. Вместе с тем существует и иное мнение, согласно которому объектом хранения может выступать и недвижимое имущество. См.: Цыбуленко З.И. Обязательства хранения в советском гражданском праве. Саратов, 1980. С. 12.</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Исключения составляют случаи, указанные в законе особо. В частности, п. 3 ст. 926 ГК допускает хранение недвижимости в порядке секвестра.</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На хранение могут передаваться как вещи индивидуально определенные, так и обладающие родовыми признаками. Индивидуально определенные вещи поклажедателя обычно хранятся отдельно от вещей, переданных другими лицами или принадлежащих хранителю. При прекращении договора поклажедателю возвращается именно та вещь, которая была им передана на хранение. Если предметом хранения являются вещи, определенные родовыми признаками, договор может предусматривать возможность их смешивания с аналогичными вещами, принадлежащими другим поклажедателям. По истечении срока действия договора возврату подлежит не то имущество, которое было передано на хранение, а обусловленное сторонами количество вещей того же рода и качества (ст. 890 ГК). Такое хранение именуется хранением с обезличением или иррегулярным и на практике применяется при оказании услуг по хранению овощехранилищами, элеваторами, нефтехранилищами, холодильниками и др.</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В теории гражданского права дискуссионным является вопрос о том, в чьей собственности находятся вещи, хранимые с обезличением. Одни авторы полагают, что при передаче вещей на иррегулярное хранение их собственником становится хранитель, а поклажедатель наделяется в отношении них только обязательственным правом требования. Данная позиция аргументируется тем, что возврату хранителем подлежат не принятые вещи, а их однородный эквивалент &lt;*&gt;. При таком подходе отношения хранения сближаются с правовой моделью займа.</w:t>
      </w:r>
    </w:p>
    <w:p w:rsidR="006B023E" w:rsidRPr="00DD6D3A" w:rsidRDefault="006B023E" w:rsidP="00DD6D3A">
      <w:pPr>
        <w:pStyle w:val="ConsPlusNonformat"/>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См.: Иоффе О.С. Обязательственное право. М., 1975. С. 498.</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Достаточно распространено в настоящее время мнение, что при иррегулярном хранении на совокупность однородных обезличенных вещей возникает общая долевая собственность всех поклажедателей &lt;*&gt;. Однако при передаче вещей на хранение несколькими лицами независимо друг от друга между ними не возникает никаких правоотношений, в том числе характерных для сособственников общего имущества, и применение ст. 244 - 252 ГК, посвященных общей долевой собственности, в данном случае невозможно. Существует и третья точка зрения, на наш взгляд, наиболее обоснованная, согласно которой лицо, передавшее вещи на хранение с обезличением, не утрачивает на них право собственности &lt;**&gt;.</w:t>
      </w:r>
    </w:p>
    <w:p w:rsidR="006B023E" w:rsidRPr="00DD6D3A" w:rsidRDefault="006B023E" w:rsidP="00DD6D3A">
      <w:pPr>
        <w:pStyle w:val="ConsPlusNonformat"/>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См.: Гражданское право. Учебник / Под ред. Е.А. Суханова. Т. II. Полутом 2. М., 2000. С. 75; Гражданское право России. Часть вторая: Обязательственное право / Под ред. О.Н. Садикова. М., 1997. С. 464.</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См.: Зимелева М.В. Поклажа в товарных складах. М., 1927. С. 44; Граве К.А. Отдельные виды обязательств. М., 1954. С. 326; Брагинский М.И., Витрянский В.В. Договорное право. Книга третья: Договоры о выполнении работ и оказании услуг. С. 723 - 724.</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Единственным существенным условием договора хранения, по которому должно быть достигнуто соглашение сторон, является условие о предмете. По смыслу норм гл. 47 ГК оно может считаться согласованным, если позволяет определить объект хранения, т.е. ту вещь, сохранность которой должна обеспечиваться.</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Условие о сроке хранения вещи к числу существенных не относится. Если отсутствует соглашение о сроке, в течение которого должно храниться имущество, и этот срок не может быть определен исходя из условий договора, хранитель хранит вещь до момента востребования ее поклажедателем. Хранитель наделяется правом по истечении обычного при данных обстоятельствах срока хранения вещи потребовать от поклажедателя взять ее обратно, предоставив для этого разумный срок (ст. 889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Консенсуальный договор может включать условие о сроке передачи вещи на хранение, которое также не носит существенного характера. Если срок принятия вещи хранителем не определен сторонами, применимы правила п. 2 ст. 314 ГК. Вместе с тем существует и иная точка зрения, согласно которой из смысла п. 2 ст. 886 ГК прямо следует, что в консенсуальном договоре хранения существенным является условие о сроке исполнения обязательства принять (передать) вещь на хранение &lt;*&gt;.</w:t>
      </w:r>
    </w:p>
    <w:p w:rsidR="006B023E" w:rsidRPr="00DD6D3A" w:rsidRDefault="006B023E" w:rsidP="00DD6D3A">
      <w:pPr>
        <w:pStyle w:val="ConsPlusNonformat"/>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См.: Брагинский М.И. Договор хранения. С. 87.</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Цена оказываемых хранителем услуг присутствует в качестве условия только в возмездном договоре. Если договор имеет указание на возмездность отношений, но не определяет размер причитающегося хранителю вознаграждения и не позволяет его установить, исполнение договора должно быть оплачено по цене, которая при сравнимых обстоятельствах обычно взимается за аналогичные услуги (п. 3 ст. 424 ГК) в порядке, предусмотренном ст. 896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6. Договор хранения обладает рядом общих черт с другими гражданскими договорами. Сходство с арендой и безвозмездным пользованием имуществом выражается в том, что одна из сторон договора всегда передает другой определенную вещь, которая впоследствии должна быть возвращена. Однако эти договоры имеют различную направленность и правовую сущность. По договору хранения вещь передается во владение хранителя с тем, чтобы он обеспечил ее сохранность. Пользование ею не допускается за исключением лишь некоторых случаев, указанных в ст. 892 ГК. Напротив, цель договоров аренды и ссуды - именно предоставление вещи в пользование, а иногда и во владение, поскольку в ряде случаев эффективное использование вещи без владения ею затруднительно или невозможно (ст. 606, 689 ГК). Кроме того, договор хранения совершается в интересах поклажедателя, а в сравниваемых сделках наиболее заинтересованными являются арендатор и ссудополучатель - лица, приобретающие право пользоваться имуществом на определенных условиях.</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Договор хранения с обезличением вещей, обладающих родовыми признаками, в некоторой степени сходен с займом, поскольку оба договора предполагают возврат не того имущества, которое передается, а аналогичного - того же рода и качества. Основное отличие состоит в том, что по договору займа заемщик, выступающий заинтересованной стороной, всегда приобретает право собственности на получаемые вещи. Хранитель же обязан их сохранить и не может распорядиться ими по собственному усмотрению. Тот факт, что при хранении с обезличением вещи смешиваются с вещами других поклажедателей (ст. 890 ГК), не означает наличие у хранителя возможностей осуществлять права собственника в отношении этого имущества.</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Договор хранения в некоторой степени схож с так называемым договором охраны. Предмет обоих - оказание услуг по обеспечению сохранности определенного объекта. Но если объектом хранения являются движимые вещи (исключение составляет лишь недвижимость, сохраняемая в порядке секвестра), которые переходят во владение хранителя, то объектом охраны, как правило, выступает недвижимое имущество (здания, сооружения и др.), движимое - значительно реже. При этом подлежащий охране предмет не выбывает из владения собственника или титульного владельца. Достаточно широко распространена и охрана физических лиц, при которой объект охраны и заказчик услуги обычно совпадают. Еще одним отличием между рассматриваемыми отношениями является то, что оказание услуг по охране объекта предполагает его защиту главным образом от противоправных посягательств &lt;*&gt;, а при хранении задача хранителя - исключение воздействия на вещь каких-либо негативных факторов вообще, в том числе связанных с естественными свойствами самой вещи. В силу указанной специфики договор охраны имеет иное правовое регулирование - к нему применяются нормы о возмездном оказании услуг.</w:t>
      </w:r>
    </w:p>
    <w:p w:rsidR="006B023E" w:rsidRPr="00DD6D3A" w:rsidRDefault="006B023E" w:rsidP="00DD6D3A">
      <w:pPr>
        <w:pStyle w:val="ConsPlusNonformat"/>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См.: абз. 3 ст. 1 Федерального закона от 14 апреля 1999 г. "О ведомственной охране" // СЗ РФ. 1999. N 16. Ст. 1935.</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7. Обязанностью хранителя, присутствующей только в консенсуальном договоре, является принятие вещи на хранение от поклажедателя в предусмотренный договором срок (п. 2 ст. 886 ГК). В реальном договоре, момент заключения которого совпадает с моментом передачи вещи, хранитель такой обязанности не имеет. Поскольку хранение осуществляется с целью обеспечения интересов поклажедателя, хранитель не вправе требовать передачи ему вещи, обусловленной договором. Вместе с тем он освобождается от обязанности принять вещь, если она своевременно поклажедателем не предоставлена, впрочем договором может быть предусмотрено и иное (п. 2 ст. 888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Основная и наиболее значимая обязанность хранителя - обеспечить сохранность переданной ему вещи (ст. 891 ГК). Для ее надлежащего исполнения хранитель должен принять все меры, установленные законом или иными правовыми актами (санитарные, противопожарные и др.). Так, при хранении продовольственных товаров хранитель обязан соблюдать Санитарно-эпидемиологические правила и нормативы "Гигиенические требования к срокам годности и условиям хранения пищевых продуктов СанПиН 2.3.2.1324-03", утвержденные Главным государственным санитарным врачом РФ 21 мая 2003 г. В целях исключения возможности гибели или повреждения хранимой вещи от пожара должны соблюдаться Правила пожарной безопасности в Российской Федерации (ППБ 01-03), утвержденные Приказом МЧС России от 18 июня 2003 г. N 313 &lt;*&gt;.</w:t>
      </w:r>
    </w:p>
    <w:p w:rsidR="006B023E" w:rsidRPr="00DD6D3A" w:rsidRDefault="006B023E" w:rsidP="00DD6D3A">
      <w:pPr>
        <w:pStyle w:val="ConsPlusNonformat"/>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РГ. 2003. N 129.</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Помимо нормативных соблюдению подлежат меры, определенные соглашением с поклажедателем, а при отсутствии в договоре соответствующих условий или их неполноте - меры, предусмотренные обычаями делового оборота и вытекающие из существа обязательства.</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При определении способов хранения вещей обязательно учитываются их особые свойства. Если меры, которые должны приниматься для сохранности имущества, в договоре не предусмотрены и хранение носит безвозмездный характер, рассматриваемая обязанность хранителя ограничивается той степенью заботливости, которую он проявляет по отношению к собственному имуществу (п. 3 ст. 891 ГК). Так, вещи поклажедателя должны содержаться в тех же условиях, что и аналогичные вещи хранителя. Хранитель будет отвечать за порчу имущества поклажедателя, если при этом вещи самого хранителя не пострадали и не доказано, что сохранить имущество поклажедателя было невозможно.</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Учитывая, что фактические обстоятельства могут вызвать необходимость изменения определенных договором условий хранения, законодатель возлагает на хранителя обязанность немедленно сообщить поклажедателю о сложившемся положении и дождаться его ответа (п. 1 ст. 893 ГК). Такие ситуации возможны, например, в случае непредвиденных климатических изменений, болезни хранителя и др. Однако если для устранения опасности утраты, недостачи или повреждения вещи необходимо незамедлительное принятие решения, хранителю предоставляется право изменить способ, место и иные условия хранения, не дожидаясь ответа поклажедателя. Когда опасность порчи вещи имеет реальный характер или вещь уже подверглась порче, хранитель вправе самостоятельно распорядиться ею - продать по цене, сложившейся в месте хранения, но при условии, что в силу объективных причин ожидать принятия мер от самого поклажедателя нельзя (п. 2 ст. 893 ГК). Хранитель вправе поступить подобным образом и тогда, когда по не зависящим от него причинам возникают обстоятельства, не позволяющие обеспечить сохранность вещи.</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Особое право предоставляется хранителю, осуществляющему хранение легковоспламеняющихся, взрывоопасных или иных опасных по природе вещей. Если хранитель при сдаче ему вещей не был поставлен в известность об их особых свойствах, он вправе в любое время их обезвредить или уничтожить (п. 1 ст. 894 ГК). Профессиональный хранитель правомочен на совершение таких действий только тогда, когда вещи сдавались ему под неправильным наименованием и невозможно было путем наружного осмотра определить наличие у них опасных свойств. Хранитель, реализующий указанное правомочие при наличии на то достаточных оснований, освобождается от возмещения поклажедателю убытков. Кроме того, если договор возмездный, за хранителем сохраняется право на получение вознаграждения.</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Хранитель может обезвредить или уничтожить вещи и тогда, когда ему были известны их особые свойства, так как даже при соблюдении всех условий хранения, учитывающих качественные характеристики вещей, они могут стать опасными для самого хранителя или третьих лиц. Если по обстоятельствам дела возникла такая опасность и невозможно потребовать от поклажедателя забрать вещи либо такое заявленное требование было проигнорировано, хранитель вправе уничтожить вещи без возмещения поклажедателю убытков (п. 2 ст. 894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Хранитель обязан исполнить договор лично (ст. 895 ГК). Для гражданина это означает, что оказать услуги по хранению должен он сам, а если хранителем выступает юридическое лицо - его органы или работники. Передача вещи на хранение другому лицу допускается только с согласия поклажедателя. При этом имеет место возложение исполнения обязательства на третье лицо (ст. 313 ГК), так как хранитель отвечает за его действия как за собственные. В качестве исключения вещь может быть передана другому лицу без согласия поклажедателя, если хранитель вынужден к этому силой обстоятельств в интересах поклажедателя, а получить его согласие было невозможно. Поклажедатель должен быть незамедлительно уведомлен хранителем о передаче вещи третьему лицу.</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По общему правилу пользование вещами, принятыми на хранение, не предполагается. Однако ст. 892 ГК предоставляет хранителю возможность пользоваться вещью, если поклажедатель выразил на то свое согласие. Не требуется согласие лишь в случаях, когда пользование вещью объективно необходимо для обеспечения ее сохранности и не противоречит договору хранения. Следует отметить, что круг случаев, когда пользование хранителем переданной вещью допустимо, может быть расширен специальными законами. Так, в соответствии с п. 1 ст. 53 Федерального закона от 21 июля 1997 г. "Об исполнительном производстве" лицо, которому передано на хранение имущество должника, может пользоваться им, если по свойствам имущества это не приведет к его уничтожению или уменьшению его ценности.</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Статья 900 ГК возлагает на хранителя обязанность возвратить поклажедателю или указанному им получателю то самое имущество, которое было передано на хранение, а при хранении с обезличением - равное количество вещей того же рода и качества. Вещи возвращаются в том же состоянии, в котором были получены. При определении их качества и количества учитываются естественные ухудшения, естественная убыль или иные изменения, обусловленные свойствами вещей (усушка, испарение и др.). Эти изменения определяются исходя из особенностей конкретного имущества. Одновременно с возвратом вещей передаются плоды и доходы, полученные за время хранения, если их иная судьба не определена договором.</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На хранителя по договору могут возлагаться и иные обязанности. В специальных видах хранения дополнительные обязанности хранителя предусматриваются непосредственно законом, что обусловлено особенностями возникающих отношений.</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Обязанность поклажедателя передать имущество на хранение в сроки, установленные консенсуальным договором, прямо не предусматривается. Однако сделать вывод о ее наличии можно исходя из смысла ст. 888 ГК, которая признает не передавшего вещь поклажедателя ответственным перед хранителем за убытки, возникшие в связи с несостоявшимся хранением. Вместе с тем поклажедатель может освободиться от этой обязанности, если в разумный срок заявит хранителю об отказе от его услуг.</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Также прямо не названа, но вытекает из положений ст. 894 ГК обязанность поклажедателя предупредить хранителя об особых свойствах передаваемых вещей. Это обусловлено тем, что именно от природы вещи зависят условия ее хранения (температурный режим, влажность и др.), а наличие у хранителя соответствующей информации позволяет ему принять наиболее эффективные меры для обеспечения сохранности вещи. Неисполнение данной обязанности влечет для поклажедателя негативные последствия - хранитель получает право обезвредить или уничтожить хранимые опасные вещи, свойства которых ему не были известны, без возмещения поклажедателю убытков.</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В возмездном договоре на поклажедателя возлагается обязанность уплатить вознаграждение за оказываемые услуги. Положения ст. 896 ГК, посвященные порядку и условиям выплаты вознаграждения, сформулированы диспозитивно и применяются, если соглашением сторон не установлено иное. По общему правилу услуги хранителя оплачиваются по окончании хранения, а когда оплата предусмотрена по периодам - соответствующими частями по истечении каждого периода. Размер платы за хранение обычно определяется договором. Вместе с тем в некоторых случаях размер причитающегося хранителю вознаграждения должен устанавливаться в порядке, предусмотренном законодательством. В частности, при согласовании условия о вознаграждении по договору хранения наследственного имущества стороны обязаны учитывать, что его размер не может превышать 3% оценочной стоимости наследственного имущества, определяемой в соответствии с п. 1 ст. 1172 ГК &lt;*&gt;. Если хранителем выступает специализированная организация, размер платы за хранение может устанавливаться исходя из существующих единых ставок и тарифов &lt;**&gt;.</w:t>
      </w:r>
    </w:p>
    <w:p w:rsidR="006B023E" w:rsidRPr="00DD6D3A" w:rsidRDefault="006B023E" w:rsidP="00DD6D3A">
      <w:pPr>
        <w:pStyle w:val="ConsPlusNonformat"/>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См.: Постановление Правительства РФ от 27 мая 2002 г. N 350 "Об утверждении предельного размера вознаграждения по договору хранения наследственного имущества и договору доверительного управления наследственным имуществом" // СЗ РФ. 2002. N 22. Ст. 2096.</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См., например: разд. 2.6 Правил применения сборов за дополнительные операции, связанные с перевозкой грузов на федеральном железнодорожном транспорте (Тарифное руководство N 3), утвержденных Постановлением Федеральной энергетической комиссии РФ от 19 июня 2002 г. N 35/15 // БНА РФ. 2002. N 37.</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Обязанность по уплате вознаграждения сохраняется и тогда, когда хранение прекращается досрочно по обстоятельствам, за которые хранитель не отвечает, либо вследствие обезвреживания или уничтожения им легковоспламеняющихся, взрывоопасных и других аналогичных вещей, об опасных свойствах которых он не был извещен. В первом случае поклажедатель выплачивает часть предусмотренного вознаграждения, соразмерную сроку фактического действия договора, а во втором - всю сумму вознаграждения. Если срок периода хранения истек, но поклажедатель не забирает вещь, размер вознаграждения увеличивается, и оно выплачивается исходя из срока, в течение которого хранитель был вынужден обеспечивать сохранность вещи. Основанием освобождения поклажедателя от уплаты вознаграждения за хранение признается досрочное прекращение договора по причинам, зависящим от хранителя. Если услуги по хранению уже были оплачены, то соответствующие суммы подлежат возвращению.</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Исполнение хранителем договора, как правило, требует различных расходов, возмещение которых является обязанностью поклажедателя. Эти расходы могут быть обычными и чрезвычайными. Расходы, необходимые для обеспечения сохранности вещи в нормальных условиях, относятся к обычным, а те, которые вызваны особыми обстоятельствами и стороны не могли их предвидеть при заключении договора, - к чрезвычайным. Их возмещение осуществляется в различных правовых режимах.</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По общему правилу, если отношения носят возмездный характер, обычные расходы хранителя на хранение вещи включаются в его вознаграждение (п. 1 ст. 897 ГК). При безвозмездном хранении поклажедатель обязан возместить хранителю необходимые и уже фактически произведенные им расходы, т.е. на момент предъявления соответствующих требований расходы должны быть доказаны и размер их определен (п. 2 ст. 897 ГК). Данные правила диспозитивны и могут быть изменены соглашением сторон.</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Что касается чрезвычайных расходов, то поклажедатель обязан их возместить, если он дал на это предварительное согласие или одобрил действия хранителя впоследствии, а также в других случаях, предусмотренных законом, иными правовыми актами или договором (п. 1 ст. 898 ГК). При необходимости произвести чрезвычайные расходы хранитель обязан запросить согласие поклажедателя на это. Если поклажедатель не сообщит о своем несогласии в указанный хранителем срок или в течение нормально необходимого для ответа времени, считается, что он согласился на чрезвычайные расходы.</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В случаях, когда хранитель произвел чрезвычайные расходы на хранение без согласия или последующего одобрения поклажедателя, он не вправе требовать их возмещения в полном объеме. По заявлению хранителя чрезвычайные расходы компенсируются поклажедателем лишь в пределах ущерба, который мог быть причинен вещи, если бы расходы не были произведены (абз. 2 п. 2 ст. 898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По истечении срока действия договора или разумного срока, предоставленного хранителем для обратного получения вещи, хранившейся до востребования, поклажедатель обязан немедленно забрать вещь (п. 1 ст. 899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8. За неисполнение основной обязанности по обеспечению сохранности вещи, т.е. в случаях ее утраты, недостачи или повреждения, хранитель несет ответственность по основаниям, предусмотренным ст. 401 ГК, с учетом специальных норм ст. 901 - 902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По общему правилу хранитель, не сохранивший вещь, отвечает только при наличии вины. Ответственность профессионального хранителя носит повышенный характер и наступает независимо от вины. Освобождение профессионального хранителя от ответственности возможно только в случаях, если утрата, недостача или повреждение вещи стали следствием действия непреодолимой силы либо произошли из-за свойств вещи, о которых хранитель, принимая ее на хранение, не знал или не должен был знать, либо являются результатом умысла или грубой неосторожности поклажедателя (п. 1 ст. 901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Убытки, причиненные поклажедателю утратой, недостачей или повреждением вещи, возмещаются хранителем в полном объеме в соответствии со ст. 15, 393 ГК, если законом или договором хранения не установлено иное (п. 1 ст. 902 ГК). Данное общее правило уточняется применительно к безвозмездному хранению.</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Согласно п. 2 ст. 902 ГК при безвозмездном хранении убытки, причиненные поклажедателю, возмещаются следующим образом: за утрату и недостачу вещей - в размере стоимости утраченных или недостающих вещей; за повреждение вещей - в размере суммы, на которую понизилась их стоимость. Таким образом, ответственность хранителя, не получающего вознаграждение за свои услуги, ограничивается возмещением поклажедателю части реального ущерба. Кроме того, если по вине хранителя качество вещи изменилось настолько, что она не может быть использована по первоначальному назначению, поклажедатель может отказаться от нее и потребовать возмещения ее стоимости и других убытков, т.е. существенное повреждение вещи по желанию поклажедателя может приравниваться к ее уничтожению.</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Поклажедатель признается ответственным за тот имущественный вред, который причинен хранителю и третьим лицам (другим поклажедателям, окружающим и др.) в связи с хранением опасных по своей природе вещей. Если свойствами сданной на хранение вещи будут причинены убытки самому хранителю, который не знал и не мог знать об этих свойствах, поклажедатель обязан их возместить (п. 1 ст. 894 ГК). Размер убытков определяется по правилам ст. 15, 393 ГК исходя из вредных последствий, вызванных переданным на хранение имуществом.</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В случае нарушения поклажедателем обязанности по оплате услуг хранителя, именно при просрочке уплаты вознаграждения более чем на половину периода, за который оно должно быть уплачено, хранитель получает право отказаться от исполнения договора и потребовать немедленно забрать сданную на хранение вещь (п. 2 ст. 896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Неисполнение поклажедателем обязанности взять вещь по истечении срока хранения также влечет для него определенные неблагоприятные последствия. Во-первых, ответственность хранителя, у которого продолжает находиться вещь, хотя обязанность поклажедателя взять ее обратно уже наступила, ограничивается. За утрату, недостачу или повреждение вещи, от получения которой поклажедатель уклоняется, хранитель отвечает только при наличии с его стороны умысла или грубой неосторожности (п. 2 ст. 901 ГК). Во-вторых, хранителю предоставляется право реализовать предмет хранения, если договор не содержит специальных указаний на иные последствия.</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Осуществление права на реализацию хранимого имущества возможно только в порядке, предусмотренном п. 2 ст. 899 ГК, и только после письменного предупреждения поклажедателя. Вещи продаются хранителем самостоятельно по цене, сложившейся в месте их хранения. Дорогостоящие вещи, цена которых превышает 100 установленных законом минимальных размеров оплаты труда, реализуются посредством проведения аукциона в соответствии со ст. 447 - 449 ГК. Денежные средства, вырученные от продажи вещей, за вычетом сумм, причитающихся хранителю (включая расходы на реализацию вещей), передаются поклажедателю.</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outlineLvl w:val="2"/>
        <w:rPr>
          <w:rFonts w:ascii="Times New Roman" w:hAnsi="Times New Roman" w:cs="Times New Roman"/>
          <w:sz w:val="28"/>
          <w:szCs w:val="28"/>
        </w:rPr>
      </w:pPr>
      <w:r w:rsidRPr="00DD6D3A">
        <w:rPr>
          <w:rFonts w:ascii="Times New Roman" w:hAnsi="Times New Roman" w:cs="Times New Roman"/>
          <w:sz w:val="28"/>
          <w:szCs w:val="28"/>
        </w:rPr>
        <w:t>§ 2. Хранение на товарном складе</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1. Хранение на товарных складах обладает рядом специфических черт, что позволило законодателю выделить его в качестве самостоятельного вида хранения, имеющего особое правовое регулирование. Возникающие отношения регламентируются § 2 гл. 47 ГК. Эти специальные нормы имеют приоритет над общими положениями о хранении.</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 (п. 1 ст. 907 ГК). Как следует из определения, данный договор всегда является возмездным и относится к категории реальных сделок. Вместе с тем, учитывая правовой статус хранителя, допускается заключение и консенсуального договора (п. 2 ст. 886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Хранителем по договору выступает товарный склад - организация, хранящая товары в качестве предпринимательской деятельности и оказывающая связанные с этим услуги (по сортировке, очистке, упаковке товара и др.). Такая организация по статусу может быть как коммерческим юридическим лицом, так и некоммерческим, если объем имеющейся у него правоспособности предполагает возможность предпринимательской деятельности соответствующего вида.</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Различают склады общего пользования и так называемые специализированные (ведомственные), которые обслуживают определенные организации (таможенные, транспортные, торговые, биржевые и др.).</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Согласно п. 1 ст. 908 ГК складом общего пользования признается тот товарный склад, который обязан принимать товары на хранение от любого товаровладельца. Такая обязанность может вытекать из закона или иных правовых актов. В качестве склада общего пользования может выступать только коммерческая организация.</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Договоры с участием склада общего пользования относятся к публичным и в этой связи должны заключаться на равных условиях с каждым, кто к нему обратится, кроме случаев, предусмотренных законом или иными правовыми актами (ст. 426 ГК). Отказ от заключения договора допускается только при объективной невозможности принять товар на хранение. При необоснованном отказе или уклонении от принятия товара поклажедатель вправе обратиться в суд с требованием о понуждении заключить договор и возместить причиненные ему убытки.</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Специализированные (ведомственные) склады принимают товары на хранение у определенных лиц, осуществляющих торговую или иную деятельность в конкретных сферах. Примером может служить временное хранение под таможенным контролем товаров, перемещаемых через таможенную границу Российской Федерации &lt;*&gt;.</w:t>
      </w:r>
    </w:p>
    <w:p w:rsidR="006B023E" w:rsidRPr="00DD6D3A" w:rsidRDefault="006B023E" w:rsidP="00DD6D3A">
      <w:pPr>
        <w:pStyle w:val="ConsPlusNonformat"/>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w:t>
      </w:r>
    </w:p>
    <w:p w:rsidR="006B023E" w:rsidRPr="00DD6D3A" w:rsidRDefault="006B023E" w:rsidP="00DD6D3A">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КонсультантПлюс: примечание.</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Приказ ГТК РФ от 10.11.2000 N 1013 "Об утверждении Положения о складах временного хранения" утратил силу с 1 января 2004 года в связи с изданием Приказа ГТК РФ от 26.09.2003 N 107 "Об утверждении Положения о порядке включения в реестр владельцев складов временного хранения".</w:t>
      </w:r>
    </w:p>
    <w:p w:rsidR="006B023E" w:rsidRPr="00DD6D3A" w:rsidRDefault="006B023E" w:rsidP="00DD6D3A">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Возникающие при этом отношения регламентируются специальными актами, в числе которых: ТК; Положение о складах временного хранения, утвержденное Приказом ГТК России от 10 ноября 2000 г. N 1013 // БНА РФ. 2001. N 2.</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Предметом договора складского хранения является оказание услуг по обеспечению сохранности товаров. Как объект хранения, товар представляет собой вещи, которые по характеру и потребительским свойствам могут быть в дальнейшем реализованы или использованы поклажедателем с целью извлечения прибыли.</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Товарные склады вправе принимать на хранение товары индивидуально-определенные и обладающие родовыми признаками. Индивидуально-определенные вещи, принадлежащие различным поклажедателям, хранятся на складе отдельно друг от друга. При передаче на хранение вещей, обладающих родовыми признаками, по условиям договора может иметь место хранение с обезличением, при котором товары смешиваются с аналогичными, принадлежащими другим товаровладельцам. Возврату в данном случае подлежит равное или обусловленное сторонами количество вещей того же рода и качества (ст. 890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Особой разновидностью складского хранения признается иррегулярное хранение товаров с правом склада распоряжаться ими (ст. 918 ГК). Основанием возникновения такого права могут быть закон, правовой акт или договор складского хранения. В подобной ситуации товарный склад, приобретая возможность определения юридической судьбы переданного на хранение имущества, становится его собственником. В этой связи на склад возлагается риск случайной гибели или повреждения хранимого товара. За товаровладельцем же закрепляется обязательственное право в отношении склада - он может требовать возврата товаров соответствующего количества и качества. Особенности таких отношений обусловливают применение к ним норм гл. 42 ГК о займе, однако время и место возврата товаров определяются правилами о хранении.</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2. Договор складского хранения оформляется в письменной форме, которая считается соблюденной, если товарный склад в подтверждение принятия товара на хранение выдал складской документ. К числу таких документов п. 1 ст. 912 ГК относит двойное складское свидетельство, простое складское свидетельство и складскую квитанцию. В большинстве случаев вопрос о том, какой из складских документов будет выдаваться в подтверждение принятия товара на хранение, разрешается по соглашению между поклажедателем и хранителем. Вместе с тем, исходя из статуса хранителя и особых свойств объектов хранения, порядок оформления возникающих отношений может устанавливаться и самостоятельно товарным складом. Так, принятие от юридических лиц драгоценных металлов и камней на хранение Гохраном России подтверждается исключительно выдачей двойного складского свидетельства &lt;*&gt;.</w:t>
      </w:r>
    </w:p>
    <w:p w:rsidR="006B023E" w:rsidRPr="00DD6D3A" w:rsidRDefault="006B023E" w:rsidP="00DD6D3A">
      <w:pPr>
        <w:pStyle w:val="ConsPlusNonformat"/>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См.: п. 1.3 Положения о двойных складских свидетельствах Гохрана России, утвержденного Приказом Гохрана России от 16 февраля 2000 г. N 42.</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Двойное и простое складские свидетельства являются товарораспорядительными ценными бумагами. Их выдача в целях оформления отношений складского хранения значительно упрощает оборот находящегося на складе имущества, поскольку товаровладельцы получают возможность совершать торговые операции без физического перемещения товара, путем передачи прав на него по складскому свидетельству. Также упрощается и залог принятого на хранение товара посредством залога складского свидетельства (п. 4 ст. 912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Двойное складское свидетельство представляет собой ордерную ценную бумагу и состоит из двух частей - складского свидетельства и залогового свидетельства (варранта). Оба документа, также признаваемые ценными бумагами, должны содержать одинаковые обязательные реквизиты, указанные в п. 1 ст. 913 ГК: 1) наименование и место нахождения товарного склада, принявшего товар на хранение; 2) текущий номер складского свидетельства по реестру склада; 3) наименование юридического лица либо имя гражданина, от которого принят товар на хранение, а также место нахождения (место жительства) товаровладельца; 4) наименование и количество принятого на хранение товара - число единиц и (или) товарных мест и (или) мера (вес, объем) товара; 5) срок, на который товар принят на хранение, если такой срок устанавливается, либо указание, что товар принят на хранение до востребования; 6) размер вознаграждения за хранение либо тарифы, на основании которых он исчисляется, и порядок оплаты хранения; 7) дата выдачи складского свидетельства. Кроме того, обе части двойного складского свидетельства должны иметь идентичные подписи уполномоченного лица и печати товарного склада. Если в выданном хранителем документе отсутствуют указанные реквизиты, он не имеет силы двойного складского свидетельства, но может использоваться в качестве доказательства принятия товара на хранение.</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Складское и залоговое свидетельства могут передаваться вместе или порознь по передаточным надписям (индоссаментам). Лицо, обладающее одновременно этими двумя документами, вправе распоряжаться хранимым на складе товаром в полном объеме, в том числе требовать его выдачи, предоставив хранителю обе части двойного складского свидетельства. Если заявлено требование о выдаче товара по частям, первоначальные складское и залоговое свидетельства изымаются, а взамен выдаются новые свидетельства на тот объем товара, который остается на складе.</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Складское свидетельство, удостоверяющее принадлежность хранимого товара конкретному лицу, и залоговое свидетельство, удостоверяющее право залога на объект хранения, могут быть отделены друг от друга. Складское свидетельство передается самостоятельно, когда существует необходимость передать право собственности на находящийся на складе товар. Залоговое свидетельство передается отдельно от складского, если товаровладелец в обеспечение исполнения какого-либо обязательства предоставляет находящиеся на складе товары в залог. Залоговое свидетельство в таком случае передается залогодержателю, за которым закрепляется право залога на товар в размере выданного кредита и процентов по нему. При залоге предмета хранения об этом делается отметка на складском свидетельстве.</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Держатель складского свидетельства, не имеющий залогового свидетельства, вправе распоряжаться товаром, но взять его со склада он может только тогда, когда кредит, выданный по залоговому свидетельству, будет возвращен заемщиком или он сам внесет всю сумму долга. В подтверждение погашения кредита товарному складу предоставляется квитанция об уплате обеспеченной залогом товаров суммы. Товарный склад, выдавший товары в нарушение этого правила, несет ответственность перед держателем залогового свидетельства за платеж всей обеспеченной по нему суммы (п. 3 ст. 916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Простое складское свидетельство подтверждает принадлежность определенного товара конкретному поклажедателю и удостоверяет принятие его на хранение товарным складом. Оно относится к ценным бумагам на предъявителя и может свободно передаваться другим лицам путем вручения. Простое складское свидетельство должно содержать те же сведения, что и двойное складское свидетельство, за исключением наименования товаровладельца, что обусловлено предъявительским характером данной ценной бумаги (п. 1 ст. 913, п. 2 ст. 917 ГК). При отсутствии обязательных реквизитов выданный хранителем документ простым складским свидетельством признаваться не может.</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Являясь товарораспорядительной ценной бумагой, простое складское свидетельство удостоверяет право свободного распоряжения товарами, в отношении которых осуществляется складское хранение. Склад обязан выдать находящийся на хранении товар при предъявлении простого свидетельства любым его держателем.</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Складская квитанция также является доказательством принятия товара на хранение. Оформление договора путем выдачи такого документа означает, что заявить требование о выдаче хранимого товара правомочен только сам поклажедатель. Передать свои права на находящийся на складе товар он может лишь в общем порядке уступки права требования (ст. 382 - 390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3. Содержание договора складского хранения имеет некоторую специфику, касающуюся прав и обязанностей сторон при приеме, хранении и выдаче товара. В частности, если иное не предусмотрено договором, товарный склад при приеме товара на хранение обязан за свой счет осмотреть товары и определить их количество (число единиц - товарных мест или меру - вес, объем) и внешнее состояние (п. 1 ст. 909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В процессе хранения склад должен предоставлять поклажедателю возможность осматривать хранимые товары или их образцы, если имеет место хранение с обезличением, а также брать пробы (п. 2 ст. 909 ГК). Исполнение данной обязанности дает товаровладельцу возможность предпринимать самостоятельные действия, способствующие обеспечению сохранности товаров. К примеру, если товар начинает видоизменяться вследствие естественных свойств, поклажедатель может его перебрать, отсортировать, отфильтровать, заменить тару и др., тем самым предупредив его дальнейшую порчу и возможную утрату.</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При возникновении особых обстоятельств, когда для обеспечения сохранности товаров требуется изменение условий их хранения, товарный склад правомочен самостоятельно принять необходимые меры (п. 1 ст. 910 ГК). Их предварительное согласование с товаровладельцем в исключение из общих правил не требуется. Если изменение условий хранения, предусмотренных договором, имеет существенный характер, склад обязан уведомить поклажедателя о предпринятых в его интересах мерах. Когда изменения несущественны, такое уведомление необязательно.</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Особая обязанность возлагается на товарный склад в случае обнаружения во время хранения повреждений товара, выходящих за пределы согласованных в договоре или обычных норм естественной порчи. При возникших качественных и количественных изменениях товара склад должен незамедлительно составить об этом акт и в тот же день известить товаровладельца (п. 2 ст. 910 ГК). При неисполнении данной обязанности товаровладелец может требовать возмещения убытков, причиненных ему в связи с дальнейшей порчей товаров, если докажет, что при своевременном наличии у него соответствующей информации он мог бы эту порчу предотвратить.</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Следует также обратить внимание на особый порядок возвращения товара поклажедателю. Обе стороны договора складского хранения имеют право требовать осмотра и проверки количества возвращаемого товара. Вызванные этим расходы возлагаются на ту из сторон, которая заявила соответствующее требование. Если при возвращении товар не был совместно сторонами осмотрен и проверен, его недостача или повреждение могут быть установлены товаровладельцем самостоятельно. При обнаружении недостачи или повреждения товара вследствие ненадлежащего хранения товаровладелец должен письменно сообщить об этом складу при получении товара. Если же эти недостатки не могли быть обнаружены при обычном способе принятия, заявление об их наличии должно быть сделано в течение трех дней с момента получения товара (п. 2 ст. 911 ГК). При отсутствии такого заявления предполагается, что товар возвращен в соответствии с условиями договора складского хранения, т.е. обязанности товарного склада исполнены надлежащим образом. Вместе с тем товаровладелец, пропустивший установленный срок, не лишается возможности предъявления хранителю требований, если докажет, что возвращенный ему товар имеет недостатки, являющиеся следствием ненадлежащего хранения.</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outlineLvl w:val="2"/>
        <w:rPr>
          <w:rFonts w:ascii="Times New Roman" w:hAnsi="Times New Roman" w:cs="Times New Roman"/>
          <w:sz w:val="28"/>
          <w:szCs w:val="28"/>
        </w:rPr>
      </w:pPr>
      <w:r w:rsidRPr="00DD6D3A">
        <w:rPr>
          <w:rFonts w:ascii="Times New Roman" w:hAnsi="Times New Roman" w:cs="Times New Roman"/>
          <w:sz w:val="28"/>
          <w:szCs w:val="28"/>
        </w:rPr>
        <w:t>§ 3. Специальные виды хранения</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Выделение специальных видов хранения и их самостоятельное регулирование, осуществляемое нормами § 3 гл. 47 ГК, обусловливается присущими им особенностями. Прежде всего они касаются оснований и сферы возникновения отношений по хранению, специфики их субъектного состава, объектов хранения и некоторых других характеристик.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1. Хранению в ломбарде посвящены ст. 919 - 920 ГК. Поклажедателем по такому договору может быть только гражданин. Хранителем по нему выступает особый субъект - ломбард, которым признается коммерческое юридическое лицо. Ранее обязательным условием для осуществления ломбардом своей деятельности было наличие у него соответствующей лицензии. В настоящее время Федеральный закон от 8 августа 2001 г. "О лицензировании отдельных видов деятельности" не относит деятельность ломбардов к тем, которые подлежат лицензированию.</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Помимо операций по хранению ломбард в силу ст. 358 ГК может принимать от граждан в залог движимое имущество в обеспечение предоставляемых им краткосрочных кредитов. В таком случае хранение предмета залога регулируется ст. 358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Договор хранения в ломбарде вещей, принадлежащих гражданам, носит публичный характер (ст. 426 ГК) и должен заключаться с каждым, кто обратится. При сдаче вещи на хранение стороны ее оценивают в соответствии с ценами на вещи такого рода и качества, которые обычно устанавливаются в торговле в момент и в месте их принятия на хранение.</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Заключение договора хранения в ломбарде удостоверяется выдачей поклажедателю именной сохранной квитанции, содержащей сведения о качестве и количестве переданных ломбарду вещей, а также их стоимости.</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Ломбард обязан застраховать за свой счет в пользу поклажедателя принятые на хранение вещи в полной сумме их оценки (п. 4 ст. 919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Договор хранения в ломбарде относится к категории возмездных и всегда имеет срочный характер. По истечении срока действия договора, определяемого сторонами, ломбард должен хранить вещи, не востребованные поклажедателем, еще в течение двух месяцев с взиманием за это платы, после чего может их продать в порядке, установленном для реализации заложенного имущества (п. 5 ст. 358 ГК). Денежные средства, вырученные от продажи вещей, передаются поклажедателю за вычетом вознаграждения, причитающегося ломбарду за хранение, и расходов, понесенных в связи с реализацией (ст. 920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Ломбард, являясь профессиональным хранителем, несет повышенную ответственность за сохранность переданного ему имущества. Он отвечает за утрату, недостачу и повреждение вещи, если не докажет, что это произошло вследствие непреодолимой силы либо таких свойств вещи, о которых он не знал и не должен был знать, принимая ее на хранение, либо в результате умысла или грубой неосторожности поклажедателя (п. 1 ст. 901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2. Другим специальным видом является хранение ценностей в банке, регулируемое ст. 921 - 922 ГК. Банк может принимать на хранение от физических и юридических лиц различные по характеру ценности: ценные бумаги, драгоценные металлы и камни, иные драгоценные вещи и ценности, в том числе документы.</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Сохранность ценностей в банке может обеспечиваться различными способами: с условием помещения переданных поклажедателем ценностей в индивидуальный сейф и без такого условия.</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Договор хранения ценностей, не включающий условия об обязательном помещении хранимого имущества в сейф, в целом регулируется общими положениями о хранении. Особые требования установлены лишь в отношении порядка оформления договора. Его заключение удостоверяется выдачей банком поклажедателю именного сохранного документа. Этот документ служит основанием предъявления поклажедателем требования банку о возврате хранимого имущества (п. 2 ст. 921 ГК). Кроме того, учитывая специфику предметов хранения, банковское законодательство может регламентировать порядок оказания услуг по обеспечению сохранности ценностей. Так, принимая на хранение драгоценные металлы, банк обязан открыть металлический счет ответственного хранения &lt;*&gt;. Передача на хранение и выдача клиенту драгоценных металлов и драгоценных камней должны осуществляться в особо оборудованных хранилищах ценностей &lt;**&gt;.</w:t>
      </w:r>
    </w:p>
    <w:p w:rsidR="006B023E" w:rsidRPr="00DD6D3A" w:rsidRDefault="006B023E" w:rsidP="00DD6D3A">
      <w:pPr>
        <w:pStyle w:val="ConsPlusNonformat"/>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См.: п. 9.2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Приказом Центрального банка РФ от 1 ноября 1996 г. N 02-400 // ВБР. 1996. N 61; 1998. N 23; 2000. N 20.</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См.: п. 2.1 Инструкции Банка России от 30 ноября 2000 г. N 94-И "О порядке определения массы драгоценных металлов и драгоценных камней и исчисления их стоимости в Банке России и кредитных организациях" // ВБР. 2000. N 66 - 67.</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Услуги по хранению, предполагающие помещение полученных от поклажедателя ценностей в индивидуальный банковский сейф (ячейку сейфа, изолированное помещение в банке), могут иметь различные правовые режимы. В частности, в соответствии со ст. 922 ГК может быть выделено хранение ценных вещей с предоставлением поклажедателю (клиенту) охраняемого банком индивидуального банковского сейфа.</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Договор хранения в сейфе предоставляет поклажедателю возможность самостоятельно помещать ценности в сейф и изымать их оттуда, для чего банк выдает ему ключ от сейфа, идентификационную карточку либо иной знак или документ, удостоверяющий право поклажедателя на доступ к сейфу или его содержимому. Условиями договора также может быть предусмотрено право поклажедателя (клиента) работать в банке с ценностями, хранимыми в индивидуальном сейфе (п. 1 ст. 922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Если соглашение предполагает хранение с использованием сейфа, банк принимает от клиента соответствующие ценности, которые должны храниться в сейфе, контролирует их помещение в сейф и изъятие, а после изъятия возвращает клиенту (п. 2 ст. 922 ГК). Возникающие при этом отношения регламентируются общими положениями о хранении в части, не противоречащей специальным нормам о данном виде хранения. В этой связи на банк возлагается полная ответственность за сохранность содержимого сейфа (ст. 901 - 902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Договор хранения ценностей с предоставлением клиенту индивидуального сейфа обеспечивает клиенту возможность самостоятельного помещения ценностей в сейф и их изъятия из сейфа без чьего-либо контроля, в том числе со стороны банка (п. 3 ст. 922 ГК). В такой ситуации банк обязан лишь контролировать то, чтобы доступ к сейфу посторонних лиц был невозможен. Ответственность банка за несохранность ценностей, находящихся в предоставленном клиенту индивидуальном сейфе, наступает только при нарушении им обязанностей по охране самого сейфа. Если будет доказано, что по условиям хранения доступ к сейфу без ведома клиента был невозможен либо стал возможным вследствие действия обстоятельств непреодолимой силы, банк от ответственности освобождается. Вместе с тем договором хранения может быть предусмотрено иное.</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Данные особенности договора хранения ценностей в банке с предоставлением клиенту индивидуального сейфа свидетельствуют о его смешанном характере. Во-первых, он включает элементы аренды, поскольку клиент использует сейф самостоятельно без контроля со стороны банка и без ответственности банка за его содержимое. В этой связи к возникающим отношениям применяются правила о договоре аренды (гл. 34 ГК). Во-вторых, в рассматриваемом договоре присутствуют и элементы возмездного оказания услуг по охране сейфа (помещения, где он расположен), поскольку банк обязан обеспечить условия, исключающие возможность доступа к сейфу посторонних лиц.</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3. К числу специальных видов хранения относится хранение вещей в камерах хранения, находящихся в ведении транспортных организаций общего пользования. Такой договор является публичным, т.е. приниматься на хранение должны вещи любых обратившихся лиц - пассажиров и других граждан независимо от наличия у них проездных документов.</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Отношения по хранению имущества в камерах хранения транспортных организаций регламентируются ст. 923 ГК, не противоречащими ей транспортными уставами и кодексами, а также издаваемыми в соответствии с ними специальными правилами. К числу последних относятся Правила оказания услуг по перевозке пассажиров, багажа, грузов для личных (бытовых) нужд на внутреннем водном транспорте, утвержденные Постановлением Правительства РФ от 6 февраля 2003 г. N 72 &lt;*&gt;; Правила перевозок пассажиров, багажа и грузобагажа на федеральном железнодорожном транспорте, утвержденные Приказом МПС России от 26 июля 2002 г. N 30 &lt;**&gt;; Правила перевозок пассажиров и багажа автомобильным транспортом в РСФСР, утвержденные Приказом Минавтотранса РСФСР от 24 декабря 1987 г. N 176; Правила перевозки пассажиров, багажа и грузов на воздушных линиях Союза ССР, утвержденные Приказом МГА СССР от 16 января 1985 г. N 19. В части, не урегулированной этими актами, применяются общие положения о хранении.</w:t>
      </w:r>
    </w:p>
    <w:p w:rsidR="006B023E" w:rsidRPr="00DD6D3A" w:rsidRDefault="006B023E" w:rsidP="00DD6D3A">
      <w:pPr>
        <w:pStyle w:val="ConsPlusNonformat"/>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СЗ РФ. 2003. N 7. Ст. 646.</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БНА РФ. 2002. N 40.</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Обеспечение сохранности вещей в транспортных организациях возможно двумя способами, имеющими различные правовые режимы: посредством передачи имущества на хранение в обслуживаемую работниками транспортной организации камеру хранения (обычно их именуют ручными) и путем помещения вещей в автоматическую камеру хранения (камеру хранения самообслуживания).</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Транспортным законодательством к вещам, сдаваемым в ручные камеры хранения, предъявляются специальные требования, касающиеся их веса (на внутреннем водном транспорте вес одного места, принимаемого на хранение, не должен превышать 50 кг, на воздушном - 30 кг) и упаковки. Практически на всех видах транспорта запрещается сдача на хранение животных и птиц, огнестрельного оружия, зловонных, огнеопасных, отравляющих, легковоспламеняющихся, взрывчатых и других опасных веществ, а также вещей, которые могут испачкать или повредить вещи других поклажедателей.</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Договор оформляется посредством выдачи поклажедателю квитанции или номерного жетона, подтверждающих факт принятия имущества на хранение. Впоследствии предъявление квитанции или жетона дает поклажедателю право требовать выдачи хранимой вещи. При утрате квитанции или жетона объекты хранения выдаются поклажедателю на основании его письменного заявления и представления доказательств принадлежности ему соответствующих вещей (п. 2 ст. 923 ГК). Вещи возвращаются владельцу под расписку (на воздушном транспорте составляется специальный акт).</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Камера хранения обязана хранить вещи в течение срока, установленного транспортным законодательством. В организациях внутреннего водного транспорта этот срок не превышает 30 дней. На железнодорожном транспорте вещи хранятся в течение одних календарных суток. В случае невнесения поклажедателем платы за хранение по истечении оплаченного срока хранения вещь находится в железнодорожной камере хранения еще в течение суток, после чего передается в общее складское помещение станции. По соглашению сторон хранение вещей в транспортных камерах хранения возможно и в течение более длительного срока по сравнению с установленными нормативно.</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Вещи, не востребованные в течение установленного срока, хранятся еще 30 дней, а затем могут быть реализованы хранителем в общем порядке, предусмотренном п. 2 ст. 899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В случае утраты, недостачи или повреждения имущества, сданного в камеру хранения, хранитель обязан возместить поклажедателю возникшие в связи с этим убытки в течение 24 часов с момента предъявления соответствующего требования. Размер убытков ограничивается суммой, в которую поклажедатель оценил вещи, передавая их на хранение.</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При помещении вещей в автоматические камеры хранения (камеры самообслуживания) между транспортной организацией и владельцем вещей возникают отношения иной правовой природы, нежели хранение. В данном случае вещи на хранение не принимаются, а гражданину лишь предоставляется возможность временного использования ячейки автоматической камеры хранения за установленную плату. Процесс помещения имущества в камеру и его изъятие транспортной организацией не контролируются, однако она обязана обеспечить исправность запирающих устройств ячейки и исключить возможность ее несанкционированного вскрытия посторонними лицами. Лишь при виновном неисполнении указанных обязанностей транспортная организация может быть привлечена к ответственности за порчу или пропажу вещей, оставленных в автоматической камере хранения. Указанные обстоятельства позволяют сделать вывод, что данный договор хранением не является, а имеет смешанный характер, включая в себя элементы аренды и оказания услуг по внешней охране арендуемой ячейки.</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4. Особые правила установлены для хранения в гардеробах, которыми признаются места, специально оборудованные организациями или средствами транспорта для хранения верхней одежды, головных уборов и тому подобных вещей, принадлежащих посетителям или работникам.</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Хранителем в данном случае признается организация или владелец транспортного средства, в помещениях которых расположен гардероб, а поклажедателем - гражданин. В подтверждение сдачи вещи на хранение в гардероб гражданину обычно выдается номерок или жетон, что приравнивается к письменному оформлению договора (п. 2 ст. 887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Хранение в гардеробе предполагается безвозмездным, если вознаграждение прямо не предусмотрено соглашением между хранителем и поклажедателем или не обусловлено иным очевидным способом (п. 1 ст. 924 ГК). Независимо от характера договора хранитель в целях обеспечения сохранности вещи обязан принимать все меры, определенные законом, правовыми актами, договором, а также соответствующие обычаям делового оборота и существу обязательства (п. 1, 2 ст. 891 ГК).</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Указанные правила действуют и в случаях, когда граждане оставляют верхнюю одежду, головные уборы и иные подобные вещи без сдачи на хранение в местах, отведенных для таких целей в организациях и средствах транспорта (п. 2 ст. 924 ГК). Тем самым отведение организацией специально оборудованного для хранения вещей посетителей места рассматривается законодателем как публичная оферта, а фактическое оставление вещи в этом месте - как акцепт.</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5. Определенными особенностями обладает хранение вещей в гостинице, а равно в мотелях, домах отдыха, пансионатах, санаториях, банях и других подобных организациях, предоставляющих гражданам возможность временного проживания или нахождения.</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Согласно п. 1 ст. 925 ГК гостиница отвечает за утрату, недостачу или повреждение вещей, внесенных в гостиницу проживающим в ней лицом, без особого о том соглашения. При этом сделанное гостиницей объявление, что она не принимает на себя ответственности за несохранность вещей постояльцев, правового значения не имеет и от ответственности ее не освобождает.</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В этой связи в научной и учебной литературе была высказана точка зрения, что хранение в гостинице возникает в силу закона &lt;*&gt;. Однако вряд ли это мнение можно признать обоснованным. Буквальное толкование п. 1 ст. 925 ГК позволяет сделать вывод о том, что поклажедателем в данном случае всегда выступает лицо, проживающее в гостинице, т.е. заключившее договор об оказании гостиничных услуг. Императивная норма закона возлагает на гостиницу обязанность обеспечивать сохранность вещей постояльцев, в связи с чем специальное согласование данного условия сторонами не требуется. Тем самым сохранение вещей, принадлежащих проживающим в гостинице лицам, осуществляется на основании договора о возмездном оказании услуг, составной частью которого обязательно выступает соответствующее условие о хранении. Тем самым данный договор может быть квалифицирован как смешанный, поскольку помимо различных по характеру действий, предусмотренных Правилами предоставления гостиничных услуг в Российской Федерации, утвержденными Постановлением Правительства РФ от 25 апреля 1997 г. N 490 &lt;**&gt;, гостиница оказывает постояльцам и услуги по хранению их имущества.</w:t>
      </w:r>
    </w:p>
    <w:p w:rsidR="006B023E" w:rsidRPr="00DD6D3A" w:rsidRDefault="006B023E" w:rsidP="00DD6D3A">
      <w:pPr>
        <w:pStyle w:val="ConsPlusNonformat"/>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w:t>
      </w:r>
    </w:p>
    <w:p w:rsidR="006B023E" w:rsidRPr="00DD6D3A" w:rsidRDefault="006B023E" w:rsidP="00DD6D3A">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КонсультантПлюс: примечание.</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Комментарий к Гражданскому кодексу Российской Федерации, части второй (постатейный) (под ред. О.Н. Садикова) включен в информационный банк согласно публикации - М.: Юридическая фирма "КОНТРАКТ", Издательский Дом "ИНФРА-М", 2004 (издание четвертое, исправленное и дополненное).</w:t>
      </w:r>
    </w:p>
    <w:p w:rsidR="006B023E" w:rsidRPr="00DD6D3A" w:rsidRDefault="006B023E" w:rsidP="00DD6D3A">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См.: Комментарий к Гражданскому кодексу Российской Федерации, части второй (постатейный) / Под ред. О.Н. Садикова. М., 2003. С. 605; Гражданское право. Учебник / Под ред. А.П. Сергеева, Ю.К. Толстого. Т. 2. М., 2003. С. 728.</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СЗ РФ. 1997. N 18. Ст. 2153; 1999. N 41. Ст. 4923; 2000. N 39. Ст. 3871.</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Следует отметить, что гостиница отвечает за сохранность только внесенных в нее вещей. Внесенной в гостиницу считается вещь, вверенная ее работникам либо помещенная в гостиничном номере или ином предназначенном для этого месте (п. 1 ст. 925 ГК). Постоялец, обнаруживший утрату или повреждение своих вещей, обязан без промедления заявить об этом администрации гостиницы. В противном случае хранитель освобождается от ответственности за несохранность вещей.</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Данные правила не распространяются на драгоценные вещи постояльца, в том числе деньги, иные валютные ценности, ценные бумаги. Их хранение не включается в содержание договора об оказании гостиничных услуг и осуществляется на основании самостоятельного соглашения. За сохранность такого имущества гостиница отвечает при условии, что оно было специально принято на хранение либо было помещено постояльцем в предоставленный ему гостиницей индивидуальный сейф независимо от того, где он находится - в его номере или ином помещении гостиницы.</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Отношения, складывающиеся в случае помещения вещей в сейф, имеют арендный характер, а потому гостиница освобождается от ответственности за утрату содержимого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6. Секвестр, или хранение вещей, являющихся предметом спора, регулируется ст. 926 ГК. Данный вид хранения применяется, когда между двумя или несколькими лицами возник спор о праве на вещь, и в целях обеспечения ее сохранности целесообразна ее передача третьему лицу. На хранение в порядке секвестра могут передаваться как движимые, так и недвижимые вещи.</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В зависимости от оснований возникновения отношений по хранению выделяются два вида секвестра: договорный и судебный.</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При договорном секвестре лица, заявляющие свои права на вещь, передают предмет спора на временное хранение третьему лицу, принимающему на себя обязанность после разрешения спора возвратить вещь тому лицу, которому она будет присуждена по решению суда или по соглашению всех спорящих сторон. В этом случае между поклажедателями, в качестве которых выступают субъекты спора, и выбранным ими хранителем заключается договор соответствующего содержания.</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Судебный секвестр предполагает передачу предмета спора на хранение по решению суда. Лицо, которое будет обеспечивать сохранность вещи, может быть назначено судом или определено по взаимному согласию спорящих сторон. Ему предоставляется возможность отказаться от участия в возникающих отношениях в качестве хранителя, если законом не установлено иное.</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Примером судебного секвестра могут быть меры, принимаемые судом в целях обеспечения заявленного иска: арест принадлежащего ответчику имущества, предполагающий не только его опись, но и передачу на хранение третьему лицу (пп. 1 п. 1 ст. 140 ГПК, пп. 1 п. 1 ст. 91 АПК); передача спорного имущества на хранение истцу или другому лицу (пп. 4 п. 1 ст. 91 АПК). Деятельность по хранению в таких случаях осуществляется в соответствии с Положением о порядке и условиях хранения арестованного и изъятого имущества, утвержденным Постановлением Правительства РФ от 7 июля 1998 г. N 723 &lt;*&gt;.</w:t>
      </w:r>
    </w:p>
    <w:p w:rsidR="006B023E" w:rsidRPr="00DD6D3A" w:rsidRDefault="006B023E" w:rsidP="00DD6D3A">
      <w:pPr>
        <w:pStyle w:val="ConsPlusNonformat"/>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&lt;*&gt; СЗ РФ. 1998. N 28. Ст. 3362.</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Особенность секвестра - возмездность складывающихся отношений, так как хранитель обычно имеет право на вознаграждение за счет спорящих сторон, если иное не предусмотрено договором или решением суда, которым секвестр был установлен (п. 4 ст. 926 ГК). Исключения из общего правила о возмездности секвестра могут устанавливаться и законом. Так, согласно п. 2 ст. 53 Федерального закона "Об исполнительном производстве", если хранителем имущества выступает член семьи должника или работник организации-должника, вознаграждение не выплачивается.</w:t>
      </w:r>
    </w:p>
    <w:p w:rsidR="006B023E" w:rsidRPr="00DD6D3A" w:rsidRDefault="006B023E" w:rsidP="00DD6D3A">
      <w:pPr>
        <w:pStyle w:val="ConsPlusNormal"/>
        <w:widowControl/>
        <w:spacing w:line="360" w:lineRule="auto"/>
        <w:ind w:firstLine="709"/>
        <w:jc w:val="both"/>
        <w:rPr>
          <w:rFonts w:ascii="Times New Roman" w:hAnsi="Times New Roman" w:cs="Times New Roman"/>
          <w:sz w:val="28"/>
          <w:szCs w:val="28"/>
        </w:rPr>
      </w:pPr>
      <w:r w:rsidRPr="00DD6D3A">
        <w:rPr>
          <w:rFonts w:ascii="Times New Roman" w:hAnsi="Times New Roman" w:cs="Times New Roman"/>
          <w:sz w:val="28"/>
          <w:szCs w:val="28"/>
        </w:rPr>
        <w:t>Размер вознаграждения при договорном секвестре определяется по соглашению сторон, а при судебном - может устанавливаться нормативно. В частности, вознаграждение за хранение арестованного и изъятого имущества выплачивается в размере, определяемом Министерством юстиции РФ.</w:t>
      </w:r>
    </w:p>
    <w:p w:rsidR="006B023E" w:rsidRPr="00DD6D3A" w:rsidRDefault="006B023E" w:rsidP="00DD6D3A">
      <w:pPr>
        <w:pStyle w:val="ConsPlusNormal"/>
        <w:widowControl/>
        <w:tabs>
          <w:tab w:val="left" w:pos="360"/>
        </w:tabs>
        <w:spacing w:line="360" w:lineRule="auto"/>
        <w:ind w:firstLine="0"/>
        <w:outlineLvl w:val="2"/>
        <w:rPr>
          <w:rFonts w:ascii="Times New Roman" w:hAnsi="Times New Roman" w:cs="Times New Roman"/>
          <w:sz w:val="28"/>
          <w:szCs w:val="28"/>
        </w:rPr>
      </w:pPr>
      <w:r w:rsidRPr="00DD6D3A">
        <w:rPr>
          <w:rFonts w:ascii="Times New Roman" w:hAnsi="Times New Roman" w:cs="Times New Roman"/>
          <w:sz w:val="28"/>
          <w:szCs w:val="28"/>
        </w:rPr>
        <w:t>ЛИТЕРАТУРА</w:t>
      </w:r>
    </w:p>
    <w:p w:rsidR="006B023E" w:rsidRPr="00DD6D3A" w:rsidRDefault="006B023E" w:rsidP="00DD6D3A">
      <w:pPr>
        <w:pStyle w:val="ConsPlusNormal"/>
        <w:widowControl/>
        <w:tabs>
          <w:tab w:val="left" w:pos="360"/>
        </w:tabs>
        <w:spacing w:line="360" w:lineRule="auto"/>
        <w:ind w:firstLine="0"/>
        <w:rPr>
          <w:rFonts w:ascii="Times New Roman" w:hAnsi="Times New Roman" w:cs="Times New Roman"/>
          <w:sz w:val="28"/>
          <w:szCs w:val="28"/>
        </w:rPr>
      </w:pPr>
    </w:p>
    <w:p w:rsidR="006B023E" w:rsidRPr="00DD6D3A" w:rsidRDefault="006B023E" w:rsidP="00DD6D3A">
      <w:pPr>
        <w:pStyle w:val="ConsPlusNormal"/>
        <w:widowControl/>
        <w:numPr>
          <w:ilvl w:val="0"/>
          <w:numId w:val="1"/>
        </w:numPr>
        <w:tabs>
          <w:tab w:val="left" w:pos="360"/>
        </w:tabs>
        <w:spacing w:line="360" w:lineRule="auto"/>
        <w:ind w:left="0" w:firstLine="0"/>
        <w:rPr>
          <w:rFonts w:ascii="Times New Roman" w:hAnsi="Times New Roman" w:cs="Times New Roman"/>
          <w:sz w:val="28"/>
          <w:szCs w:val="28"/>
        </w:rPr>
      </w:pPr>
      <w:r w:rsidRPr="00DD6D3A">
        <w:rPr>
          <w:rFonts w:ascii="Times New Roman" w:hAnsi="Times New Roman" w:cs="Times New Roman"/>
          <w:sz w:val="28"/>
          <w:szCs w:val="28"/>
        </w:rPr>
        <w:t>Брагинский М.И. Договор хранения. М., 2005.</w:t>
      </w:r>
    </w:p>
    <w:p w:rsidR="006B023E" w:rsidRPr="00DD6D3A" w:rsidRDefault="006B023E" w:rsidP="00DD6D3A">
      <w:pPr>
        <w:numPr>
          <w:ilvl w:val="0"/>
          <w:numId w:val="1"/>
        </w:numPr>
        <w:tabs>
          <w:tab w:val="left" w:pos="360"/>
        </w:tabs>
        <w:spacing w:line="360" w:lineRule="auto"/>
        <w:ind w:left="0" w:firstLine="0"/>
        <w:rPr>
          <w:sz w:val="28"/>
          <w:szCs w:val="28"/>
        </w:rPr>
      </w:pPr>
      <w:r w:rsidRPr="00DD6D3A">
        <w:rPr>
          <w:sz w:val="28"/>
          <w:szCs w:val="28"/>
        </w:rPr>
        <w:t>Цыбуленко З.И. Обязательства хранения в советском гражданском праве. Саратов, 2000.</w:t>
      </w:r>
      <w:bookmarkStart w:id="0" w:name="_GoBack"/>
      <w:bookmarkEnd w:id="0"/>
    </w:p>
    <w:sectPr w:rsidR="006B023E" w:rsidRPr="00DD6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44573"/>
    <w:multiLevelType w:val="hybridMultilevel"/>
    <w:tmpl w:val="20F6CBD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23E"/>
    <w:rsid w:val="00015E73"/>
    <w:rsid w:val="005F6EA2"/>
    <w:rsid w:val="006804C0"/>
    <w:rsid w:val="006B023E"/>
    <w:rsid w:val="008731B5"/>
    <w:rsid w:val="00DD6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D63316-BB93-4F5C-A8CD-2E419396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23E"/>
    <w:rPr>
      <w:sz w:val="24"/>
      <w:szCs w:val="24"/>
    </w:rPr>
  </w:style>
  <w:style w:type="paragraph" w:styleId="1">
    <w:name w:val="heading 1"/>
    <w:basedOn w:val="a"/>
    <w:next w:val="a"/>
    <w:link w:val="10"/>
    <w:uiPriority w:val="99"/>
    <w:qFormat/>
    <w:rsid w:val="006B023E"/>
    <w:pPr>
      <w:keepNext/>
      <w:spacing w:before="360" w:after="240" w:line="360" w:lineRule="auto"/>
      <w:ind w:firstLine="720"/>
      <w:jc w:val="center"/>
      <w:outlineLvl w:val="0"/>
    </w:pPr>
    <w:rPr>
      <w:b/>
      <w:bCs/>
      <w:kern w:val="28"/>
      <w:sz w:val="32"/>
      <w:szCs w:val="32"/>
    </w:rPr>
  </w:style>
  <w:style w:type="paragraph" w:styleId="2">
    <w:name w:val="heading 2"/>
    <w:basedOn w:val="a"/>
    <w:next w:val="a"/>
    <w:link w:val="20"/>
    <w:uiPriority w:val="99"/>
    <w:qFormat/>
    <w:rsid w:val="006B023E"/>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6B023E"/>
    <w:pPr>
      <w:keepNext/>
      <w:tabs>
        <w:tab w:val="left" w:pos="5954"/>
      </w:tabs>
      <w:ind w:firstLine="4253"/>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6B023E"/>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rsid w:val="006B023E"/>
  </w:style>
  <w:style w:type="paragraph" w:customStyle="1" w:styleId="ConsPlusNormal">
    <w:name w:val="ConsPlusNormal"/>
    <w:uiPriority w:val="99"/>
    <w:rsid w:val="006B023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B023E"/>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11573</Words>
  <Characters>65967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77386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2014-03-06T03:12:00Z</dcterms:created>
  <dcterms:modified xsi:type="dcterms:W3CDTF">2014-03-06T03:12:00Z</dcterms:modified>
</cp:coreProperties>
</file>