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BD" w:rsidRDefault="00FF40BD">
      <w:pPr>
        <w:widowControl w:val="0"/>
        <w:spacing w:before="120"/>
        <w:jc w:val="center"/>
        <w:rPr>
          <w:b/>
          <w:bCs/>
          <w:color w:val="000000"/>
          <w:sz w:val="32"/>
          <w:szCs w:val="32"/>
        </w:rPr>
      </w:pPr>
      <w:r>
        <w:rPr>
          <w:b/>
          <w:bCs/>
          <w:color w:val="000000"/>
          <w:sz w:val="32"/>
          <w:szCs w:val="32"/>
        </w:rPr>
        <w:t>Договор коммерческой концессии (франчайзинг)</w:t>
      </w:r>
    </w:p>
    <w:p w:rsidR="00FF40BD" w:rsidRDefault="00FF40BD">
      <w:pPr>
        <w:widowControl w:val="0"/>
        <w:spacing w:before="120"/>
        <w:jc w:val="center"/>
        <w:rPr>
          <w:b/>
          <w:bCs/>
          <w:color w:val="000000"/>
          <w:sz w:val="28"/>
          <w:szCs w:val="28"/>
        </w:rPr>
      </w:pPr>
      <w:r>
        <w:rPr>
          <w:b/>
          <w:bCs/>
          <w:color w:val="000000"/>
          <w:sz w:val="28"/>
          <w:szCs w:val="28"/>
        </w:rPr>
        <w:t>Понятие, форма, права и обязанности сторон.</w:t>
      </w:r>
    </w:p>
    <w:p w:rsidR="00FF40BD" w:rsidRDefault="00FF40BD">
      <w:pPr>
        <w:widowControl w:val="0"/>
        <w:spacing w:before="120"/>
        <w:ind w:firstLine="567"/>
        <w:jc w:val="both"/>
        <w:rPr>
          <w:color w:val="000000"/>
          <w:sz w:val="24"/>
          <w:szCs w:val="24"/>
        </w:rPr>
      </w:pPr>
      <w:r>
        <w:rPr>
          <w:color w:val="000000"/>
          <w:sz w:val="24"/>
          <w:szCs w:val="24"/>
        </w:rPr>
        <w:t xml:space="preserve">Статья 1027. Договор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 </w:t>
      </w:r>
    </w:p>
    <w:p w:rsidR="00FF40BD" w:rsidRDefault="00FF40BD">
      <w:pPr>
        <w:widowControl w:val="0"/>
        <w:spacing w:before="120"/>
        <w:ind w:firstLine="567"/>
        <w:jc w:val="both"/>
        <w:rPr>
          <w:color w:val="000000"/>
          <w:sz w:val="24"/>
          <w:szCs w:val="24"/>
        </w:rPr>
      </w:pPr>
      <w:r>
        <w:rPr>
          <w:color w:val="000000"/>
          <w:sz w:val="24"/>
          <w:szCs w:val="24"/>
        </w:rPr>
        <w:t xml:space="preserve">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 </w:t>
      </w:r>
    </w:p>
    <w:p w:rsidR="00FF40BD" w:rsidRDefault="00FF40BD">
      <w:pPr>
        <w:widowControl w:val="0"/>
        <w:spacing w:before="120"/>
        <w:ind w:firstLine="567"/>
        <w:jc w:val="both"/>
        <w:rPr>
          <w:color w:val="000000"/>
          <w:sz w:val="24"/>
          <w:szCs w:val="24"/>
        </w:rPr>
      </w:pPr>
      <w:r>
        <w:rPr>
          <w:color w:val="000000"/>
          <w:sz w:val="24"/>
          <w:szCs w:val="24"/>
        </w:rPr>
        <w:t xml:space="preserve">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 </w:t>
      </w:r>
    </w:p>
    <w:p w:rsidR="00FF40BD" w:rsidRDefault="00FF40BD">
      <w:pPr>
        <w:widowControl w:val="0"/>
        <w:spacing w:before="120"/>
        <w:ind w:firstLine="567"/>
        <w:jc w:val="both"/>
        <w:rPr>
          <w:color w:val="000000"/>
          <w:sz w:val="24"/>
          <w:szCs w:val="24"/>
        </w:rPr>
      </w:pPr>
      <w:r>
        <w:rPr>
          <w:color w:val="000000"/>
          <w:sz w:val="24"/>
          <w:szCs w:val="24"/>
        </w:rPr>
        <w:t xml:space="preserve">Статья 1028. Форма и регистрация договора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1. Договор коммерческой концессии должен быть заключен в письменной форме. Несоблюдение письменной формы договора влечет его недействительность. Такой договор считается ничтожным. </w:t>
      </w:r>
    </w:p>
    <w:p w:rsidR="00FF40BD" w:rsidRDefault="00FF40BD">
      <w:pPr>
        <w:widowControl w:val="0"/>
        <w:spacing w:before="120"/>
        <w:ind w:firstLine="567"/>
        <w:jc w:val="both"/>
        <w:rPr>
          <w:color w:val="000000"/>
          <w:sz w:val="24"/>
          <w:szCs w:val="24"/>
        </w:rPr>
      </w:pPr>
      <w:r>
        <w:rPr>
          <w:color w:val="000000"/>
          <w:sz w:val="24"/>
          <w:szCs w:val="24"/>
        </w:rPr>
        <w:t xml:space="preserve">2. Договор коммерческой концессии регистрируется органом, осуществившим регистрацию юридического лица или индивидуального предпринимателя, выступающего по договору в качестве правообладателя. Если правообладатель зарегистрирован в качестве юридического лица или индивидуального предпринимателя в иностранном государстве, регистрация договора коммерческой концессии осуществляется органом, осуществившим регистрацию юридического лица или индивидуального предпринимателя, являющегося пользователем. В отношениях с третьими лицами стороны договора коммерческой концессии вправе ссылаться на договор лишь с момента его регистрации. Договор коммерческой концессии на использование объекта, охраняемого в соответствии с патентным законодательством, подлежит регистрации также в федеральном органе исполнительной власти в области патентов и товарных знаков. При несоблюдении этого требования договор считается ничтожным. </w:t>
      </w:r>
    </w:p>
    <w:p w:rsidR="00FF40BD" w:rsidRDefault="00FF40BD">
      <w:pPr>
        <w:widowControl w:val="0"/>
        <w:spacing w:before="120"/>
        <w:ind w:firstLine="567"/>
        <w:jc w:val="both"/>
        <w:rPr>
          <w:color w:val="000000"/>
          <w:sz w:val="24"/>
          <w:szCs w:val="24"/>
        </w:rPr>
      </w:pPr>
      <w:r>
        <w:rPr>
          <w:color w:val="000000"/>
          <w:sz w:val="24"/>
          <w:szCs w:val="24"/>
        </w:rPr>
        <w:t xml:space="preserve">Статья 1029. Коммерческая субконцессия </w:t>
      </w:r>
    </w:p>
    <w:p w:rsidR="00FF40BD" w:rsidRDefault="00FF40BD">
      <w:pPr>
        <w:widowControl w:val="0"/>
        <w:spacing w:before="120"/>
        <w:ind w:firstLine="567"/>
        <w:jc w:val="both"/>
        <w:rPr>
          <w:color w:val="000000"/>
          <w:sz w:val="24"/>
          <w:szCs w:val="24"/>
        </w:rPr>
      </w:pPr>
      <w:r>
        <w:rPr>
          <w:color w:val="000000"/>
          <w:sz w:val="24"/>
          <w:szCs w:val="24"/>
        </w:rPr>
        <w:t xml:space="preserve">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 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 </w:t>
      </w:r>
    </w:p>
    <w:p w:rsidR="00FF40BD" w:rsidRDefault="00FF40BD">
      <w:pPr>
        <w:widowControl w:val="0"/>
        <w:spacing w:before="120"/>
        <w:ind w:firstLine="567"/>
        <w:jc w:val="both"/>
        <w:rPr>
          <w:color w:val="000000"/>
          <w:sz w:val="24"/>
          <w:szCs w:val="24"/>
        </w:rPr>
      </w:pPr>
      <w:r>
        <w:rPr>
          <w:color w:val="000000"/>
          <w:sz w:val="24"/>
          <w:szCs w:val="24"/>
        </w:rPr>
        <w:t xml:space="preserve">2. Если договор коммерческой концессии является недействительным, недействительны и заключенные на основании него договоры коммерческой субконцессии. </w:t>
      </w:r>
    </w:p>
    <w:p w:rsidR="00FF40BD" w:rsidRDefault="00FF40BD">
      <w:pPr>
        <w:widowControl w:val="0"/>
        <w:spacing w:before="120"/>
        <w:ind w:firstLine="567"/>
        <w:jc w:val="both"/>
        <w:rPr>
          <w:color w:val="000000"/>
          <w:sz w:val="24"/>
          <w:szCs w:val="24"/>
        </w:rPr>
      </w:pPr>
      <w:r>
        <w:rPr>
          <w:color w:val="000000"/>
          <w:sz w:val="24"/>
          <w:szCs w:val="24"/>
        </w:rPr>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 </w:t>
      </w:r>
    </w:p>
    <w:p w:rsidR="00FF40BD" w:rsidRDefault="00FF40BD">
      <w:pPr>
        <w:widowControl w:val="0"/>
        <w:spacing w:before="120"/>
        <w:ind w:firstLine="567"/>
        <w:jc w:val="both"/>
        <w:rPr>
          <w:color w:val="000000"/>
          <w:sz w:val="24"/>
          <w:szCs w:val="24"/>
        </w:rPr>
      </w:pPr>
      <w:r>
        <w:rPr>
          <w:color w:val="000000"/>
          <w:sz w:val="24"/>
          <w:szCs w:val="24"/>
        </w:rPr>
        <w:t xml:space="preserve">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5. К договору коммерческой субконцессии применяются предусмотренные настоящей главой правила о договоре коммерческой концессии, если иное не вытекает из особенностей субконцессии. </w:t>
      </w:r>
    </w:p>
    <w:p w:rsidR="00FF40BD" w:rsidRDefault="00FF40BD">
      <w:pPr>
        <w:widowControl w:val="0"/>
        <w:spacing w:before="120"/>
        <w:ind w:firstLine="567"/>
        <w:jc w:val="both"/>
        <w:rPr>
          <w:color w:val="000000"/>
          <w:sz w:val="24"/>
          <w:szCs w:val="24"/>
        </w:rPr>
      </w:pPr>
      <w:r>
        <w:rPr>
          <w:color w:val="000000"/>
          <w:sz w:val="24"/>
          <w:szCs w:val="24"/>
        </w:rPr>
        <w:t xml:space="preserve">Статья 1030. Вознаграждение по договору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Вознаграждение по договору коммерческой концессии может выплачиваться пользователем правообладателю в форме фиксированных разовых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 </w:t>
      </w:r>
    </w:p>
    <w:p w:rsidR="00FF40BD" w:rsidRDefault="00FF40BD">
      <w:pPr>
        <w:widowControl w:val="0"/>
        <w:spacing w:before="120"/>
        <w:ind w:firstLine="567"/>
        <w:jc w:val="both"/>
        <w:rPr>
          <w:color w:val="000000"/>
          <w:sz w:val="24"/>
          <w:szCs w:val="24"/>
        </w:rPr>
      </w:pPr>
      <w:r>
        <w:rPr>
          <w:color w:val="000000"/>
          <w:sz w:val="24"/>
          <w:szCs w:val="24"/>
        </w:rPr>
        <w:t xml:space="preserve">Статья 1031. Обязанности правообладателя </w:t>
      </w:r>
    </w:p>
    <w:p w:rsidR="00FF40BD" w:rsidRDefault="00FF40BD">
      <w:pPr>
        <w:widowControl w:val="0"/>
        <w:spacing w:before="120"/>
        <w:ind w:firstLine="567"/>
        <w:jc w:val="both"/>
        <w:rPr>
          <w:color w:val="000000"/>
          <w:sz w:val="24"/>
          <w:szCs w:val="24"/>
        </w:rPr>
      </w:pPr>
      <w:r>
        <w:rPr>
          <w:color w:val="000000"/>
          <w:sz w:val="24"/>
          <w:szCs w:val="24"/>
        </w:rPr>
        <w:t xml:space="preserve">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 выдать пользователю предусмотренные договором лицензии, обеспечив их оформление в установленном порядке. </w:t>
      </w:r>
    </w:p>
    <w:p w:rsidR="00FF40BD" w:rsidRDefault="00FF40BD">
      <w:pPr>
        <w:widowControl w:val="0"/>
        <w:spacing w:before="120"/>
        <w:ind w:firstLine="567"/>
        <w:jc w:val="both"/>
        <w:rPr>
          <w:color w:val="000000"/>
          <w:sz w:val="24"/>
          <w:szCs w:val="24"/>
        </w:rPr>
      </w:pPr>
      <w:r>
        <w:rPr>
          <w:color w:val="000000"/>
          <w:sz w:val="24"/>
          <w:szCs w:val="24"/>
        </w:rPr>
        <w:t xml:space="preserve">2. Если договором коммерческой концессии не предусмотрено иное, правообладатель обязан: обеспечить регистрацию договора коммерческой концессии; оказывать пользователю постоянное техническое и консультативное содействие, включая содействие в обучении и повышении квалификации работников; контролировать качество товаров (работ, услуг), производимых (выполняемых, оказываемых) пользователем на основании договора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Статья 1032. Обязанности пользователя </w:t>
      </w:r>
    </w:p>
    <w:p w:rsidR="00FF40BD" w:rsidRDefault="00FF40BD">
      <w:pPr>
        <w:widowControl w:val="0"/>
        <w:spacing w:before="120"/>
        <w:ind w:firstLine="567"/>
        <w:jc w:val="both"/>
        <w:rPr>
          <w:color w:val="000000"/>
          <w:sz w:val="24"/>
          <w:szCs w:val="24"/>
        </w:rPr>
      </w:pPr>
      <w:r>
        <w:rPr>
          <w:color w:val="000000"/>
          <w:sz w:val="24"/>
          <w:szCs w:val="24"/>
        </w:rPr>
        <w:t xml:space="preserve">С учетом характера и особенностей деятельности, осуществляемой пользователем по договору коммерческой концессии, пользователь обязан: использовать при осуществлении предусмотренной договором деятельности фирменное наименование и (или) коммерческое обозначение правообладателя указанным в договоре образом; 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 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 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 не разглашать секреты производства правообладателя и другую полученную от него конфиденциальную коммерческую информацию; предоставить оговоренное количество субконцессий, если такая обязанность предусмотрена договором; 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договора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Статья 1033. Ограничения прав сторон по договору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1. Договором коммерческой концессии могут быть предусмотрены ограничения прав сторон по этому договору, в частности могут быть предусмотрены: 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 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 отказ пользователя от получения по договорам коммерческой концессии аналогичных прав у конкурентов (потенциальных конкурентов) правообладателя; 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законодательству. </w:t>
      </w:r>
    </w:p>
    <w:p w:rsidR="00FF40BD" w:rsidRDefault="00FF40BD">
      <w:pPr>
        <w:widowControl w:val="0"/>
        <w:spacing w:before="120"/>
        <w:ind w:firstLine="567"/>
        <w:jc w:val="both"/>
        <w:rPr>
          <w:color w:val="000000"/>
          <w:sz w:val="24"/>
          <w:szCs w:val="24"/>
        </w:rPr>
      </w:pPr>
      <w:r>
        <w:rPr>
          <w:color w:val="000000"/>
          <w:sz w:val="24"/>
          <w:szCs w:val="24"/>
        </w:rPr>
        <w:t xml:space="preserve">2. Являются ничтожными такие условия, ограничивающие права сторон по договору коммерческой концессии, в силу которых: правообладатель вправе определять цену продажи товара пользователем или цену работ (услуг), выполняемых (оказываемых) пользователем, либо устанавливать верхний или нижний предел этих цен; пользователь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(место жительства) на определенной в договоре территории. </w:t>
      </w:r>
    </w:p>
    <w:p w:rsidR="00FF40BD" w:rsidRDefault="00FF40BD">
      <w:pPr>
        <w:widowControl w:val="0"/>
        <w:spacing w:before="120"/>
        <w:ind w:firstLine="567"/>
        <w:jc w:val="both"/>
        <w:rPr>
          <w:color w:val="000000"/>
          <w:sz w:val="24"/>
          <w:szCs w:val="24"/>
        </w:rPr>
      </w:pPr>
      <w:r>
        <w:rPr>
          <w:color w:val="000000"/>
          <w:sz w:val="24"/>
          <w:szCs w:val="24"/>
        </w:rPr>
        <w:t xml:space="preserve">Статья 1034. Ответственность правообладателя по требованиям, предъявляемым к пользователю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 По требованиям, предъявляемым к пользователю как изготовителю продукции (товаров) правообладателя, правообладатель отвечает солидарно с пользователем. </w:t>
      </w:r>
    </w:p>
    <w:p w:rsidR="00FF40BD" w:rsidRDefault="00FF40BD">
      <w:pPr>
        <w:widowControl w:val="0"/>
        <w:spacing w:before="120"/>
        <w:ind w:firstLine="567"/>
        <w:jc w:val="both"/>
        <w:rPr>
          <w:color w:val="000000"/>
          <w:sz w:val="24"/>
          <w:szCs w:val="24"/>
        </w:rPr>
      </w:pPr>
      <w:r>
        <w:rPr>
          <w:color w:val="000000"/>
          <w:sz w:val="24"/>
          <w:szCs w:val="24"/>
        </w:rPr>
        <w:t xml:space="preserve">Статья 1035. Право пользователя заключить договор коммерческой концессии на новый срок </w:t>
      </w:r>
    </w:p>
    <w:p w:rsidR="00FF40BD" w:rsidRDefault="00FF40BD">
      <w:pPr>
        <w:widowControl w:val="0"/>
        <w:spacing w:before="120"/>
        <w:ind w:firstLine="567"/>
        <w:jc w:val="both"/>
        <w:rPr>
          <w:color w:val="000000"/>
          <w:sz w:val="24"/>
          <w:szCs w:val="24"/>
        </w:rPr>
      </w:pPr>
      <w:r>
        <w:rPr>
          <w:color w:val="000000"/>
          <w:sz w:val="24"/>
          <w:szCs w:val="24"/>
        </w:rPr>
        <w:t xml:space="preserve">1. Пользователь, надлежащим образом исполнявший свои обязанности, имеет по истечении срока договора коммерческой концессии право на заключение договора на новый срок на тех же условиях. </w:t>
      </w:r>
    </w:p>
    <w:p w:rsidR="00FF40BD" w:rsidRDefault="00FF40BD">
      <w:pPr>
        <w:widowControl w:val="0"/>
        <w:spacing w:before="120"/>
        <w:ind w:firstLine="567"/>
        <w:jc w:val="both"/>
        <w:rPr>
          <w:color w:val="000000"/>
          <w:sz w:val="24"/>
          <w:szCs w:val="24"/>
        </w:rPr>
      </w:pPr>
      <w:r>
        <w:rPr>
          <w:color w:val="000000"/>
          <w:sz w:val="24"/>
          <w:szCs w:val="24"/>
        </w:rPr>
        <w:t xml:space="preserve">2. Правообладатель вправе отказать в заключении договора коммерческой концессии на новый срок при условии, что в течение трех лет со дня истечения срока данного договора он не будет заключать с другими лицами аналогичные договоры коммерческой концессии и соглашаться на заключение аналогичных договоров коммерческой субконцессии, действие которых будет распространяться на ту же территорию, на которой действовал прекратившийся договор. В случае, если до истечения трехлетнего срока правообладатель пожелает предоставить кому-либо те же права, какие были предоставлены пользователю по прекратившемуся договору, он обязан предложить пользователю заключить новый договор либо возместить понесенные им убытки. При заключении нового договора его условия должны быть не менее благоприятны для пользователя, чем условия прекратившегося договора. </w:t>
      </w:r>
    </w:p>
    <w:p w:rsidR="00FF40BD" w:rsidRDefault="00FF40BD">
      <w:pPr>
        <w:widowControl w:val="0"/>
        <w:spacing w:before="120"/>
        <w:ind w:firstLine="567"/>
        <w:jc w:val="both"/>
        <w:rPr>
          <w:color w:val="000000"/>
          <w:sz w:val="24"/>
          <w:szCs w:val="24"/>
        </w:rPr>
      </w:pPr>
      <w:r>
        <w:rPr>
          <w:color w:val="000000"/>
          <w:sz w:val="24"/>
          <w:szCs w:val="24"/>
        </w:rPr>
        <w:t xml:space="preserve">Статья 1036. Изменение договора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Договор коммерческой концессии может быть изменен в соответствии с правилами, предусмотренными настоящего Кодекса. В отношениях с третьими лицами стороны договора коммерческой концессии вправе ссылаться на изменение договора лишь с момента регистрации этого изменения в порядке, установленном настоящего Кодекса, если не докажут, что третье лицо знало или должно было знать об изменении договора ранее. </w:t>
      </w:r>
    </w:p>
    <w:p w:rsidR="00FF40BD" w:rsidRDefault="00FF40BD">
      <w:pPr>
        <w:widowControl w:val="0"/>
        <w:spacing w:before="120"/>
        <w:ind w:firstLine="567"/>
        <w:jc w:val="both"/>
        <w:rPr>
          <w:color w:val="000000"/>
          <w:sz w:val="24"/>
          <w:szCs w:val="24"/>
        </w:rPr>
      </w:pPr>
      <w:r>
        <w:rPr>
          <w:color w:val="000000"/>
          <w:sz w:val="24"/>
          <w:szCs w:val="24"/>
        </w:rPr>
        <w:t xml:space="preserve">Статья 1037. Прекращение договора коммерческой концессии </w:t>
      </w:r>
    </w:p>
    <w:p w:rsidR="00FF40BD" w:rsidRDefault="00FF40BD">
      <w:pPr>
        <w:widowControl w:val="0"/>
        <w:spacing w:before="120"/>
        <w:ind w:firstLine="567"/>
        <w:jc w:val="both"/>
        <w:rPr>
          <w:color w:val="000000"/>
          <w:sz w:val="24"/>
          <w:szCs w:val="24"/>
        </w:rPr>
      </w:pPr>
      <w:r>
        <w:rPr>
          <w:color w:val="000000"/>
          <w:sz w:val="24"/>
          <w:szCs w:val="24"/>
        </w:rPr>
        <w:t xml:space="preserve">1. Каждая из сторон договора коммерческой концессии, заключенного без указания срока, вправе во всякое время отказаться от договора, уведомив об этом другую сторону за шесть месяцев, если договором не предусмотрен более продолжительный срок. </w:t>
      </w:r>
    </w:p>
    <w:p w:rsidR="00FF40BD" w:rsidRDefault="00FF40BD">
      <w:pPr>
        <w:widowControl w:val="0"/>
        <w:spacing w:before="120"/>
        <w:ind w:firstLine="567"/>
        <w:jc w:val="both"/>
        <w:rPr>
          <w:color w:val="000000"/>
          <w:sz w:val="24"/>
          <w:szCs w:val="24"/>
        </w:rPr>
      </w:pPr>
      <w:r>
        <w:rPr>
          <w:color w:val="000000"/>
          <w:sz w:val="24"/>
          <w:szCs w:val="24"/>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регистрации в порядке, установленном настоящего Кодекса. </w:t>
      </w:r>
    </w:p>
    <w:p w:rsidR="00FF40BD" w:rsidRDefault="00FF40BD">
      <w:pPr>
        <w:widowControl w:val="0"/>
        <w:spacing w:before="120"/>
        <w:ind w:firstLine="567"/>
        <w:jc w:val="both"/>
        <w:rPr>
          <w:color w:val="000000"/>
          <w:sz w:val="24"/>
          <w:szCs w:val="24"/>
        </w:rPr>
      </w:pPr>
      <w:r>
        <w:rPr>
          <w:color w:val="000000"/>
          <w:sz w:val="24"/>
          <w:szCs w:val="24"/>
        </w:rPr>
        <w:t xml:space="preserve">3. В случае прекращения принадлежащих правообладателю прав на фирменное наименование и коммерческое обозначение без замены их новыми аналогичными правами договор коммерческой концессии прекращается. </w:t>
      </w:r>
    </w:p>
    <w:p w:rsidR="00FF40BD" w:rsidRDefault="00FF40BD">
      <w:pPr>
        <w:widowControl w:val="0"/>
        <w:spacing w:before="120"/>
        <w:ind w:firstLine="567"/>
        <w:jc w:val="both"/>
        <w:rPr>
          <w:color w:val="000000"/>
          <w:sz w:val="24"/>
          <w:szCs w:val="24"/>
        </w:rPr>
      </w:pPr>
      <w:r>
        <w:rPr>
          <w:color w:val="000000"/>
          <w:sz w:val="24"/>
          <w:szCs w:val="24"/>
        </w:rPr>
        <w:t xml:space="preserve">4. При объявлении правообладателя или пользователя несостоятельным (банкротом) договор коммерческой концессии прекращается. </w:t>
      </w:r>
    </w:p>
    <w:p w:rsidR="00FF40BD" w:rsidRDefault="00FF40BD">
      <w:pPr>
        <w:widowControl w:val="0"/>
        <w:spacing w:before="120"/>
        <w:ind w:firstLine="567"/>
        <w:jc w:val="both"/>
        <w:rPr>
          <w:color w:val="000000"/>
          <w:sz w:val="24"/>
          <w:szCs w:val="24"/>
        </w:rPr>
      </w:pPr>
      <w:r>
        <w:rPr>
          <w:color w:val="000000"/>
          <w:sz w:val="24"/>
          <w:szCs w:val="24"/>
        </w:rPr>
        <w:t xml:space="preserve">Статья 1038. Сохранение договора коммерческой концессии в силе при перемене сторон </w:t>
      </w:r>
    </w:p>
    <w:p w:rsidR="00FF40BD" w:rsidRDefault="00FF40BD">
      <w:pPr>
        <w:widowControl w:val="0"/>
        <w:spacing w:before="120"/>
        <w:ind w:firstLine="567"/>
        <w:jc w:val="both"/>
        <w:rPr>
          <w:color w:val="000000"/>
          <w:sz w:val="24"/>
          <w:szCs w:val="24"/>
        </w:rPr>
      </w:pPr>
      <w:r>
        <w:rPr>
          <w:color w:val="000000"/>
          <w:sz w:val="24"/>
          <w:szCs w:val="24"/>
        </w:rPr>
        <w:t xml:space="preserve">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 </w:t>
      </w:r>
    </w:p>
    <w:p w:rsidR="00FF40BD" w:rsidRDefault="00FF40BD">
      <w:pPr>
        <w:widowControl w:val="0"/>
        <w:spacing w:before="120"/>
        <w:ind w:firstLine="567"/>
        <w:jc w:val="both"/>
        <w:rPr>
          <w:color w:val="000000"/>
          <w:sz w:val="24"/>
          <w:szCs w:val="24"/>
        </w:rPr>
      </w:pPr>
      <w:r>
        <w:rPr>
          <w:color w:val="000000"/>
          <w:sz w:val="24"/>
          <w:szCs w:val="24"/>
        </w:rPr>
        <w:t xml:space="preserve">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 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 </w:t>
      </w:r>
    </w:p>
    <w:p w:rsidR="00FF40BD" w:rsidRDefault="00FF40BD">
      <w:pPr>
        <w:widowControl w:val="0"/>
        <w:spacing w:before="120"/>
        <w:ind w:firstLine="567"/>
        <w:jc w:val="both"/>
        <w:rPr>
          <w:color w:val="000000"/>
          <w:sz w:val="24"/>
          <w:szCs w:val="24"/>
        </w:rPr>
      </w:pPr>
      <w:r>
        <w:rPr>
          <w:color w:val="000000"/>
          <w:sz w:val="24"/>
          <w:szCs w:val="24"/>
        </w:rPr>
        <w:t xml:space="preserve">Статья 1039. Последствия изменения фирменного наименования или коммерческого обозначения правообладателя В случае изменения правообладателем своего фирменного наименования или коммерческого обозначения, права на использование которых входят в комплекс исключительных прав, договор коммерческой концессии действует в отношении нового фирменного наименования или коммерческого обозначения правообладателя, если пользователь не потребует расторжения договора и возмещения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 </w:t>
      </w:r>
    </w:p>
    <w:p w:rsidR="00FF40BD" w:rsidRDefault="00FF40BD">
      <w:pPr>
        <w:widowControl w:val="0"/>
        <w:spacing w:before="120"/>
        <w:ind w:firstLine="567"/>
        <w:jc w:val="both"/>
        <w:rPr>
          <w:color w:val="000000"/>
          <w:sz w:val="24"/>
          <w:szCs w:val="24"/>
        </w:rPr>
      </w:pPr>
      <w:r>
        <w:rPr>
          <w:color w:val="000000"/>
          <w:sz w:val="24"/>
          <w:szCs w:val="24"/>
        </w:rPr>
        <w:t>Статья 1040. Последствия прекращения исключительного права, пользование которым предоставлено по договору коммерческой концессии 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 В случае прекращения принадлежащих правообладателю прав на фирменное наименование или коммерческое обозначение наступают последствия, предусмотренные и настоящего Кодекса.</w:t>
      </w:r>
    </w:p>
    <w:p w:rsidR="00FF40BD" w:rsidRDefault="00FF40BD">
      <w:pPr>
        <w:widowControl w:val="0"/>
        <w:spacing w:before="120"/>
        <w:ind w:firstLine="590"/>
        <w:jc w:val="both"/>
        <w:rPr>
          <w:color w:val="000000"/>
          <w:sz w:val="24"/>
          <w:szCs w:val="24"/>
        </w:rPr>
      </w:pPr>
      <w:bookmarkStart w:id="0" w:name="_GoBack"/>
      <w:bookmarkEnd w:id="0"/>
    </w:p>
    <w:sectPr w:rsidR="00FF40BD">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8C3B0"/>
    <w:lvl w:ilvl="0">
      <w:numFmt w:val="decimal"/>
      <w:lvlText w:val="*"/>
      <w:lvlJc w:val="left"/>
    </w:lvl>
  </w:abstractNum>
  <w:num w:numId="1">
    <w:abstractNumId w:val="0"/>
    <w:lvlOverride w:ilvl="0">
      <w:lvl w:ilvl="0">
        <w:start w:val="1"/>
        <w:numFmt w:val="bullet"/>
        <w:lvlText w:val=""/>
        <w:legacy w:legacy="1" w:legacySpace="0" w:legacyIndent="283"/>
        <w:lvlJc w:val="left"/>
        <w:pPr>
          <w:ind w:left="425" w:hanging="283"/>
        </w:pPr>
        <w:rPr>
          <w:rFonts w:ascii="Wingdings" w:hAnsi="Wingdings" w:cs="Wingdings" w:hint="default"/>
        </w:rPr>
      </w:lvl>
    </w:lvlOverride>
  </w:num>
  <w:num w:numId="2">
    <w:abstractNumId w:val="0"/>
    <w:lvlOverride w:ilvl="0">
      <w:lvl w:ilvl="0">
        <w:start w:val="1"/>
        <w:numFmt w:val="bullet"/>
        <w:lvlText w:val=""/>
        <w:legacy w:legacy="1" w:legacySpace="113" w:legacyIndent="57"/>
        <w:lvlJc w:val="left"/>
        <w:pPr>
          <w:ind w:left="199" w:hanging="57"/>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567" w:hanging="283"/>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A1A"/>
    <w:rsid w:val="00576A1A"/>
    <w:rsid w:val="00EC16B8"/>
    <w:rsid w:val="00F83A13"/>
    <w:rsid w:val="00FF40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8009D9-5023-4462-AB66-161DAC10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9175</Words>
  <Characters>5230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Договор коммерческой концессии (франчайзинг): понятие, форма, права и обязанности сторон</vt:lpstr>
    </vt:vector>
  </TitlesOfParts>
  <Company>PERSONAL COMPUTERS</Company>
  <LinksUpToDate>false</LinksUpToDate>
  <CharactersWithSpaces>14377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коммерческой концессии (франчайзинг): понятие, форма, права и обязанности сторон</dc:title>
  <dc:subject/>
  <dc:creator>USER</dc:creator>
  <cp:keywords/>
  <dc:description/>
  <cp:lastModifiedBy>admin</cp:lastModifiedBy>
  <cp:revision>2</cp:revision>
  <dcterms:created xsi:type="dcterms:W3CDTF">2014-01-26T09:09:00Z</dcterms:created>
  <dcterms:modified xsi:type="dcterms:W3CDTF">2014-01-26T09:09:00Z</dcterms:modified>
</cp:coreProperties>
</file>